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91" w:rsidRDefault="00AA1191" w:rsidP="00410426">
      <w:pPr>
        <w:spacing w:line="240" w:lineRule="auto"/>
        <w:rPr>
          <w:sz w:val="24"/>
          <w:szCs w:val="24"/>
        </w:rPr>
      </w:pPr>
    </w:p>
    <w:p w:rsidR="00AA1191" w:rsidRPr="00410426" w:rsidRDefault="00AA1191" w:rsidP="00410426">
      <w:pPr>
        <w:spacing w:line="240" w:lineRule="auto"/>
        <w:rPr>
          <w:sz w:val="24"/>
          <w:szCs w:val="24"/>
        </w:rPr>
      </w:pPr>
    </w:p>
    <w:p w:rsidR="00410426" w:rsidRDefault="00410426" w:rsidP="00410426">
      <w:pPr>
        <w:rPr>
          <w:sz w:val="28"/>
          <w:szCs w:val="28"/>
        </w:rPr>
      </w:pPr>
      <w:r>
        <w:rPr>
          <w:sz w:val="28"/>
          <w:szCs w:val="28"/>
        </w:rPr>
        <w:t> </w:t>
      </w:r>
      <w:r w:rsidR="003D43DC">
        <w:rPr>
          <w:sz w:val="28"/>
          <w:szCs w:val="28"/>
        </w:rPr>
        <w:t xml:space="preserve">Report of the Expert Group </w:t>
      </w:r>
    </w:p>
    <w:p w:rsidR="003D43DC" w:rsidRDefault="003D43DC" w:rsidP="003D43DC">
      <w:pPr>
        <w:pStyle w:val="CoverDocumentSubtitle"/>
      </w:pPr>
      <w:r w:rsidRPr="00C8426F">
        <w:rPr>
          <w:b/>
          <w:sz w:val="52"/>
          <w:szCs w:val="52"/>
        </w:rPr>
        <w:t>Driving Progress for Research and Innovation in Europe</w:t>
      </w:r>
    </w:p>
    <w:p w:rsidR="003D43DC" w:rsidRPr="00EF5D52" w:rsidRDefault="003D43DC" w:rsidP="003D43DC">
      <w:pPr>
        <w:pStyle w:val="CoverDocumentSubtitle"/>
        <w:rPr>
          <w:b/>
          <w:i/>
        </w:rPr>
        <w:sectPr w:rsidR="003D43DC" w:rsidRPr="00EF5D52" w:rsidSect="003D43DC">
          <w:headerReference w:type="default" r:id="rId8"/>
          <w:footerReference w:type="default" r:id="rId9"/>
          <w:headerReference w:type="first" r:id="rId10"/>
          <w:footerReference w:type="first" r:id="rId11"/>
          <w:pgSz w:w="11907" w:h="16839" w:code="9"/>
          <w:pgMar w:top="737" w:right="1418" w:bottom="737" w:left="1418" w:header="567" w:footer="1219" w:gutter="0"/>
          <w:cols w:space="720"/>
          <w:titlePg/>
          <w:docGrid w:linePitch="326"/>
        </w:sectPr>
      </w:pPr>
      <w:r>
        <w:t>The potential of R&amp;I f</w:t>
      </w:r>
      <w:r w:rsidRPr="00C8426F">
        <w:t>oundations</w:t>
      </w:r>
    </w:p>
    <w:p w:rsidR="00410426" w:rsidRPr="00D818E3" w:rsidRDefault="00410426" w:rsidP="00410426">
      <w:pPr>
        <w:pStyle w:val="Heading1"/>
        <w:pBdr>
          <w:bottom w:val="none" w:sz="0" w:space="0" w:color="auto"/>
        </w:pBdr>
        <w:rPr>
          <w:b/>
          <w:color w:val="auto"/>
          <w:sz w:val="24"/>
          <w:szCs w:val="24"/>
          <w:lang w:val="en-GB"/>
        </w:rPr>
      </w:pPr>
      <w:bookmarkStart w:id="0" w:name="_Toc512342169"/>
      <w:bookmarkStart w:id="1" w:name="_Toc512342898"/>
      <w:bookmarkStart w:id="2" w:name="_Toc514326716"/>
      <w:r w:rsidRPr="00D818E3">
        <w:rPr>
          <w:b/>
          <w:color w:val="auto"/>
          <w:sz w:val="24"/>
          <w:szCs w:val="24"/>
          <w:lang w:val="en-GB"/>
        </w:rPr>
        <w:lastRenderedPageBreak/>
        <w:t>INTRODUCTION</w:t>
      </w:r>
      <w:bookmarkEnd w:id="0"/>
      <w:bookmarkEnd w:id="1"/>
      <w:bookmarkEnd w:id="2"/>
    </w:p>
    <w:p w:rsidR="00410426" w:rsidRPr="00D818E3" w:rsidRDefault="00410426" w:rsidP="00410426">
      <w:pPr>
        <w:spacing w:after="0"/>
        <w:jc w:val="both"/>
        <w:rPr>
          <w:rFonts w:ascii="Verdana" w:hAnsi="Verdana"/>
          <w:sz w:val="20"/>
          <w:szCs w:val="20"/>
        </w:rPr>
      </w:pPr>
      <w:r w:rsidRPr="00607D89">
        <w:rPr>
          <w:rFonts w:ascii="Verdana" w:hAnsi="Verdana"/>
          <w:sz w:val="18"/>
          <w:highlight w:val="yellow"/>
        </w:rPr>
        <w:br/>
      </w:r>
      <w:r w:rsidRPr="00D818E3">
        <w:rPr>
          <w:rFonts w:ascii="Verdana" w:hAnsi="Verdana"/>
          <w:sz w:val="20"/>
          <w:szCs w:val="20"/>
        </w:rPr>
        <w:t xml:space="preserve">Since the 1990s the number of foundations in the EU fostering Research and Innovation (R&amp;I) has grown exponentially. The EUFORI-Study on European Foundations for Research and Innovation </w:t>
      </w:r>
      <w:proofErr w:type="spellStart"/>
      <w:r w:rsidRPr="00D818E3">
        <w:rPr>
          <w:rFonts w:ascii="Verdana" w:hAnsi="Verdana"/>
          <w:sz w:val="20"/>
          <w:szCs w:val="20"/>
        </w:rPr>
        <w:t>signalled</w:t>
      </w:r>
      <w:proofErr w:type="spellEnd"/>
      <w:r w:rsidRPr="00D818E3">
        <w:rPr>
          <w:rFonts w:ascii="Verdana" w:hAnsi="Verdana"/>
          <w:sz w:val="20"/>
          <w:szCs w:val="20"/>
        </w:rPr>
        <w:t xml:space="preserve"> a strong and vibrant EU foundation community supporting R&amp;I.</w:t>
      </w:r>
      <w:r w:rsidRPr="00D818E3">
        <w:rPr>
          <w:rFonts w:ascii="Verdana" w:hAnsi="Verdana"/>
          <w:sz w:val="20"/>
          <w:szCs w:val="20"/>
          <w:vertAlign w:val="superscript"/>
        </w:rPr>
        <w:footnoteReference w:id="1"/>
      </w:r>
      <w:r w:rsidRPr="00D818E3">
        <w:rPr>
          <w:rFonts w:ascii="Verdana" w:hAnsi="Verdana"/>
          <w:sz w:val="20"/>
          <w:szCs w:val="20"/>
        </w:rPr>
        <w:t xml:space="preserve"> Figures show at minimum approximately €5 billion aggregate research funding is provided annually by R&amp;I foundations, that also possess estimated aggregate assets of at least €127 billion. </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t xml:space="preserve">It is of great significance that the European Commission (EC), particularly the Directorate-General for Research and Innovation (DG RTD), has taken serious notice of the magnitude of this research commitment of the European foundation community. </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t xml:space="preserve">The EC is committed to exploring different options within the research Framework </w:t>
      </w:r>
      <w:proofErr w:type="spellStart"/>
      <w:r w:rsidRPr="00D818E3">
        <w:rPr>
          <w:rFonts w:ascii="Verdana" w:hAnsi="Verdana"/>
          <w:sz w:val="20"/>
          <w:szCs w:val="20"/>
        </w:rPr>
        <w:t>Programme</w:t>
      </w:r>
      <w:proofErr w:type="spellEnd"/>
      <w:r w:rsidRPr="00D818E3">
        <w:rPr>
          <w:rFonts w:ascii="Verdana" w:hAnsi="Verdana"/>
          <w:sz w:val="20"/>
          <w:szCs w:val="20"/>
        </w:rPr>
        <w:t xml:space="preserve"> 9 (FP9) and post-Horizon 2020 </w:t>
      </w:r>
      <w:proofErr w:type="spellStart"/>
      <w:r w:rsidRPr="00D818E3">
        <w:rPr>
          <w:rFonts w:ascii="Verdana" w:hAnsi="Verdana"/>
          <w:sz w:val="20"/>
          <w:szCs w:val="20"/>
        </w:rPr>
        <w:t>programme</w:t>
      </w:r>
      <w:proofErr w:type="spellEnd"/>
      <w:r w:rsidRPr="00D818E3">
        <w:rPr>
          <w:rFonts w:ascii="Verdana" w:hAnsi="Verdana"/>
          <w:sz w:val="20"/>
          <w:szCs w:val="20"/>
        </w:rPr>
        <w:t xml:space="preserve"> for increasing the involvement of R&amp;I foundations in the European Union (EU). The few existing opportunities to involve foundations in partnerships have required tailor-made solutions which have been resource intensive and thus only feasible for the largest foundations. Until now EC models of grant-making were mainly focused on public-private business partnerships. By including a focus on foundations and philanthropic actors, the Expert Group on “Foundations, Venture Philanthropy and Social Investments” hopes and expects to see this dual model opened up and enlarged in the development of FP9 and post-Horizon 2020 </w:t>
      </w:r>
      <w:proofErr w:type="spellStart"/>
      <w:r w:rsidRPr="00D818E3">
        <w:rPr>
          <w:rFonts w:ascii="Verdana" w:hAnsi="Verdana"/>
          <w:sz w:val="20"/>
          <w:szCs w:val="20"/>
        </w:rPr>
        <w:t>programmes</w:t>
      </w:r>
      <w:proofErr w:type="spellEnd"/>
      <w:r w:rsidRPr="00D818E3">
        <w:rPr>
          <w:rFonts w:ascii="Verdana" w:hAnsi="Verdana"/>
          <w:sz w:val="20"/>
          <w:szCs w:val="20"/>
        </w:rPr>
        <w:t>. Foundations, however, bring much more than financial resources. They are rooted in society, and derive their legitimacy from the many contacts with the ‘capillaries’ in society that enable them to function as eyes and ears for research and innovation</w:t>
      </w:r>
      <w:r w:rsidRPr="00D818E3">
        <w:rPr>
          <w:rFonts w:ascii="Verdana" w:hAnsi="Verdana"/>
          <w:sz w:val="20"/>
          <w:szCs w:val="20"/>
          <w:vertAlign w:val="superscript"/>
        </w:rPr>
        <w:footnoteReference w:id="2"/>
      </w:r>
      <w:r w:rsidRPr="00D818E3">
        <w:rPr>
          <w:rFonts w:ascii="Verdana" w:hAnsi="Verdana"/>
          <w:sz w:val="20"/>
          <w:szCs w:val="20"/>
        </w:rPr>
        <w:t>. They possess extensive knowledge and expertise, and many are locally-based, a direct part of democracy and civic involvement. Inviting foundations and philanthropic institutions to join and share EC research policy signifies also the change towards ‘Open Science’, ‘Open Access’ and towards ‘Science with and for Society’ (</w:t>
      </w:r>
      <w:proofErr w:type="spellStart"/>
      <w:r w:rsidRPr="00D818E3">
        <w:rPr>
          <w:rFonts w:ascii="Verdana" w:hAnsi="Verdana"/>
          <w:sz w:val="20"/>
          <w:szCs w:val="20"/>
        </w:rPr>
        <w:t>SwafS</w:t>
      </w:r>
      <w:proofErr w:type="spellEnd"/>
      <w:r w:rsidRPr="00D818E3">
        <w:rPr>
          <w:rFonts w:ascii="Verdana" w:hAnsi="Verdana"/>
          <w:sz w:val="20"/>
          <w:szCs w:val="20"/>
        </w:rPr>
        <w:t>)</w:t>
      </w:r>
      <w:r w:rsidRPr="00D818E3">
        <w:rPr>
          <w:rFonts w:ascii="Verdana" w:hAnsi="Verdana"/>
          <w:sz w:val="20"/>
          <w:szCs w:val="20"/>
          <w:vertAlign w:val="superscript"/>
        </w:rPr>
        <w:footnoteReference w:id="3"/>
      </w:r>
      <w:r w:rsidRPr="00D818E3">
        <w:rPr>
          <w:rFonts w:ascii="Verdana" w:hAnsi="Verdana"/>
          <w:sz w:val="20"/>
          <w:szCs w:val="20"/>
        </w:rPr>
        <w:t xml:space="preserve">.   </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t>In contrast to the FP7 and H2020 models for research applications, the Expert Group</w:t>
      </w:r>
      <w:r>
        <w:rPr>
          <w:rFonts w:ascii="Verdana" w:hAnsi="Verdana"/>
          <w:sz w:val="20"/>
          <w:szCs w:val="20"/>
        </w:rPr>
        <w:t xml:space="preserve"> </w:t>
      </w:r>
      <w:r w:rsidRPr="00D818E3">
        <w:rPr>
          <w:rFonts w:ascii="Verdana" w:hAnsi="Verdana"/>
          <w:sz w:val="20"/>
          <w:szCs w:val="20"/>
        </w:rPr>
        <w:t>recommends decentralization and philanthropic eligibility in the forthcoming</w:t>
      </w:r>
      <w:r>
        <w:rPr>
          <w:rFonts w:ascii="Verdana" w:hAnsi="Verdana"/>
          <w:sz w:val="20"/>
          <w:szCs w:val="20"/>
        </w:rPr>
        <w:t xml:space="preserve"> </w:t>
      </w:r>
      <w:proofErr w:type="spellStart"/>
      <w:r w:rsidRPr="00D818E3">
        <w:rPr>
          <w:rFonts w:ascii="Verdana" w:hAnsi="Verdana"/>
          <w:sz w:val="20"/>
          <w:szCs w:val="20"/>
        </w:rPr>
        <w:t>programmes</w:t>
      </w:r>
      <w:proofErr w:type="spellEnd"/>
      <w:r w:rsidRPr="00D818E3">
        <w:rPr>
          <w:rFonts w:ascii="Verdana" w:hAnsi="Verdana"/>
          <w:sz w:val="20"/>
          <w:szCs w:val="20"/>
        </w:rPr>
        <w:t xml:space="preserve">. Decentralization of research policy and decision-making from the EC to national and regional platforms could enhance the rootedness, embeddedness and legitimacy of research grants (and of the EC at large). Philanthropic eligibility should be promoted by allowing R&amp;I foundations to become stakeholders in the decision-making and funding process, recognizing the potential of civic commitment to the European knowledge economy. </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lastRenderedPageBreak/>
        <w:t xml:space="preserve">This Expert Group was appointed to help pave this new way. The Expert Group was encouraged even to formulate ‘disruptive’ ideas and recommendations. It was mandated not to limit its focus to FP9 and Horizon 2020 but to widen its scope to encompass specific framework conditions that can only be addressed at the level of member states. </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t xml:space="preserve">The same open approach applied to the stakeholders to whom recommendations were to be addressed, and the final range included governments, foundations and their infrastructure and umbrella bodies, research institutes and businesses. In line with this, the Expert Group consisted of representatives from foundations, business and academia, in close contact with DG RTD officials and foundation and venture philanthropy umbrella </w:t>
      </w:r>
      <w:proofErr w:type="spellStart"/>
      <w:r w:rsidRPr="00D818E3">
        <w:rPr>
          <w:rFonts w:ascii="Verdana" w:hAnsi="Verdana"/>
          <w:sz w:val="20"/>
          <w:szCs w:val="20"/>
        </w:rPr>
        <w:t>organisations</w:t>
      </w:r>
      <w:proofErr w:type="spellEnd"/>
      <w:r w:rsidRPr="00D818E3">
        <w:rPr>
          <w:rFonts w:ascii="Verdana" w:hAnsi="Verdana"/>
          <w:sz w:val="20"/>
          <w:szCs w:val="20"/>
        </w:rPr>
        <w:t>. The Expert Group was charged to formulate a set of policy recommendations under three main topic headings:</w:t>
      </w:r>
    </w:p>
    <w:p w:rsidR="00410426" w:rsidRPr="00D818E3" w:rsidRDefault="00410426" w:rsidP="00410426">
      <w:pPr>
        <w:spacing w:after="0"/>
        <w:jc w:val="both"/>
        <w:rPr>
          <w:rFonts w:ascii="Verdana" w:hAnsi="Verdana"/>
          <w:sz w:val="20"/>
          <w:szCs w:val="20"/>
        </w:rPr>
      </w:pPr>
    </w:p>
    <w:p w:rsidR="00410426" w:rsidRPr="00D818E3" w:rsidRDefault="00410426" w:rsidP="00410426">
      <w:pPr>
        <w:numPr>
          <w:ilvl w:val="0"/>
          <w:numId w:val="4"/>
        </w:numPr>
        <w:spacing w:after="0"/>
        <w:jc w:val="both"/>
        <w:rPr>
          <w:rFonts w:ascii="Verdana" w:hAnsi="Verdana"/>
          <w:sz w:val="20"/>
          <w:szCs w:val="20"/>
        </w:rPr>
      </w:pPr>
      <w:r w:rsidRPr="00D818E3">
        <w:rPr>
          <w:rFonts w:ascii="Verdana" w:hAnsi="Verdana"/>
          <w:sz w:val="20"/>
          <w:szCs w:val="20"/>
        </w:rPr>
        <w:t xml:space="preserve">Identify the </w:t>
      </w:r>
      <w:r w:rsidRPr="00D818E3">
        <w:rPr>
          <w:rFonts w:ascii="Verdana" w:hAnsi="Verdana"/>
          <w:b/>
          <w:sz w:val="20"/>
          <w:szCs w:val="20"/>
        </w:rPr>
        <w:t>framework conditions</w:t>
      </w:r>
      <w:r w:rsidRPr="00D818E3">
        <w:rPr>
          <w:rFonts w:ascii="Verdana" w:hAnsi="Verdana"/>
          <w:sz w:val="20"/>
          <w:szCs w:val="20"/>
        </w:rPr>
        <w:t xml:space="preserve"> that could unleash the potential of R&amp;I Foundations and Venture Philanthropists supporting national and Pan-European R&amp;I activities. The group should describe and </w:t>
      </w:r>
      <w:proofErr w:type="spellStart"/>
      <w:r w:rsidRPr="00D818E3">
        <w:rPr>
          <w:rFonts w:ascii="Verdana" w:hAnsi="Verdana"/>
          <w:sz w:val="20"/>
          <w:szCs w:val="20"/>
        </w:rPr>
        <w:t>prioritise</w:t>
      </w:r>
      <w:proofErr w:type="spellEnd"/>
      <w:r w:rsidRPr="00D818E3">
        <w:rPr>
          <w:rFonts w:ascii="Verdana" w:hAnsi="Verdana"/>
          <w:sz w:val="20"/>
          <w:szCs w:val="20"/>
        </w:rPr>
        <w:t xml:space="preserve"> the untapped opportunities and challenges that the different framework conditions, such as tax incentives, could present to R&amp;I foundations.</w:t>
      </w:r>
    </w:p>
    <w:p w:rsidR="00410426" w:rsidRPr="00D818E3" w:rsidRDefault="00410426" w:rsidP="00410426">
      <w:pPr>
        <w:numPr>
          <w:ilvl w:val="0"/>
          <w:numId w:val="4"/>
        </w:numPr>
        <w:spacing w:after="0"/>
        <w:jc w:val="both"/>
        <w:rPr>
          <w:rFonts w:ascii="Verdana" w:hAnsi="Verdana"/>
          <w:sz w:val="20"/>
          <w:szCs w:val="20"/>
        </w:rPr>
      </w:pPr>
      <w:proofErr w:type="spellStart"/>
      <w:r w:rsidRPr="00D818E3">
        <w:rPr>
          <w:rFonts w:ascii="Verdana" w:hAnsi="Verdana"/>
          <w:sz w:val="20"/>
          <w:szCs w:val="20"/>
        </w:rPr>
        <w:t>Analyse</w:t>
      </w:r>
      <w:proofErr w:type="spellEnd"/>
      <w:r w:rsidRPr="00D818E3">
        <w:rPr>
          <w:rFonts w:ascii="Verdana" w:hAnsi="Verdana"/>
          <w:sz w:val="20"/>
          <w:szCs w:val="20"/>
        </w:rPr>
        <w:t xml:space="preserve"> the </w:t>
      </w:r>
      <w:r w:rsidRPr="00D818E3">
        <w:rPr>
          <w:rFonts w:ascii="Verdana" w:hAnsi="Verdana"/>
          <w:b/>
          <w:sz w:val="20"/>
          <w:szCs w:val="20"/>
        </w:rPr>
        <w:t>policy actions and innovative financial tools</w:t>
      </w:r>
      <w:r w:rsidRPr="00D818E3">
        <w:rPr>
          <w:rFonts w:ascii="Verdana" w:hAnsi="Verdana"/>
          <w:sz w:val="20"/>
          <w:szCs w:val="20"/>
        </w:rPr>
        <w:t xml:space="preserve"> available to governments and other stakeholders to leverage support, especially from R&amp;I foundations, to get R&amp;I ventures established on the market.</w:t>
      </w:r>
    </w:p>
    <w:p w:rsidR="00410426" w:rsidRPr="00D818E3" w:rsidRDefault="00410426" w:rsidP="00410426">
      <w:pPr>
        <w:numPr>
          <w:ilvl w:val="0"/>
          <w:numId w:val="4"/>
        </w:numPr>
        <w:spacing w:after="0"/>
        <w:jc w:val="both"/>
        <w:rPr>
          <w:rFonts w:ascii="Verdana" w:hAnsi="Verdana"/>
          <w:sz w:val="20"/>
          <w:szCs w:val="20"/>
        </w:rPr>
      </w:pPr>
      <w:r w:rsidRPr="00D818E3">
        <w:rPr>
          <w:rFonts w:ascii="Verdana" w:hAnsi="Verdana"/>
          <w:sz w:val="20"/>
          <w:szCs w:val="20"/>
        </w:rPr>
        <w:t xml:space="preserve">Explore </w:t>
      </w:r>
      <w:r w:rsidRPr="00D818E3">
        <w:rPr>
          <w:rFonts w:ascii="Verdana" w:hAnsi="Verdana"/>
          <w:b/>
          <w:sz w:val="20"/>
          <w:szCs w:val="20"/>
        </w:rPr>
        <w:t>collaborative approaches</w:t>
      </w:r>
      <w:r w:rsidRPr="00D818E3">
        <w:rPr>
          <w:rFonts w:ascii="Verdana" w:hAnsi="Verdana"/>
          <w:sz w:val="20"/>
          <w:szCs w:val="20"/>
        </w:rPr>
        <w:t xml:space="preserve"> between R&amp;I foundations, governments and other stakeholders that could foster R&amp;I activities. The group should </w:t>
      </w:r>
      <w:proofErr w:type="spellStart"/>
      <w:r w:rsidRPr="00D818E3">
        <w:rPr>
          <w:rFonts w:ascii="Verdana" w:hAnsi="Verdana"/>
          <w:sz w:val="20"/>
          <w:szCs w:val="20"/>
        </w:rPr>
        <w:t>analyse</w:t>
      </w:r>
      <w:proofErr w:type="spellEnd"/>
      <w:r w:rsidRPr="00D818E3">
        <w:rPr>
          <w:rFonts w:ascii="Verdana" w:hAnsi="Verdana"/>
          <w:sz w:val="20"/>
          <w:szCs w:val="20"/>
        </w:rPr>
        <w:t xml:space="preserve"> modes of collaboration, and describe how they added value to partners and could be replicated.</w:t>
      </w:r>
    </w:p>
    <w:p w:rsidR="00410426" w:rsidRPr="00D818E3" w:rsidRDefault="00410426" w:rsidP="00410426">
      <w:pPr>
        <w:spacing w:after="0"/>
        <w:jc w:val="both"/>
        <w:rPr>
          <w:rFonts w:ascii="Verdana" w:hAnsi="Verdana"/>
          <w:sz w:val="20"/>
          <w:szCs w:val="20"/>
        </w:rPr>
      </w:pPr>
    </w:p>
    <w:p w:rsidR="00410426" w:rsidRPr="00D818E3" w:rsidRDefault="00410426" w:rsidP="00410426">
      <w:pPr>
        <w:spacing w:after="0"/>
        <w:jc w:val="both"/>
        <w:rPr>
          <w:rFonts w:ascii="Verdana" w:hAnsi="Verdana"/>
          <w:sz w:val="20"/>
          <w:szCs w:val="20"/>
        </w:rPr>
      </w:pPr>
      <w:r w:rsidRPr="00D818E3">
        <w:rPr>
          <w:rFonts w:ascii="Verdana" w:hAnsi="Verdana"/>
          <w:sz w:val="20"/>
          <w:szCs w:val="20"/>
        </w:rPr>
        <w:t xml:space="preserve">For this report, the Expert Group has chosen to adopt a functional definition of foundations as part of institutional philanthropy, based on </w:t>
      </w:r>
      <w:r w:rsidRPr="00D818E3">
        <w:rPr>
          <w:rFonts w:ascii="Verdana" w:hAnsi="Verdana"/>
          <w:i/>
          <w:sz w:val="20"/>
          <w:szCs w:val="20"/>
        </w:rPr>
        <w:t>European Foundation Centre</w:t>
      </w:r>
      <w:r w:rsidRPr="00D818E3">
        <w:rPr>
          <w:rFonts w:ascii="Verdana" w:hAnsi="Verdana"/>
          <w:sz w:val="20"/>
          <w:szCs w:val="20"/>
        </w:rPr>
        <w:t xml:space="preserve">  (EFC) and academic sources</w:t>
      </w:r>
      <w:r w:rsidRPr="00D818E3">
        <w:rPr>
          <w:rFonts w:ascii="Verdana" w:hAnsi="Verdana"/>
          <w:sz w:val="20"/>
          <w:szCs w:val="20"/>
          <w:vertAlign w:val="superscript"/>
        </w:rPr>
        <w:footnoteReference w:id="4"/>
      </w:r>
      <w:r w:rsidRPr="00D818E3">
        <w:rPr>
          <w:rFonts w:ascii="Verdana" w:hAnsi="Verdana"/>
          <w:sz w:val="20"/>
          <w:szCs w:val="20"/>
        </w:rPr>
        <w:t xml:space="preserve">:    </w:t>
      </w:r>
    </w:p>
    <w:p w:rsidR="00410426" w:rsidRPr="00D818E3" w:rsidRDefault="00410426" w:rsidP="00410426">
      <w:pPr>
        <w:spacing w:after="0"/>
        <w:jc w:val="both"/>
        <w:rPr>
          <w:rFonts w:ascii="Verdana" w:hAnsi="Verdana"/>
          <w:i/>
          <w:sz w:val="20"/>
          <w:szCs w:val="20"/>
        </w:rPr>
      </w:pPr>
    </w:p>
    <w:p w:rsidR="00410426" w:rsidRPr="00D818E3" w:rsidRDefault="00410426" w:rsidP="00410426">
      <w:pPr>
        <w:spacing w:after="0"/>
        <w:jc w:val="both"/>
        <w:rPr>
          <w:rFonts w:ascii="Verdana" w:hAnsi="Verdana"/>
          <w:i/>
          <w:sz w:val="20"/>
          <w:szCs w:val="20"/>
        </w:rPr>
      </w:pPr>
      <w:r w:rsidRPr="00D818E3">
        <w:rPr>
          <w:rFonts w:ascii="Verdana" w:hAnsi="Verdana"/>
          <w:i/>
          <w:sz w:val="20"/>
          <w:szCs w:val="20"/>
        </w:rPr>
        <w:t>Foundations are philanthropic purpose-driven</w:t>
      </w:r>
      <w:r w:rsidRPr="00D818E3">
        <w:rPr>
          <w:rFonts w:ascii="Verdana" w:hAnsi="Verdana"/>
          <w:sz w:val="20"/>
          <w:szCs w:val="20"/>
          <w:vertAlign w:val="superscript"/>
        </w:rPr>
        <w:footnoteReference w:id="5"/>
      </w:r>
      <w:r w:rsidRPr="00D818E3">
        <w:rPr>
          <w:rFonts w:ascii="Verdana" w:hAnsi="Verdana"/>
          <w:i/>
          <w:sz w:val="20"/>
          <w:szCs w:val="20"/>
        </w:rPr>
        <w:t xml:space="preserve">, separately constituted non-profit </w:t>
      </w:r>
      <w:proofErr w:type="spellStart"/>
      <w:r w:rsidRPr="00D818E3">
        <w:rPr>
          <w:rFonts w:ascii="Verdana" w:hAnsi="Verdana"/>
          <w:i/>
          <w:sz w:val="20"/>
          <w:szCs w:val="20"/>
        </w:rPr>
        <w:t>organisations</w:t>
      </w:r>
      <w:proofErr w:type="spellEnd"/>
      <w:r w:rsidRPr="00D818E3">
        <w:rPr>
          <w:rFonts w:ascii="Verdana" w:hAnsi="Verdana"/>
          <w:i/>
          <w:sz w:val="20"/>
          <w:szCs w:val="20"/>
        </w:rPr>
        <w:t xml:space="preserve">. They have no members or shareholders. They have their own established and reliable source of income, usually but not exclusively from an endowment. They are private, self-governing, non-profit- distributing, serving a public purpose. </w:t>
      </w:r>
    </w:p>
    <w:p w:rsidR="003D43DC" w:rsidRDefault="003D43DC" w:rsidP="00410426">
      <w:pPr>
        <w:pStyle w:val="Heading5"/>
        <w:spacing w:after="240"/>
        <w:rPr>
          <w:rFonts w:ascii="Verdana" w:hAnsi="Verdana"/>
          <w:b/>
          <w:color w:val="auto"/>
          <w:sz w:val="20"/>
          <w:szCs w:val="20"/>
        </w:rPr>
      </w:pPr>
    </w:p>
    <w:p w:rsidR="00410426" w:rsidRPr="00085A44" w:rsidRDefault="00410426" w:rsidP="00410426">
      <w:pPr>
        <w:pStyle w:val="Heading5"/>
        <w:spacing w:after="240"/>
        <w:rPr>
          <w:rFonts w:ascii="Verdana" w:hAnsi="Verdana"/>
          <w:b/>
          <w:color w:val="auto"/>
          <w:sz w:val="20"/>
          <w:szCs w:val="20"/>
        </w:rPr>
      </w:pPr>
      <w:r w:rsidRPr="00085A44">
        <w:rPr>
          <w:rFonts w:ascii="Verdana" w:hAnsi="Verdana"/>
          <w:b/>
          <w:color w:val="auto"/>
          <w:sz w:val="20"/>
          <w:szCs w:val="20"/>
        </w:rPr>
        <w:t>Framework conditions</w:t>
      </w:r>
    </w:p>
    <w:p w:rsidR="00410426" w:rsidRPr="00085A44" w:rsidRDefault="00410426" w:rsidP="00410426">
      <w:pPr>
        <w:autoSpaceDE w:val="0"/>
        <w:autoSpaceDN w:val="0"/>
        <w:adjustRightInd w:val="0"/>
        <w:spacing w:after="0"/>
        <w:ind w:left="40" w:right="68"/>
        <w:jc w:val="both"/>
        <w:rPr>
          <w:rFonts w:ascii="Verdana" w:hAnsi="Verdana" w:cs="Calibri"/>
          <w:sz w:val="20"/>
        </w:rPr>
      </w:pPr>
      <w:r w:rsidRPr="00085A44">
        <w:rPr>
          <w:rFonts w:ascii="Verdana" w:hAnsi="Verdana" w:cs="Calibri"/>
          <w:sz w:val="20"/>
        </w:rPr>
        <w:t xml:space="preserve">One of the first obstacles that the Expert Group had to tackle was - and is - the diversity in national legal regulations regarding foundations. There is no common legal definition of a foundation within the EU member states, nor are there common regulations with regard to the way foundations are allowed to operate or use their capital. In some countries, foundations invest in R&amp;I by using their endowment and/or carrying out commercial activities; in others grant-making is the only legally accepted form. Therefore, the European Commission and the member states are encouraged to create an enabling legal environment for foundations. </w:t>
      </w:r>
    </w:p>
    <w:p w:rsidR="00410426" w:rsidRPr="00085A44" w:rsidRDefault="00410426" w:rsidP="00410426">
      <w:pPr>
        <w:autoSpaceDE w:val="0"/>
        <w:autoSpaceDN w:val="0"/>
        <w:adjustRightInd w:val="0"/>
        <w:spacing w:after="0"/>
        <w:ind w:left="40" w:right="68"/>
        <w:jc w:val="both"/>
        <w:rPr>
          <w:rFonts w:ascii="Verdana" w:hAnsi="Verdana" w:cs="Calibri"/>
          <w:sz w:val="20"/>
        </w:rPr>
      </w:pPr>
    </w:p>
    <w:p w:rsidR="00410426" w:rsidRPr="00085A44" w:rsidRDefault="00410426" w:rsidP="00410426">
      <w:pPr>
        <w:autoSpaceDE w:val="0"/>
        <w:autoSpaceDN w:val="0"/>
        <w:adjustRightInd w:val="0"/>
        <w:spacing w:after="0"/>
        <w:ind w:left="40" w:right="68"/>
        <w:jc w:val="both"/>
        <w:rPr>
          <w:rFonts w:ascii="Verdana" w:hAnsi="Verdana" w:cs="Calibri"/>
          <w:sz w:val="20"/>
        </w:rPr>
      </w:pPr>
      <w:r w:rsidRPr="00085A44">
        <w:rPr>
          <w:rFonts w:ascii="Verdana" w:hAnsi="Verdana" w:cs="Calibri"/>
          <w:sz w:val="20"/>
        </w:rPr>
        <w:t>As an important framework condition the Expert Group recommends the formulation of a common definition of what a European foundation is and stands for, in order to make it easier for foundations to partake in FP9. For the time being – regulatory change will take time - the status of legitimized public benefit foundation by national law in the member state of founding should be sufficient to be eligible. This is intended to ease and stimulate collaboration between foundations and the EC as well as create a level playing field with the private sector in entering partnerships and collaborating with EU funding.</w:t>
      </w:r>
    </w:p>
    <w:p w:rsidR="00410426" w:rsidRPr="00607D89" w:rsidRDefault="00410426" w:rsidP="00410426">
      <w:pPr>
        <w:autoSpaceDE w:val="0"/>
        <w:autoSpaceDN w:val="0"/>
        <w:adjustRightInd w:val="0"/>
        <w:spacing w:after="0"/>
        <w:ind w:left="40" w:right="68"/>
        <w:jc w:val="both"/>
        <w:rPr>
          <w:rFonts w:ascii="Verdana" w:hAnsi="Verdana" w:cs="Calibri"/>
          <w:sz w:val="18"/>
          <w:highlight w:val="yellow"/>
        </w:rPr>
      </w:pPr>
    </w:p>
    <w:p w:rsidR="00410426" w:rsidRPr="00085A44" w:rsidRDefault="00410426" w:rsidP="00410426">
      <w:pPr>
        <w:pStyle w:val="Heading5"/>
        <w:spacing w:after="240"/>
        <w:rPr>
          <w:rFonts w:ascii="Verdana" w:hAnsi="Verdana"/>
          <w:b/>
          <w:color w:val="auto"/>
          <w:sz w:val="20"/>
          <w:szCs w:val="20"/>
        </w:rPr>
      </w:pPr>
      <w:r w:rsidRPr="00085A44">
        <w:rPr>
          <w:rFonts w:ascii="Verdana" w:hAnsi="Verdana"/>
          <w:b/>
          <w:color w:val="auto"/>
          <w:sz w:val="20"/>
          <w:szCs w:val="20"/>
        </w:rPr>
        <w:t>Innovative financial tools and policy actions</w:t>
      </w:r>
    </w:p>
    <w:p w:rsidR="00410426" w:rsidRPr="00085A44" w:rsidRDefault="00410426" w:rsidP="00410426">
      <w:pPr>
        <w:spacing w:after="0"/>
        <w:jc w:val="both"/>
        <w:rPr>
          <w:rFonts w:ascii="Verdana" w:hAnsi="Verdana" w:cs="Calibri"/>
          <w:sz w:val="20"/>
          <w:szCs w:val="20"/>
        </w:rPr>
      </w:pPr>
      <w:r w:rsidRPr="00085A44">
        <w:rPr>
          <w:rFonts w:ascii="Verdana" w:hAnsi="Verdana" w:cs="Calibri"/>
          <w:sz w:val="20"/>
          <w:szCs w:val="20"/>
        </w:rPr>
        <w:t xml:space="preserve">In the second section, the Expert Group takes as its starting point the significant financing gap, or ‘valley of death’, which is holding back the progress of promising research and innovation. To cross the bridge from early-stage high-risk proof-of-concept phases, which cannot attract commercial investment, to the development of full social and market potential, research and innovation require access to a range of flexible funding options. Because of their independence and flexibility, R&amp;I foundations have a unique opportunity to provide support for early-stage or experimental research and innovations which have great potential for social benefit but as yet uncertain outcomes. Foundations are well-placed to apply the innovative funding tools which have proved so successful in growing social enterprise to the growth of research and innovation. Through adopting innovative financial solutions such as grants blended with forms of debt and equity, high-engagement venture philanthropy or social investment (aimed at both social and financial return), foundations can enable innovations to </w:t>
      </w:r>
      <w:proofErr w:type="spellStart"/>
      <w:r w:rsidRPr="00085A44">
        <w:rPr>
          <w:rFonts w:ascii="Verdana" w:hAnsi="Verdana" w:cs="Calibri"/>
          <w:sz w:val="20"/>
          <w:szCs w:val="20"/>
        </w:rPr>
        <w:t>prioritise</w:t>
      </w:r>
      <w:proofErr w:type="spellEnd"/>
      <w:r w:rsidRPr="00085A44">
        <w:rPr>
          <w:rFonts w:ascii="Verdana" w:hAnsi="Verdana" w:cs="Calibri"/>
          <w:sz w:val="20"/>
          <w:szCs w:val="20"/>
        </w:rPr>
        <w:t xml:space="preserve"> social impact potential whilst also developing financial sustainability.  </w:t>
      </w:r>
    </w:p>
    <w:p w:rsidR="00410426" w:rsidRPr="00085A44" w:rsidRDefault="00410426" w:rsidP="00410426">
      <w:pPr>
        <w:spacing w:after="0"/>
        <w:jc w:val="both"/>
        <w:rPr>
          <w:rFonts w:ascii="Verdana" w:hAnsi="Verdana" w:cs="Calibri"/>
          <w:sz w:val="20"/>
          <w:szCs w:val="20"/>
        </w:rPr>
      </w:pPr>
    </w:p>
    <w:p w:rsidR="00410426" w:rsidRPr="00085A44" w:rsidRDefault="00410426" w:rsidP="00410426">
      <w:pPr>
        <w:spacing w:after="0"/>
        <w:jc w:val="both"/>
        <w:rPr>
          <w:rFonts w:ascii="Verdana" w:hAnsi="Verdana" w:cs="Calibri"/>
          <w:b/>
          <w:sz w:val="20"/>
          <w:szCs w:val="20"/>
        </w:rPr>
      </w:pPr>
      <w:r w:rsidRPr="00085A44">
        <w:rPr>
          <w:rFonts w:ascii="Verdana" w:hAnsi="Verdana" w:cs="Calibri"/>
          <w:sz w:val="20"/>
          <w:szCs w:val="20"/>
        </w:rPr>
        <w:t xml:space="preserve">The Expert Group invites R&amp;I foundations to learn new ways of achieving their mission, and to work with new partners. Governments are called on to take the lead in empowering and </w:t>
      </w:r>
      <w:proofErr w:type="spellStart"/>
      <w:r w:rsidRPr="00085A44">
        <w:rPr>
          <w:rFonts w:ascii="Verdana" w:hAnsi="Verdana" w:cs="Calibri"/>
          <w:sz w:val="20"/>
          <w:szCs w:val="20"/>
        </w:rPr>
        <w:t>incentivising</w:t>
      </w:r>
      <w:proofErr w:type="spellEnd"/>
      <w:r w:rsidRPr="00085A44">
        <w:rPr>
          <w:rFonts w:ascii="Verdana" w:hAnsi="Verdana" w:cs="Calibri"/>
          <w:sz w:val="20"/>
          <w:szCs w:val="20"/>
        </w:rPr>
        <w:t xml:space="preserve"> foundations and others to develop full spectrum funding and use innovative </w:t>
      </w:r>
      <w:r w:rsidRPr="00085A44">
        <w:rPr>
          <w:rFonts w:ascii="Verdana" w:hAnsi="Verdana" w:cs="Calibri"/>
          <w:sz w:val="20"/>
          <w:szCs w:val="20"/>
        </w:rPr>
        <w:lastRenderedPageBreak/>
        <w:t xml:space="preserve">financial tools to help progress research and innovation, as the examples of the UK and Portugal show. </w:t>
      </w:r>
    </w:p>
    <w:p w:rsidR="00410426" w:rsidRDefault="00410426" w:rsidP="00410426">
      <w:pPr>
        <w:spacing w:after="0"/>
        <w:jc w:val="both"/>
        <w:rPr>
          <w:rFonts w:ascii="Verdana" w:hAnsi="Verdana" w:cs="Calibri"/>
          <w:sz w:val="20"/>
          <w:szCs w:val="20"/>
          <w:highlight w:val="yellow"/>
        </w:rPr>
      </w:pPr>
    </w:p>
    <w:p w:rsidR="00410426" w:rsidRPr="00085A44" w:rsidRDefault="00410426" w:rsidP="00410426">
      <w:pPr>
        <w:pStyle w:val="Heading5"/>
        <w:spacing w:after="240"/>
        <w:rPr>
          <w:rFonts w:ascii="Verdana" w:hAnsi="Verdana"/>
          <w:b/>
          <w:color w:val="auto"/>
          <w:sz w:val="20"/>
          <w:szCs w:val="20"/>
        </w:rPr>
      </w:pPr>
      <w:r w:rsidRPr="00085A44">
        <w:rPr>
          <w:rFonts w:ascii="Verdana" w:hAnsi="Verdana"/>
          <w:b/>
          <w:color w:val="auto"/>
          <w:sz w:val="20"/>
          <w:szCs w:val="20"/>
        </w:rPr>
        <w:t>Collaborative approaches</w:t>
      </w:r>
    </w:p>
    <w:p w:rsidR="00410426" w:rsidRPr="00085A44" w:rsidRDefault="00410426" w:rsidP="00410426">
      <w:pPr>
        <w:spacing w:after="0"/>
        <w:jc w:val="both"/>
        <w:rPr>
          <w:rFonts w:ascii="Verdana" w:hAnsi="Verdana" w:cs="Calibri"/>
          <w:sz w:val="20"/>
          <w:szCs w:val="20"/>
        </w:rPr>
      </w:pPr>
      <w:r w:rsidRPr="00085A44">
        <w:rPr>
          <w:rFonts w:ascii="Verdana" w:hAnsi="Verdana" w:cs="Calibri"/>
          <w:sz w:val="20"/>
          <w:szCs w:val="20"/>
        </w:rPr>
        <w:t xml:space="preserve">In section three collaborative opportunities are presented and recommended for all actors involved. The EU foundation community comprises a small number of professionally-staffed and very large foundations; the majority however, consists of small, </w:t>
      </w:r>
      <w:proofErr w:type="spellStart"/>
      <w:r w:rsidRPr="00085A44">
        <w:rPr>
          <w:rFonts w:ascii="Verdana" w:hAnsi="Verdana" w:cs="Calibri"/>
          <w:sz w:val="20"/>
          <w:szCs w:val="20"/>
        </w:rPr>
        <w:t>specialised</w:t>
      </w:r>
      <w:proofErr w:type="spellEnd"/>
      <w:r w:rsidRPr="00085A44">
        <w:rPr>
          <w:rFonts w:ascii="Verdana" w:hAnsi="Verdana" w:cs="Calibri"/>
          <w:sz w:val="20"/>
          <w:szCs w:val="20"/>
        </w:rPr>
        <w:t xml:space="preserve"> and medium-sized institutions. Most smaller and </w:t>
      </w:r>
      <w:proofErr w:type="spellStart"/>
      <w:r w:rsidRPr="00085A44">
        <w:rPr>
          <w:rFonts w:ascii="Verdana" w:hAnsi="Verdana" w:cs="Calibri"/>
          <w:sz w:val="20"/>
          <w:szCs w:val="20"/>
        </w:rPr>
        <w:t>specialised</w:t>
      </w:r>
      <w:proofErr w:type="spellEnd"/>
      <w:r w:rsidRPr="00085A44">
        <w:rPr>
          <w:rFonts w:ascii="Verdana" w:hAnsi="Verdana" w:cs="Calibri"/>
          <w:sz w:val="20"/>
          <w:szCs w:val="20"/>
        </w:rPr>
        <w:t xml:space="preserve"> foundations use R&amp;I as a means to address societal challenges. The smaller foundations in particular value their independence and autonomy and are often locally-based, rooted in and committed to their own communities. Incentives for achieving greater impact and efficiency, and for scaling-up the benefits of their funding, would be likely to heighten their motivation to collaborate with EC-funded projects or </w:t>
      </w:r>
      <w:proofErr w:type="spellStart"/>
      <w:r w:rsidRPr="00085A44">
        <w:rPr>
          <w:rFonts w:ascii="Verdana" w:hAnsi="Verdana" w:cs="Calibri"/>
          <w:sz w:val="20"/>
          <w:szCs w:val="20"/>
        </w:rPr>
        <w:t>programmes</w:t>
      </w:r>
      <w:proofErr w:type="spellEnd"/>
      <w:r w:rsidRPr="00085A44">
        <w:rPr>
          <w:rFonts w:ascii="Verdana" w:hAnsi="Verdana" w:cs="Calibri"/>
          <w:sz w:val="20"/>
          <w:szCs w:val="20"/>
        </w:rPr>
        <w:t xml:space="preserve">, as well as with government or business.   </w:t>
      </w:r>
    </w:p>
    <w:p w:rsidR="00410426" w:rsidRPr="00085A44" w:rsidRDefault="00410426" w:rsidP="00410426">
      <w:pPr>
        <w:spacing w:after="0"/>
        <w:jc w:val="both"/>
        <w:rPr>
          <w:rFonts w:ascii="Verdana" w:hAnsi="Verdana" w:cs="Calibri"/>
          <w:sz w:val="20"/>
          <w:szCs w:val="20"/>
        </w:rPr>
      </w:pPr>
      <w:r w:rsidRPr="00085A44">
        <w:rPr>
          <w:rFonts w:ascii="Verdana" w:hAnsi="Verdana" w:cs="Calibri"/>
          <w:sz w:val="20"/>
          <w:szCs w:val="20"/>
        </w:rPr>
        <w:t xml:space="preserve">   </w:t>
      </w:r>
    </w:p>
    <w:p w:rsidR="00410426" w:rsidRPr="00085A44" w:rsidRDefault="00410426" w:rsidP="00410426">
      <w:pPr>
        <w:spacing w:after="0"/>
        <w:jc w:val="both"/>
        <w:rPr>
          <w:rFonts w:ascii="Verdana" w:hAnsi="Verdana" w:cs="Calibri"/>
          <w:sz w:val="20"/>
          <w:szCs w:val="20"/>
        </w:rPr>
      </w:pPr>
      <w:r w:rsidRPr="00085A44">
        <w:rPr>
          <w:rFonts w:ascii="Verdana" w:hAnsi="Verdana" w:cs="Calibri"/>
          <w:sz w:val="20"/>
          <w:szCs w:val="20"/>
        </w:rPr>
        <w:t>If bringing different actors together is to lead to concrete actions, this has in many cases to be grounded in shared missions. Mission-driven alignments create opportunities for connecting different actors through new forms of partnerships.</w:t>
      </w:r>
      <w:r w:rsidRPr="00085A44">
        <w:rPr>
          <w:rFonts w:ascii="Verdana" w:hAnsi="Verdana" w:cs="Calibri"/>
          <w:sz w:val="20"/>
          <w:szCs w:val="20"/>
          <w:vertAlign w:val="superscript"/>
        </w:rPr>
        <w:footnoteReference w:id="6"/>
      </w:r>
      <w:r w:rsidRPr="00085A44">
        <w:rPr>
          <w:rFonts w:ascii="Verdana" w:hAnsi="Verdana" w:cs="Calibri"/>
          <w:sz w:val="20"/>
          <w:szCs w:val="20"/>
        </w:rPr>
        <w:t xml:space="preserve"> Potential alignments have to be made at different levels: alignment of the largest foundations at EC and or national levels and of the smaller and medium-sized foundations at national, regional or local levels.  </w:t>
      </w:r>
    </w:p>
    <w:p w:rsidR="00410426" w:rsidRPr="00085A44" w:rsidRDefault="00410426" w:rsidP="00410426">
      <w:pPr>
        <w:spacing w:after="0"/>
        <w:jc w:val="both"/>
        <w:rPr>
          <w:rFonts w:ascii="Verdana" w:hAnsi="Verdana" w:cs="Calibri"/>
          <w:sz w:val="20"/>
          <w:szCs w:val="20"/>
        </w:rPr>
      </w:pPr>
    </w:p>
    <w:p w:rsidR="00410426" w:rsidRPr="00085A44" w:rsidRDefault="00410426" w:rsidP="00410426">
      <w:pPr>
        <w:spacing w:after="0"/>
        <w:jc w:val="both"/>
        <w:rPr>
          <w:rFonts w:ascii="Verdana" w:hAnsi="Verdana" w:cs="Calibri"/>
          <w:sz w:val="20"/>
          <w:szCs w:val="20"/>
          <w:highlight w:val="yellow"/>
        </w:rPr>
      </w:pPr>
      <w:r w:rsidRPr="00085A44">
        <w:rPr>
          <w:rFonts w:ascii="Verdana" w:hAnsi="Verdana" w:cs="Calibri"/>
          <w:sz w:val="20"/>
          <w:szCs w:val="20"/>
        </w:rPr>
        <w:t xml:space="preserve">The Expert Group recommends that foundations should be encouraged to play a role in initiating innovative R&amp;I projects because of their independence and flexible private resources.   </w:t>
      </w:r>
    </w:p>
    <w:p w:rsidR="00410426" w:rsidRDefault="00410426" w:rsidP="00410426">
      <w:pPr>
        <w:spacing w:after="0"/>
        <w:jc w:val="both"/>
        <w:rPr>
          <w:rFonts w:ascii="Verdana" w:hAnsi="Verdana" w:cs="Calibri"/>
          <w:sz w:val="20"/>
          <w:szCs w:val="20"/>
          <w:highlight w:val="yellow"/>
        </w:rPr>
      </w:pPr>
    </w:p>
    <w:p w:rsidR="00410426" w:rsidRPr="00085A44" w:rsidRDefault="00410426" w:rsidP="00410426">
      <w:pPr>
        <w:pStyle w:val="Heading5"/>
        <w:spacing w:after="240"/>
        <w:rPr>
          <w:rFonts w:ascii="Verdana" w:hAnsi="Verdana"/>
          <w:b/>
          <w:color w:val="auto"/>
          <w:sz w:val="20"/>
          <w:szCs w:val="20"/>
        </w:rPr>
      </w:pPr>
      <w:r w:rsidRPr="00085A44">
        <w:rPr>
          <w:rFonts w:ascii="Verdana" w:hAnsi="Verdana"/>
          <w:b/>
          <w:color w:val="auto"/>
          <w:sz w:val="20"/>
          <w:szCs w:val="20"/>
        </w:rPr>
        <w:t xml:space="preserve">Favourable conditions </w:t>
      </w:r>
    </w:p>
    <w:p w:rsidR="00410426" w:rsidRPr="00085A44" w:rsidRDefault="00410426" w:rsidP="00410426">
      <w:pPr>
        <w:spacing w:after="0"/>
        <w:jc w:val="both"/>
        <w:rPr>
          <w:rFonts w:ascii="Verdana" w:hAnsi="Verdana"/>
          <w:sz w:val="20"/>
          <w:szCs w:val="20"/>
        </w:rPr>
      </w:pPr>
      <w:r w:rsidRPr="00085A44">
        <w:rPr>
          <w:rFonts w:ascii="Verdana" w:hAnsi="Verdana"/>
          <w:sz w:val="20"/>
          <w:szCs w:val="20"/>
        </w:rPr>
        <w:t>Europe has a long history of philanthropy and charity, stretching from ancient times through the Middle Ages to the 21</w:t>
      </w:r>
      <w:r w:rsidRPr="00085A44">
        <w:rPr>
          <w:rFonts w:ascii="Verdana" w:hAnsi="Verdana"/>
          <w:sz w:val="20"/>
          <w:szCs w:val="20"/>
          <w:vertAlign w:val="superscript"/>
        </w:rPr>
        <w:t>st</w:t>
      </w:r>
      <w:r w:rsidRPr="00085A44">
        <w:rPr>
          <w:rFonts w:ascii="Verdana" w:hAnsi="Verdana"/>
          <w:sz w:val="20"/>
          <w:szCs w:val="20"/>
        </w:rPr>
        <w:t xml:space="preserve"> century. Today philanthropy, “private, voluntary action to serve the public good”</w:t>
      </w:r>
      <w:r w:rsidRPr="00085A44">
        <w:rPr>
          <w:rFonts w:ascii="Verdana" w:hAnsi="Verdana"/>
          <w:sz w:val="20"/>
          <w:szCs w:val="20"/>
          <w:vertAlign w:val="superscript"/>
        </w:rPr>
        <w:footnoteReference w:id="7"/>
      </w:r>
      <w:r w:rsidRPr="00085A44">
        <w:rPr>
          <w:rFonts w:ascii="Verdana" w:hAnsi="Verdana"/>
          <w:sz w:val="20"/>
          <w:szCs w:val="20"/>
        </w:rPr>
        <w:t xml:space="preserve">  has a central place on stage, in Europe and globally. A first (incomplete) feasibility study of Europe’s philanthropic contributions indicated that they amounted to an aggregate total of approximately €90 billion annually.</w:t>
      </w:r>
      <w:r w:rsidRPr="00085A44">
        <w:rPr>
          <w:rFonts w:ascii="Verdana" w:hAnsi="Verdana"/>
          <w:sz w:val="20"/>
          <w:szCs w:val="20"/>
          <w:vertAlign w:val="superscript"/>
        </w:rPr>
        <w:footnoteReference w:id="8"/>
      </w:r>
      <w:r w:rsidRPr="00085A44">
        <w:rPr>
          <w:rFonts w:ascii="Verdana" w:hAnsi="Verdana"/>
          <w:sz w:val="20"/>
          <w:szCs w:val="20"/>
        </w:rPr>
        <w:t xml:space="preserve"> In a </w:t>
      </w:r>
      <w:proofErr w:type="spellStart"/>
      <w:r w:rsidRPr="00085A44">
        <w:rPr>
          <w:rFonts w:ascii="Verdana" w:hAnsi="Verdana"/>
          <w:sz w:val="20"/>
          <w:szCs w:val="20"/>
        </w:rPr>
        <w:t>favourable</w:t>
      </w:r>
      <w:proofErr w:type="spellEnd"/>
      <w:r w:rsidRPr="00085A44">
        <w:rPr>
          <w:rFonts w:ascii="Verdana" w:hAnsi="Verdana"/>
          <w:sz w:val="20"/>
          <w:szCs w:val="20"/>
        </w:rPr>
        <w:t xml:space="preserve"> context of private wealth, of demographic trends around increased longevity and foremost of a cultural shift towards greater civic social responsibility, popularly called the ‘Do it Yourself’ trend, individuals are increasingly motivated to launch foundations. Since the 1990s the number of </w:t>
      </w:r>
      <w:r w:rsidRPr="00085A44">
        <w:rPr>
          <w:rFonts w:ascii="Verdana" w:hAnsi="Verdana"/>
          <w:sz w:val="20"/>
          <w:szCs w:val="20"/>
        </w:rPr>
        <w:lastRenderedPageBreak/>
        <w:t>new family or corporately-founded, private and community foundations, and donor advised funds has been growing fast. They join the existing EU foundation community, some of which dates back to the 14</w:t>
      </w:r>
      <w:r w:rsidRPr="00085A44">
        <w:rPr>
          <w:rFonts w:ascii="Verdana" w:hAnsi="Verdana"/>
          <w:sz w:val="20"/>
          <w:szCs w:val="20"/>
          <w:vertAlign w:val="superscript"/>
        </w:rPr>
        <w:t>th</w:t>
      </w:r>
      <w:r w:rsidRPr="00085A44">
        <w:rPr>
          <w:rFonts w:ascii="Verdana" w:hAnsi="Verdana"/>
          <w:sz w:val="20"/>
          <w:szCs w:val="20"/>
        </w:rPr>
        <w:t xml:space="preserve"> century. Over the next twenty years the largest inter-generational financial transfer in EU history is expected to take place. Europe is entering a potential “Golden Age of Philanthropy” that will occur in many EU member-states.</w:t>
      </w:r>
      <w:r w:rsidRPr="00085A44">
        <w:rPr>
          <w:rFonts w:ascii="Verdana" w:hAnsi="Verdana"/>
          <w:sz w:val="20"/>
          <w:szCs w:val="20"/>
          <w:vertAlign w:val="superscript"/>
        </w:rPr>
        <w:footnoteReference w:id="9"/>
      </w:r>
      <w:r w:rsidRPr="00085A44">
        <w:rPr>
          <w:rFonts w:ascii="Verdana" w:hAnsi="Verdana"/>
          <w:sz w:val="20"/>
          <w:szCs w:val="20"/>
        </w:rPr>
        <w:t xml:space="preserve"> The report of this Expert Group reflects and expresses this promising and hopeful future. There is a world to win, but if the EU – and the EU knowledge economy – is to profit fully from the opportunity, then its structures and cultures need to be adapted.</w:t>
      </w:r>
    </w:p>
    <w:p w:rsidR="00410426" w:rsidRDefault="00410426" w:rsidP="00410426">
      <w:pPr>
        <w:spacing w:after="0"/>
        <w:jc w:val="both"/>
        <w:rPr>
          <w:rFonts w:ascii="Verdana" w:hAnsi="Verdana"/>
          <w:sz w:val="20"/>
          <w:szCs w:val="20"/>
          <w:highlight w:val="yellow"/>
        </w:rPr>
      </w:pPr>
    </w:p>
    <w:p w:rsidR="00410426" w:rsidRPr="00085A44" w:rsidRDefault="00410426" w:rsidP="00410426">
      <w:pPr>
        <w:pStyle w:val="Heading5"/>
        <w:spacing w:after="240"/>
        <w:jc w:val="both"/>
        <w:rPr>
          <w:rFonts w:ascii="Verdana" w:hAnsi="Verdana"/>
          <w:b/>
          <w:color w:val="auto"/>
          <w:sz w:val="20"/>
          <w:szCs w:val="20"/>
        </w:rPr>
      </w:pPr>
      <w:r w:rsidRPr="00085A44">
        <w:rPr>
          <w:rFonts w:ascii="Verdana" w:hAnsi="Verdana"/>
          <w:b/>
          <w:color w:val="auto"/>
          <w:sz w:val="20"/>
          <w:szCs w:val="20"/>
        </w:rPr>
        <w:t>A European social model?</w:t>
      </w:r>
    </w:p>
    <w:p w:rsidR="00410426" w:rsidRPr="00085A44" w:rsidRDefault="00410426" w:rsidP="00410426">
      <w:pPr>
        <w:pStyle w:val="CommentText"/>
        <w:spacing w:line="276" w:lineRule="auto"/>
        <w:jc w:val="both"/>
        <w:rPr>
          <w:rFonts w:ascii="Verdana" w:hAnsi="Verdana"/>
        </w:rPr>
      </w:pPr>
      <w:r w:rsidRPr="00085A44">
        <w:rPr>
          <w:rFonts w:ascii="Verdana" w:hAnsi="Verdana"/>
        </w:rPr>
        <w:t>Europe harbours a strong civil society alongside government and market. A long history of philanthropic effort driven by religion and civic action has led to the creation of an institutionalized ‘social midfield’ of voluntary and philanthropic organisations which lie between the citizen and the state. It is important to be aware of the fact that “Philanthropy is a European invention”</w:t>
      </w:r>
      <w:r w:rsidRPr="00085A44">
        <w:rPr>
          <w:rFonts w:ascii="Verdana" w:hAnsi="Verdana"/>
          <w:vertAlign w:val="superscript"/>
        </w:rPr>
        <w:footnoteReference w:id="10"/>
      </w:r>
      <w:r w:rsidRPr="00085A44">
        <w:rPr>
          <w:rFonts w:ascii="Verdana" w:hAnsi="Verdana"/>
        </w:rPr>
        <w:t xml:space="preserve">. </w:t>
      </w:r>
    </w:p>
    <w:p w:rsidR="00410426" w:rsidRPr="00085A44" w:rsidRDefault="00410426" w:rsidP="00410426">
      <w:pPr>
        <w:pStyle w:val="CommentText"/>
        <w:spacing w:line="276" w:lineRule="auto"/>
        <w:jc w:val="both"/>
        <w:rPr>
          <w:rFonts w:ascii="Verdana" w:hAnsi="Verdana"/>
        </w:rPr>
      </w:pPr>
      <w:r w:rsidRPr="00085A44">
        <w:rPr>
          <w:rFonts w:ascii="Verdana" w:hAnsi="Verdana"/>
        </w:rPr>
        <w:t>The policy of the EC to open its research programmes to the European foundation community, signifies a step beyond the dual model of the state as either ‘government – or market’. By integrating philanthropy into the European welfare state model, a new ‘diversified social model’ will appear, echoing the slogan of the French Revolution: freedom (the market), equality (government) and fraternity (philanthropic commitment).</w:t>
      </w:r>
    </w:p>
    <w:p w:rsidR="00410426" w:rsidRPr="00085A44" w:rsidRDefault="00410426" w:rsidP="00410426">
      <w:pPr>
        <w:spacing w:after="160" w:line="259" w:lineRule="auto"/>
        <w:rPr>
          <w:rFonts w:ascii="Verdana" w:hAnsi="Verdana"/>
        </w:rPr>
      </w:pPr>
      <w:r w:rsidRPr="00085A44">
        <w:rPr>
          <w:rFonts w:ascii="Verdana" w:hAnsi="Verdana"/>
        </w:rPr>
        <w:br w:type="page"/>
      </w:r>
    </w:p>
    <w:p w:rsidR="00410426" w:rsidRDefault="00410426" w:rsidP="00410426"/>
    <w:sectPr w:rsidR="004104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26" w:rsidRDefault="00410426" w:rsidP="00410426">
      <w:pPr>
        <w:spacing w:after="0" w:line="240" w:lineRule="auto"/>
      </w:pPr>
      <w:r>
        <w:separator/>
      </w:r>
    </w:p>
  </w:endnote>
  <w:endnote w:type="continuationSeparator" w:id="0">
    <w:p w:rsidR="00410426" w:rsidRDefault="00410426" w:rsidP="0041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C" w:rsidRDefault="003D43DC" w:rsidP="005A2F5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C" w:rsidRDefault="003D43DC" w:rsidP="005A2F54">
    <w:pPr>
      <w:pStyle w:val="FooterDate"/>
      <w:ind w:right="-1"/>
      <w:rPr>
        <w:rFonts w:cs="Arial"/>
        <w:sz w:val="18"/>
        <w:szCs w:val="18"/>
      </w:rPr>
    </w:pPr>
  </w:p>
  <w:p w:rsidR="003D43DC" w:rsidRPr="00C8426F" w:rsidRDefault="003D43DC" w:rsidP="005A2F54">
    <w:pPr>
      <w:pStyle w:val="FooterDate"/>
      <w:ind w:right="-1"/>
      <w:rPr>
        <w:rFonts w:cs="Arial"/>
        <w:sz w:val="18"/>
        <w:szCs w:val="18"/>
        <w:lang w:val="en-GB"/>
      </w:rPr>
    </w:pPr>
    <w:r w:rsidRPr="00C8426F">
      <w:rPr>
        <w:rFonts w:cs="Arial"/>
        <w:sz w:val="18"/>
        <w:szCs w:val="18"/>
        <w:lang w:val="en-GB"/>
      </w:rPr>
      <w:t xml:space="preserve">Written by </w:t>
    </w:r>
    <w:r>
      <w:rPr>
        <w:rFonts w:cs="Arial"/>
        <w:sz w:val="18"/>
        <w:szCs w:val="18"/>
        <w:lang w:val="en-GB"/>
      </w:rPr>
      <w:t xml:space="preserve">the </w:t>
    </w:r>
    <w:r w:rsidRPr="00C8426F">
      <w:rPr>
        <w:rFonts w:cs="Arial"/>
        <w:sz w:val="18"/>
        <w:szCs w:val="18"/>
        <w:lang w:val="en-GB"/>
      </w:rPr>
      <w:t xml:space="preserve">Expert Group on </w:t>
    </w:r>
    <w:r>
      <w:rPr>
        <w:rFonts w:cs="Arial"/>
        <w:sz w:val="18"/>
        <w:szCs w:val="18"/>
        <w:lang w:val="en-GB"/>
      </w:rPr>
      <w:t>“</w:t>
    </w:r>
    <w:r w:rsidRPr="00C8426F">
      <w:rPr>
        <w:rFonts w:cs="Arial"/>
        <w:sz w:val="18"/>
        <w:szCs w:val="18"/>
        <w:lang w:val="en-GB"/>
      </w:rPr>
      <w:t>Foundations, Venture Philanthropy and Social Investments</w:t>
    </w:r>
    <w:r>
      <w:rPr>
        <w:rFonts w:cs="Arial"/>
        <w:sz w:val="18"/>
        <w:szCs w:val="18"/>
        <w:lang w:val="en-GB"/>
      </w:rPr>
      <w:t>”</w:t>
    </w:r>
  </w:p>
  <w:p w:rsidR="003D43DC" w:rsidRPr="00C8426F" w:rsidRDefault="003D43DC" w:rsidP="005A2F54">
    <w:pPr>
      <w:pStyle w:val="FooterDate"/>
      <w:ind w:right="-1"/>
      <w:rPr>
        <w:rFonts w:cs="Arial"/>
        <w:sz w:val="18"/>
        <w:szCs w:val="18"/>
        <w:lang w:val="en-GB"/>
      </w:rPr>
    </w:pPr>
    <w:r>
      <w:rPr>
        <w:rFonts w:cs="Arial"/>
        <w:sz w:val="18"/>
        <w:szCs w:val="18"/>
        <w:lang w:val="en-GB"/>
      </w:rPr>
      <w:t>April</w:t>
    </w:r>
    <w:r w:rsidRPr="00C8426F">
      <w:rPr>
        <w:rFonts w:cs="Arial"/>
        <w:i/>
        <w:sz w:val="18"/>
        <w:szCs w:val="18"/>
        <w:lang w:val="en-GB"/>
      </w:rPr>
      <w:t xml:space="preserve"> – </w:t>
    </w:r>
    <w:r w:rsidRPr="00C8426F">
      <w:rPr>
        <w:rFonts w:cs="Arial"/>
        <w:sz w:val="18"/>
        <w:szCs w:val="18"/>
        <w:lang w:val="en-GB"/>
      </w:rPr>
      <w:t>2018</w:t>
    </w:r>
  </w:p>
  <w:p w:rsidR="003D43DC" w:rsidRPr="001D2A51" w:rsidRDefault="003D43DC" w:rsidP="005A2F54">
    <w:pPr>
      <w:pStyle w:val="FooterDate"/>
      <w:ind w:right="-1"/>
      <w:jc w:val="right"/>
      <w:rPr>
        <w:rFonts w:cs="Arial"/>
        <w:sz w:val="18"/>
        <w:szCs w:val="18"/>
      </w:rPr>
    </w:pPr>
    <w:r w:rsidRPr="001D2A51">
      <w:rPr>
        <w:noProof/>
        <w:sz w:val="18"/>
        <w:szCs w:val="18"/>
        <w:lang w:val="en-US"/>
      </w:rPr>
      <w:drawing>
        <wp:anchor distT="0" distB="0" distL="114300" distR="114300" simplePos="0" relativeHeight="251661312" behindDoc="0" locked="0" layoutInCell="1" allowOverlap="1" wp14:anchorId="316E3DF0" wp14:editId="6D4AF23B">
          <wp:simplePos x="0" y="0"/>
          <wp:positionH relativeFrom="page">
            <wp:align>center</wp:align>
          </wp:positionH>
          <wp:positionV relativeFrom="page">
            <wp:align>bottom</wp:align>
          </wp:positionV>
          <wp:extent cx="838200" cy="561975"/>
          <wp:effectExtent l="19050" t="0" r="0" b="0"/>
          <wp:wrapNone/>
          <wp:docPr id="5" name="Picture 1" descr="C:\DOCUME~1\lenain\LOCALS~1\Temp\7zE77.tmp\Footer Box RTD EN 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lenain\LOCALS~1\Temp\7zE77.tmp\Footer Box RTD EN Cyan.png"/>
                  <pic:cNvPicPr>
                    <a:picLocks noChangeAspect="1" noChangeArrowheads="1"/>
                  </pic:cNvPicPr>
                </pic:nvPicPr>
                <pic:blipFill>
                  <a:blip r:embed="rId1"/>
                  <a:srcRect/>
                  <a:stretch>
                    <a:fillRect/>
                  </a:stretch>
                </pic:blipFill>
                <pic:spPr bwMode="auto">
                  <a:xfrm>
                    <a:off x="0" y="0"/>
                    <a:ext cx="838200" cy="5619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26" w:rsidRDefault="00410426" w:rsidP="00410426">
      <w:pPr>
        <w:spacing w:after="0" w:line="240" w:lineRule="auto"/>
      </w:pPr>
      <w:r>
        <w:separator/>
      </w:r>
    </w:p>
  </w:footnote>
  <w:footnote w:type="continuationSeparator" w:id="0">
    <w:p w:rsidR="00410426" w:rsidRDefault="00410426" w:rsidP="00410426">
      <w:pPr>
        <w:spacing w:after="0" w:line="240" w:lineRule="auto"/>
      </w:pPr>
      <w:r>
        <w:continuationSeparator/>
      </w:r>
    </w:p>
  </w:footnote>
  <w:footnote w:id="1">
    <w:p w:rsidR="00410426" w:rsidRPr="008E3F2A" w:rsidRDefault="00410426" w:rsidP="00410426">
      <w:pPr>
        <w:pStyle w:val="FootnoteText"/>
        <w:rPr>
          <w:rFonts w:ascii="Verdana" w:hAnsi="Verdana"/>
          <w:sz w:val="16"/>
          <w:szCs w:val="18"/>
          <w:lang w:val="es-ES"/>
        </w:rPr>
      </w:pPr>
      <w:r w:rsidRPr="008E3F2A">
        <w:rPr>
          <w:rStyle w:val="FootnoteReference"/>
          <w:rFonts w:ascii="Verdana" w:hAnsi="Verdana"/>
          <w:sz w:val="16"/>
          <w:szCs w:val="18"/>
        </w:rPr>
        <w:footnoteRef/>
      </w:r>
      <w:r w:rsidRPr="008E3F2A">
        <w:rPr>
          <w:rFonts w:ascii="Verdana" w:hAnsi="Verdana"/>
          <w:sz w:val="16"/>
          <w:szCs w:val="18"/>
          <w:lang w:val="nl-NL"/>
        </w:rPr>
        <w:t xml:space="preserve"> Gouwenberg, B.M. et al. </w:t>
      </w:r>
      <w:r w:rsidRPr="008E3F2A">
        <w:rPr>
          <w:rFonts w:ascii="Verdana" w:hAnsi="Verdana"/>
          <w:sz w:val="16"/>
          <w:szCs w:val="18"/>
          <w:lang w:val="en-GB"/>
        </w:rPr>
        <w:t xml:space="preserve">(2015) </w:t>
      </w:r>
      <w:r w:rsidRPr="001E4F9A">
        <w:rPr>
          <w:rFonts w:ascii="Verdana" w:hAnsi="Verdana"/>
          <w:i/>
          <w:sz w:val="16"/>
          <w:szCs w:val="18"/>
          <w:lang w:val="en-GB"/>
        </w:rPr>
        <w:t>EUFORI Study. Synthesis report.</w:t>
      </w:r>
      <w:r w:rsidRPr="008E3F2A">
        <w:rPr>
          <w:rFonts w:ascii="Verdana" w:hAnsi="Verdana"/>
          <w:sz w:val="16"/>
          <w:szCs w:val="18"/>
          <w:lang w:val="en-GB"/>
        </w:rPr>
        <w:t xml:space="preserve"> </w:t>
      </w:r>
      <w:r>
        <w:rPr>
          <w:rFonts w:ascii="Verdana" w:hAnsi="Verdana"/>
          <w:sz w:val="16"/>
          <w:szCs w:val="18"/>
          <w:lang w:val="en-GB"/>
        </w:rPr>
        <w:t xml:space="preserve">Brussels: </w:t>
      </w:r>
      <w:r w:rsidRPr="008E3F2A">
        <w:rPr>
          <w:rFonts w:ascii="Verdana" w:hAnsi="Verdana"/>
          <w:sz w:val="16"/>
          <w:szCs w:val="18"/>
          <w:lang w:val="en-GB"/>
        </w:rPr>
        <w:t>E</w:t>
      </w:r>
      <w:r>
        <w:rPr>
          <w:rFonts w:ascii="Verdana" w:hAnsi="Verdana"/>
          <w:sz w:val="16"/>
          <w:szCs w:val="18"/>
          <w:lang w:val="en-GB"/>
        </w:rPr>
        <w:t xml:space="preserve">uropean </w:t>
      </w:r>
      <w:r w:rsidRPr="008E3F2A">
        <w:rPr>
          <w:rFonts w:ascii="Verdana" w:hAnsi="Verdana"/>
          <w:sz w:val="16"/>
          <w:szCs w:val="18"/>
          <w:lang w:val="en-GB"/>
        </w:rPr>
        <w:t>C</w:t>
      </w:r>
      <w:r>
        <w:rPr>
          <w:rFonts w:ascii="Verdana" w:hAnsi="Verdana"/>
          <w:sz w:val="16"/>
          <w:szCs w:val="18"/>
          <w:lang w:val="en-GB"/>
        </w:rPr>
        <w:t>ommission,</w:t>
      </w:r>
      <w:r w:rsidRPr="008E3F2A">
        <w:rPr>
          <w:rFonts w:ascii="Verdana" w:hAnsi="Verdana"/>
          <w:sz w:val="16"/>
          <w:szCs w:val="18"/>
          <w:lang w:val="en-GB"/>
        </w:rPr>
        <w:t xml:space="preserve"> DG for Research and Innovation. </w:t>
      </w:r>
      <w:r>
        <w:rPr>
          <w:rFonts w:ascii="Verdana" w:hAnsi="Verdana"/>
          <w:sz w:val="16"/>
          <w:szCs w:val="18"/>
          <w:lang w:val="en-GB"/>
        </w:rPr>
        <w:t xml:space="preserve">Available at: </w:t>
      </w:r>
      <w:hyperlink r:id="rId1" w:history="1">
        <w:r w:rsidRPr="00A80C4B">
          <w:rPr>
            <w:rStyle w:val="Hyperlink"/>
            <w:rFonts w:ascii="Verdana" w:hAnsi="Verdana"/>
            <w:sz w:val="16"/>
            <w:szCs w:val="18"/>
            <w:lang w:val="es-ES"/>
          </w:rPr>
          <w:t>www.euforistudy.eu</w:t>
        </w:r>
      </w:hyperlink>
    </w:p>
  </w:footnote>
  <w:footnote w:id="2">
    <w:p w:rsidR="00410426" w:rsidRPr="008E3F2A" w:rsidRDefault="00410426" w:rsidP="00410426">
      <w:pPr>
        <w:pStyle w:val="FootnoteText"/>
        <w:rPr>
          <w:rFonts w:ascii="Verdana" w:hAnsi="Verdana"/>
          <w:sz w:val="16"/>
          <w:szCs w:val="18"/>
          <w:lang w:val="es-ES"/>
        </w:rPr>
      </w:pPr>
      <w:r w:rsidRPr="008E3F2A">
        <w:rPr>
          <w:rStyle w:val="FootnoteReference"/>
          <w:rFonts w:ascii="Verdana" w:hAnsi="Verdana"/>
          <w:sz w:val="16"/>
          <w:szCs w:val="18"/>
        </w:rPr>
        <w:footnoteRef/>
      </w:r>
      <w:r w:rsidRPr="008E3F2A">
        <w:rPr>
          <w:rFonts w:ascii="Verdana" w:hAnsi="Verdana"/>
          <w:sz w:val="16"/>
          <w:szCs w:val="18"/>
          <w:lang w:val="es-ES"/>
        </w:rPr>
        <w:t xml:space="preserve"> </w:t>
      </w:r>
      <w:proofErr w:type="spellStart"/>
      <w:r w:rsidRPr="008E3F2A">
        <w:rPr>
          <w:rFonts w:ascii="Verdana" w:hAnsi="Verdana"/>
          <w:sz w:val="16"/>
          <w:szCs w:val="18"/>
          <w:lang w:val="es-ES"/>
        </w:rPr>
        <w:t>Ibid</w:t>
      </w:r>
      <w:proofErr w:type="spellEnd"/>
      <w:r w:rsidRPr="008E3F2A">
        <w:rPr>
          <w:rFonts w:ascii="Verdana" w:hAnsi="Verdana"/>
          <w:sz w:val="16"/>
          <w:szCs w:val="18"/>
          <w:lang w:val="es-ES"/>
        </w:rPr>
        <w:t>.</w:t>
      </w:r>
    </w:p>
  </w:footnote>
  <w:footnote w:id="3">
    <w:p w:rsidR="00410426" w:rsidRPr="008E3F2A" w:rsidRDefault="00410426" w:rsidP="00410426">
      <w:pPr>
        <w:pStyle w:val="FootnoteText"/>
        <w:rPr>
          <w:rFonts w:ascii="Verdana" w:hAnsi="Verdana"/>
          <w:sz w:val="16"/>
          <w:szCs w:val="18"/>
          <w:lang w:val="es-ES"/>
        </w:rPr>
      </w:pPr>
      <w:r w:rsidRPr="008E3F2A">
        <w:rPr>
          <w:rStyle w:val="FootnoteReference"/>
          <w:rFonts w:ascii="Verdana" w:hAnsi="Verdana"/>
          <w:sz w:val="16"/>
          <w:szCs w:val="18"/>
        </w:rPr>
        <w:footnoteRef/>
      </w:r>
      <w:r w:rsidRPr="008E3F2A">
        <w:rPr>
          <w:rFonts w:ascii="Verdana" w:hAnsi="Verdana"/>
          <w:sz w:val="16"/>
          <w:szCs w:val="18"/>
          <w:lang w:val="es-ES"/>
        </w:rPr>
        <w:t xml:space="preserve"> </w:t>
      </w:r>
      <w:proofErr w:type="spellStart"/>
      <w:r>
        <w:rPr>
          <w:rFonts w:ascii="Verdana" w:hAnsi="Verdana"/>
          <w:sz w:val="16"/>
          <w:szCs w:val="18"/>
          <w:lang w:val="es-ES"/>
        </w:rPr>
        <w:t>See</w:t>
      </w:r>
      <w:proofErr w:type="spellEnd"/>
      <w:r>
        <w:rPr>
          <w:rFonts w:ascii="Verdana" w:hAnsi="Verdana"/>
          <w:sz w:val="16"/>
          <w:szCs w:val="18"/>
          <w:lang w:val="es-ES"/>
        </w:rPr>
        <w:t xml:space="preserve">: </w:t>
      </w:r>
      <w:hyperlink r:id="rId2" w:history="1">
        <w:r w:rsidRPr="00A80C4B">
          <w:rPr>
            <w:rStyle w:val="Hyperlink"/>
            <w:rFonts w:ascii="Verdana" w:hAnsi="Verdana"/>
            <w:sz w:val="16"/>
            <w:szCs w:val="18"/>
            <w:lang w:val="es-ES"/>
          </w:rPr>
          <w:t>https://ec.europa.eu/programmes/horizon2020/en/h2020-section/science-and-society</w:t>
        </w:r>
      </w:hyperlink>
    </w:p>
  </w:footnote>
  <w:footnote w:id="4">
    <w:p w:rsidR="00410426" w:rsidRPr="00302CD4" w:rsidRDefault="00410426" w:rsidP="00410426">
      <w:pPr>
        <w:pStyle w:val="FootnoteText"/>
        <w:rPr>
          <w:rFonts w:ascii="Verdana" w:hAnsi="Verdana"/>
          <w:sz w:val="16"/>
          <w:szCs w:val="16"/>
        </w:rPr>
      </w:pPr>
      <w:r w:rsidRPr="008E3F2A">
        <w:rPr>
          <w:rStyle w:val="FootnoteReference"/>
          <w:rFonts w:ascii="Verdana" w:hAnsi="Verdana"/>
          <w:sz w:val="16"/>
          <w:szCs w:val="18"/>
        </w:rPr>
        <w:footnoteRef/>
      </w:r>
      <w:r w:rsidRPr="008E3F2A">
        <w:rPr>
          <w:rFonts w:ascii="Verdana" w:hAnsi="Verdana"/>
          <w:sz w:val="16"/>
          <w:szCs w:val="18"/>
        </w:rPr>
        <w:t xml:space="preserve"> </w:t>
      </w:r>
      <w:r w:rsidRPr="00302CD4">
        <w:rPr>
          <w:rFonts w:ascii="Verdana" w:hAnsi="Verdana"/>
          <w:sz w:val="16"/>
          <w:szCs w:val="16"/>
        </w:rPr>
        <w:t xml:space="preserve">Sources: </w:t>
      </w:r>
    </w:p>
    <w:p w:rsidR="00410426" w:rsidRPr="00302CD4" w:rsidRDefault="00410426" w:rsidP="00410426">
      <w:pPr>
        <w:pStyle w:val="FootnoteText"/>
        <w:numPr>
          <w:ilvl w:val="0"/>
          <w:numId w:val="5"/>
        </w:numPr>
        <w:rPr>
          <w:rFonts w:ascii="Verdana" w:hAnsi="Verdana"/>
          <w:sz w:val="16"/>
          <w:szCs w:val="16"/>
        </w:rPr>
      </w:pPr>
      <w:r w:rsidRPr="00302CD4">
        <w:rPr>
          <w:rFonts w:ascii="Verdana" w:hAnsi="Verdana"/>
          <w:sz w:val="16"/>
          <w:szCs w:val="16"/>
        </w:rPr>
        <w:t xml:space="preserve">Anheier, H., &amp; Daly, S. (Eds.) (2007) </w:t>
      </w:r>
      <w:r w:rsidRPr="00302CD4">
        <w:rPr>
          <w:rFonts w:ascii="Verdana" w:hAnsi="Verdana"/>
          <w:i/>
          <w:sz w:val="16"/>
          <w:szCs w:val="16"/>
        </w:rPr>
        <w:t xml:space="preserve">The Politics of Foundations: A Comparative Analysis, </w:t>
      </w:r>
      <w:r w:rsidRPr="00302CD4">
        <w:rPr>
          <w:rFonts w:ascii="Verdana" w:hAnsi="Verdana"/>
          <w:sz w:val="16"/>
          <w:szCs w:val="16"/>
        </w:rPr>
        <w:t>London: Routledge.</w:t>
      </w:r>
    </w:p>
    <w:p w:rsidR="00410426" w:rsidRPr="00302CD4" w:rsidRDefault="00410426" w:rsidP="00410426">
      <w:pPr>
        <w:pStyle w:val="FootnoteText"/>
        <w:numPr>
          <w:ilvl w:val="0"/>
          <w:numId w:val="5"/>
        </w:numPr>
        <w:rPr>
          <w:rFonts w:ascii="Verdana" w:hAnsi="Verdana"/>
          <w:sz w:val="16"/>
          <w:szCs w:val="16"/>
        </w:rPr>
      </w:pPr>
      <w:r w:rsidRPr="00302CD4">
        <w:rPr>
          <w:rFonts w:ascii="Verdana" w:hAnsi="Verdana"/>
          <w:sz w:val="16"/>
          <w:szCs w:val="16"/>
        </w:rPr>
        <w:t xml:space="preserve">See: </w:t>
      </w:r>
      <w:hyperlink r:id="rId3" w:history="1">
        <w:r w:rsidRPr="00302CD4">
          <w:rPr>
            <w:rStyle w:val="Hyperlink"/>
            <w:rFonts w:ascii="Verdana" w:hAnsi="Verdana"/>
            <w:sz w:val="16"/>
            <w:szCs w:val="16"/>
          </w:rPr>
          <w:t>http://www.efc.be/news/the-efc-launches-the-institutional-philanthropy-spectrum/</w:t>
        </w:r>
      </w:hyperlink>
    </w:p>
    <w:p w:rsidR="00410426" w:rsidRPr="00302CD4" w:rsidRDefault="00410426" w:rsidP="00410426">
      <w:pPr>
        <w:pStyle w:val="FootnoteText"/>
        <w:numPr>
          <w:ilvl w:val="0"/>
          <w:numId w:val="5"/>
        </w:numPr>
        <w:rPr>
          <w:rFonts w:ascii="Verdana" w:hAnsi="Verdana"/>
          <w:sz w:val="16"/>
          <w:szCs w:val="16"/>
        </w:rPr>
      </w:pPr>
      <w:r w:rsidRPr="00302CD4">
        <w:rPr>
          <w:rFonts w:ascii="Verdana" w:hAnsi="Verdana"/>
          <w:sz w:val="16"/>
          <w:szCs w:val="16"/>
          <w:lang w:val="en-GB"/>
        </w:rPr>
        <w:t xml:space="preserve">European Foundation Centre (2007) </w:t>
      </w:r>
      <w:r w:rsidRPr="00302CD4">
        <w:rPr>
          <w:rFonts w:ascii="Verdana" w:hAnsi="Verdana"/>
          <w:i/>
          <w:sz w:val="16"/>
          <w:szCs w:val="16"/>
          <w:lang w:val="en-GB"/>
        </w:rPr>
        <w:t xml:space="preserve">Foundations’ legal and fiscal environments. </w:t>
      </w:r>
      <w:r w:rsidRPr="00302CD4">
        <w:rPr>
          <w:rFonts w:ascii="Verdana" w:hAnsi="Verdana"/>
          <w:i/>
          <w:sz w:val="16"/>
          <w:szCs w:val="16"/>
        </w:rPr>
        <w:t>Mapping the European Union of 27</w:t>
      </w:r>
      <w:r>
        <w:rPr>
          <w:rFonts w:ascii="Verdana" w:hAnsi="Verdana"/>
          <w:i/>
          <w:sz w:val="16"/>
          <w:szCs w:val="16"/>
        </w:rPr>
        <w:t>,</w:t>
      </w:r>
      <w:r w:rsidRPr="00302CD4">
        <w:rPr>
          <w:rFonts w:ascii="Verdana" w:hAnsi="Verdana"/>
          <w:sz w:val="16"/>
          <w:szCs w:val="16"/>
        </w:rPr>
        <w:t xml:space="preserve"> Brussels: European Foundation Centre.</w:t>
      </w:r>
    </w:p>
  </w:footnote>
  <w:footnote w:id="5">
    <w:p w:rsidR="00410426" w:rsidRPr="00302CD4" w:rsidRDefault="00410426" w:rsidP="00410426">
      <w:pPr>
        <w:pStyle w:val="EndnoteText"/>
        <w:rPr>
          <w:rFonts w:ascii="Verdana" w:hAnsi="Verdana"/>
          <w:sz w:val="16"/>
          <w:szCs w:val="16"/>
        </w:rPr>
      </w:pPr>
      <w:r w:rsidRPr="00302CD4">
        <w:rPr>
          <w:rStyle w:val="FootnoteReference"/>
          <w:rFonts w:ascii="Verdana" w:hAnsi="Verdana"/>
          <w:sz w:val="16"/>
          <w:szCs w:val="16"/>
        </w:rPr>
        <w:footnoteRef/>
      </w:r>
      <w:r w:rsidRPr="00302CD4">
        <w:rPr>
          <w:rFonts w:ascii="Verdana" w:hAnsi="Verdana"/>
          <w:sz w:val="16"/>
          <w:szCs w:val="16"/>
        </w:rPr>
        <w:t xml:space="preserve">  To be distinguished from politically- driven and market-driven </w:t>
      </w:r>
      <w:r>
        <w:rPr>
          <w:rFonts w:ascii="Verdana" w:hAnsi="Verdana"/>
          <w:sz w:val="16"/>
          <w:szCs w:val="16"/>
        </w:rPr>
        <w:t>organisation</w:t>
      </w:r>
      <w:r w:rsidRPr="00302CD4">
        <w:rPr>
          <w:rFonts w:ascii="Verdana" w:hAnsi="Verdana"/>
          <w:sz w:val="16"/>
          <w:szCs w:val="16"/>
        </w:rPr>
        <w:t>s.</w:t>
      </w:r>
    </w:p>
  </w:footnote>
  <w:footnote w:id="6">
    <w:p w:rsidR="00410426" w:rsidRPr="008E3F2A" w:rsidRDefault="00410426" w:rsidP="00410426">
      <w:pPr>
        <w:pStyle w:val="FootnoteText"/>
        <w:rPr>
          <w:rFonts w:ascii="Verdana" w:hAnsi="Verdana" w:cstheme="minorHAnsi"/>
          <w:sz w:val="16"/>
          <w:szCs w:val="18"/>
          <w:lang w:val="en-GB"/>
        </w:rPr>
      </w:pPr>
      <w:r w:rsidRPr="008E3F2A">
        <w:rPr>
          <w:rStyle w:val="FootnoteReference"/>
          <w:rFonts w:ascii="Verdana" w:hAnsi="Verdana" w:cstheme="minorHAnsi"/>
          <w:sz w:val="16"/>
          <w:szCs w:val="18"/>
        </w:rPr>
        <w:footnoteRef/>
      </w:r>
      <w:r w:rsidRPr="008E3F2A">
        <w:rPr>
          <w:rFonts w:ascii="Verdana" w:hAnsi="Verdana" w:cstheme="minorHAnsi"/>
          <w:sz w:val="16"/>
          <w:szCs w:val="18"/>
          <w:lang w:val="en-GB"/>
        </w:rPr>
        <w:t xml:space="preserve"> See also the report:</w:t>
      </w:r>
      <w:r w:rsidRPr="008E3F2A">
        <w:rPr>
          <w:rFonts w:ascii="Verdana" w:hAnsi="Verdana"/>
          <w:sz w:val="16"/>
          <w:szCs w:val="18"/>
          <w:lang w:val="en-GB"/>
        </w:rPr>
        <w:t xml:space="preserve"> </w:t>
      </w:r>
      <w:proofErr w:type="spellStart"/>
      <w:r>
        <w:rPr>
          <w:rFonts w:ascii="Verdana" w:hAnsi="Verdana"/>
          <w:sz w:val="16"/>
          <w:szCs w:val="18"/>
          <w:lang w:val="en-GB"/>
        </w:rPr>
        <w:t>Mazzucato</w:t>
      </w:r>
      <w:proofErr w:type="spellEnd"/>
      <w:r>
        <w:rPr>
          <w:rFonts w:ascii="Verdana" w:hAnsi="Verdana"/>
          <w:sz w:val="16"/>
          <w:szCs w:val="18"/>
          <w:lang w:val="en-GB"/>
        </w:rPr>
        <w:t>, M.</w:t>
      </w:r>
      <w:r w:rsidRPr="008E3F2A">
        <w:rPr>
          <w:rFonts w:ascii="Verdana" w:hAnsi="Verdana"/>
          <w:sz w:val="16"/>
          <w:szCs w:val="18"/>
          <w:lang w:val="en-GB"/>
        </w:rPr>
        <w:t xml:space="preserve"> (2018) </w:t>
      </w:r>
      <w:hyperlink r:id="rId4" w:history="1">
        <w:r w:rsidRPr="00494872">
          <w:rPr>
            <w:rFonts w:ascii="Verdana" w:hAnsi="Verdana" w:cs="Arial"/>
            <w:i/>
            <w:iCs/>
            <w:sz w:val="16"/>
            <w:szCs w:val="18"/>
            <w:lang w:val="en-GB"/>
          </w:rPr>
          <w:t>Mission-Oriented Research &amp; Innovation in the European Union - A problem-solving approach to fuel innovation-led growth</w:t>
        </w:r>
      </w:hyperlink>
      <w:r>
        <w:rPr>
          <w:rFonts w:ascii="Verdana" w:hAnsi="Verdana" w:cs="Arial"/>
          <w:iCs/>
          <w:sz w:val="16"/>
          <w:szCs w:val="18"/>
          <w:lang w:val="en-GB"/>
        </w:rPr>
        <w:t xml:space="preserve">, Brussels: </w:t>
      </w:r>
      <w:r w:rsidRPr="008E3F2A">
        <w:rPr>
          <w:rFonts w:ascii="Verdana" w:hAnsi="Verdana" w:cs="Arial"/>
          <w:iCs/>
          <w:sz w:val="16"/>
          <w:szCs w:val="18"/>
          <w:lang w:val="en-GB"/>
        </w:rPr>
        <w:t>EC DG Research and Innovation.</w:t>
      </w:r>
      <w:r>
        <w:rPr>
          <w:rFonts w:ascii="Verdana" w:hAnsi="Verdana" w:cs="Arial"/>
          <w:iCs/>
          <w:sz w:val="16"/>
          <w:szCs w:val="18"/>
          <w:lang w:val="en-GB"/>
        </w:rPr>
        <w:t xml:space="preserve"> Available at: </w:t>
      </w:r>
      <w:hyperlink r:id="rId5" w:history="1">
        <w:r w:rsidRPr="008E3F2A">
          <w:rPr>
            <w:rStyle w:val="Hyperlink"/>
            <w:rFonts w:ascii="Verdana" w:hAnsi="Verdana" w:cstheme="minorHAnsi"/>
            <w:sz w:val="16"/>
            <w:szCs w:val="18"/>
            <w:lang w:val="en-GB"/>
          </w:rPr>
          <w:t>https://publications.europa.eu/portal2012-portlet/html/downloadHandler.jsp?identifier=5b2811d1-16be-11e8-9253-01aa75ed71a1&amp;format=pdf&amp;language=en&amp;productionSystem=cellar&amp;part=</w:t>
        </w:r>
      </w:hyperlink>
      <w:r>
        <w:rPr>
          <w:rStyle w:val="Hyperlink"/>
          <w:rFonts w:ascii="Verdana" w:hAnsi="Verdana" w:cstheme="minorHAnsi"/>
          <w:sz w:val="16"/>
          <w:szCs w:val="18"/>
          <w:lang w:val="en-GB"/>
        </w:rPr>
        <w:t xml:space="preserve"> </w:t>
      </w:r>
    </w:p>
  </w:footnote>
  <w:footnote w:id="7">
    <w:p w:rsidR="00410426" w:rsidRDefault="00410426" w:rsidP="00410426">
      <w:pPr>
        <w:pStyle w:val="FootnoteText"/>
        <w:rPr>
          <w:rFonts w:ascii="Verdana" w:hAnsi="Verdana" w:cstheme="minorHAnsi"/>
          <w:sz w:val="16"/>
          <w:szCs w:val="18"/>
          <w:lang w:val="en-GB"/>
        </w:rPr>
      </w:pPr>
      <w:r w:rsidRPr="008E3F2A">
        <w:rPr>
          <w:rStyle w:val="FootnoteReference"/>
          <w:rFonts w:ascii="Verdana" w:hAnsi="Verdana" w:cstheme="minorHAnsi"/>
          <w:sz w:val="16"/>
          <w:szCs w:val="18"/>
        </w:rPr>
        <w:footnoteRef/>
      </w:r>
      <w:r w:rsidRPr="008E3F2A">
        <w:rPr>
          <w:rFonts w:ascii="Verdana" w:hAnsi="Verdana" w:cstheme="minorHAnsi"/>
          <w:sz w:val="16"/>
          <w:szCs w:val="18"/>
          <w:lang w:val="en-GB"/>
        </w:rPr>
        <w:t xml:space="preserve"> Payton, R.L. (1988) </w:t>
      </w:r>
      <w:r w:rsidRPr="008E3F2A">
        <w:rPr>
          <w:rFonts w:ascii="Verdana" w:hAnsi="Verdana" w:cstheme="minorHAnsi"/>
          <w:i/>
          <w:sz w:val="16"/>
          <w:szCs w:val="18"/>
          <w:lang w:val="en-GB"/>
        </w:rPr>
        <w:t>Voluntary Action for the Public Good.</w:t>
      </w:r>
      <w:r w:rsidRPr="008E3F2A">
        <w:rPr>
          <w:rFonts w:ascii="Verdana" w:hAnsi="Verdana" w:cstheme="minorHAnsi"/>
          <w:sz w:val="16"/>
          <w:szCs w:val="18"/>
          <w:lang w:val="en-GB"/>
        </w:rPr>
        <w:t xml:space="preserve"> New York: Macmillan.  </w:t>
      </w:r>
    </w:p>
    <w:p w:rsidR="00410426" w:rsidRPr="008E3F2A" w:rsidRDefault="00410426" w:rsidP="00410426">
      <w:pPr>
        <w:pStyle w:val="FootnoteText"/>
        <w:rPr>
          <w:rFonts w:ascii="Verdana" w:hAnsi="Verdana" w:cstheme="minorHAnsi"/>
          <w:sz w:val="16"/>
          <w:szCs w:val="18"/>
          <w:lang w:val="en-GB"/>
        </w:rPr>
      </w:pPr>
      <w:r w:rsidRPr="008E3F2A">
        <w:rPr>
          <w:rFonts w:ascii="Verdana" w:hAnsi="Verdana" w:cstheme="minorHAnsi"/>
          <w:sz w:val="16"/>
          <w:szCs w:val="18"/>
          <w:lang w:val="en-GB"/>
        </w:rPr>
        <w:t xml:space="preserve">Schuyt, </w:t>
      </w:r>
      <w:proofErr w:type="spellStart"/>
      <w:r w:rsidRPr="008E3F2A">
        <w:rPr>
          <w:rFonts w:ascii="Verdana" w:hAnsi="Verdana" w:cstheme="minorHAnsi"/>
          <w:sz w:val="16"/>
          <w:szCs w:val="18"/>
          <w:lang w:val="en-GB"/>
        </w:rPr>
        <w:t>Th.</w:t>
      </w:r>
      <w:r>
        <w:rPr>
          <w:rFonts w:ascii="Verdana" w:hAnsi="Verdana" w:cstheme="minorHAnsi"/>
          <w:sz w:val="16"/>
          <w:szCs w:val="18"/>
          <w:lang w:val="en-GB"/>
        </w:rPr>
        <w:t>N.M</w:t>
      </w:r>
      <w:proofErr w:type="spellEnd"/>
      <w:r>
        <w:rPr>
          <w:rFonts w:ascii="Verdana" w:hAnsi="Verdana" w:cstheme="minorHAnsi"/>
          <w:sz w:val="16"/>
          <w:szCs w:val="18"/>
          <w:lang w:val="en-GB"/>
        </w:rPr>
        <w:t>.</w:t>
      </w:r>
      <w:r w:rsidRPr="008E3F2A">
        <w:rPr>
          <w:rFonts w:ascii="Verdana" w:hAnsi="Verdana" w:cstheme="minorHAnsi"/>
          <w:sz w:val="16"/>
          <w:szCs w:val="18"/>
          <w:lang w:val="en-GB"/>
        </w:rPr>
        <w:t xml:space="preserve"> (2013). </w:t>
      </w:r>
      <w:r w:rsidRPr="008E3F2A">
        <w:rPr>
          <w:rFonts w:ascii="Verdana" w:hAnsi="Verdana" w:cstheme="minorHAnsi"/>
          <w:i/>
          <w:sz w:val="16"/>
          <w:szCs w:val="18"/>
          <w:lang w:val="en-GB"/>
        </w:rPr>
        <w:t>Philanthropy and the Philanthropy Sector. An Introduction</w:t>
      </w:r>
      <w:r>
        <w:rPr>
          <w:rFonts w:ascii="Verdana" w:hAnsi="Verdana" w:cstheme="minorHAnsi"/>
          <w:i/>
          <w:sz w:val="16"/>
          <w:szCs w:val="18"/>
          <w:lang w:val="en-GB"/>
        </w:rPr>
        <w:t>,</w:t>
      </w:r>
      <w:r w:rsidRPr="008E3F2A">
        <w:rPr>
          <w:rFonts w:ascii="Verdana" w:hAnsi="Verdana" w:cstheme="minorHAnsi"/>
          <w:sz w:val="16"/>
          <w:szCs w:val="18"/>
          <w:lang w:val="en-GB"/>
        </w:rPr>
        <w:t xml:space="preserve"> Burlington, USA: </w:t>
      </w:r>
      <w:proofErr w:type="spellStart"/>
      <w:r w:rsidRPr="008E3F2A">
        <w:rPr>
          <w:rFonts w:ascii="Verdana" w:hAnsi="Verdana" w:cstheme="minorHAnsi"/>
          <w:sz w:val="16"/>
          <w:szCs w:val="18"/>
          <w:lang w:val="en-GB"/>
        </w:rPr>
        <w:t>Ashgate</w:t>
      </w:r>
      <w:proofErr w:type="spellEnd"/>
    </w:p>
  </w:footnote>
  <w:footnote w:id="8">
    <w:p w:rsidR="00410426" w:rsidRPr="008E3F2A" w:rsidRDefault="00410426" w:rsidP="00410426">
      <w:pPr>
        <w:spacing w:after="0"/>
        <w:rPr>
          <w:rFonts w:ascii="Verdana" w:hAnsi="Verdana"/>
          <w:sz w:val="16"/>
          <w:szCs w:val="18"/>
        </w:rPr>
      </w:pPr>
      <w:r w:rsidRPr="008E3F2A">
        <w:rPr>
          <w:rStyle w:val="FootnoteReference"/>
          <w:rFonts w:ascii="Verdana" w:hAnsi="Verdana" w:cstheme="minorHAnsi"/>
          <w:sz w:val="16"/>
          <w:szCs w:val="18"/>
        </w:rPr>
        <w:footnoteRef/>
      </w:r>
      <w:r w:rsidR="005C591B">
        <w:rPr>
          <w:rFonts w:ascii="Verdana" w:hAnsi="Verdana" w:cstheme="minorHAnsi"/>
          <w:sz w:val="16"/>
          <w:szCs w:val="18"/>
        </w:rPr>
        <w:t xml:space="preserve"> Hoolwerf, </w:t>
      </w:r>
      <w:r w:rsidR="005C591B">
        <w:rPr>
          <w:rFonts w:ascii="Verdana" w:hAnsi="Verdana" w:cstheme="minorHAnsi"/>
          <w:sz w:val="16"/>
          <w:szCs w:val="18"/>
        </w:rPr>
        <w:t>L.K.</w:t>
      </w:r>
      <w:bookmarkStart w:id="3" w:name="_GoBack"/>
      <w:bookmarkEnd w:id="3"/>
      <w:r w:rsidRPr="008E3F2A">
        <w:rPr>
          <w:rFonts w:ascii="Verdana" w:hAnsi="Verdana" w:cstheme="minorHAnsi"/>
          <w:sz w:val="16"/>
          <w:szCs w:val="18"/>
        </w:rPr>
        <w:t xml:space="preserve">.  and Schuyt, Th. (Eds.) (2017)  </w:t>
      </w:r>
      <w:r w:rsidRPr="008E3F2A">
        <w:rPr>
          <w:rFonts w:ascii="Verdana" w:hAnsi="Verdana" w:cstheme="minorHAnsi"/>
          <w:i/>
          <w:sz w:val="16"/>
          <w:szCs w:val="18"/>
        </w:rPr>
        <w:t>Giving in Europe; The State of Research on Giving in 20 European Countries</w:t>
      </w:r>
      <w:r>
        <w:rPr>
          <w:rFonts w:ascii="Verdana" w:hAnsi="Verdana" w:cstheme="minorHAnsi"/>
          <w:i/>
          <w:sz w:val="16"/>
          <w:szCs w:val="18"/>
        </w:rPr>
        <w:t>,</w:t>
      </w:r>
      <w:r w:rsidRPr="008E3F2A">
        <w:rPr>
          <w:rFonts w:ascii="Verdana" w:hAnsi="Verdana" w:cstheme="minorHAnsi"/>
          <w:sz w:val="16"/>
          <w:szCs w:val="18"/>
        </w:rPr>
        <w:t xml:space="preserve"> Amsterdam: Lenthe Publishers. </w:t>
      </w:r>
      <w:r>
        <w:rPr>
          <w:rFonts w:ascii="Verdana" w:hAnsi="Verdana" w:cstheme="minorHAnsi"/>
          <w:sz w:val="16"/>
          <w:szCs w:val="18"/>
        </w:rPr>
        <w:t xml:space="preserve">Available at: </w:t>
      </w:r>
      <w:hyperlink r:id="rId6" w:history="1">
        <w:r w:rsidRPr="00A80C4B">
          <w:rPr>
            <w:rStyle w:val="Hyperlink"/>
            <w:rFonts w:ascii="Verdana" w:hAnsi="Verdana" w:cstheme="minorHAnsi"/>
            <w:sz w:val="16"/>
            <w:szCs w:val="18"/>
          </w:rPr>
          <w:t>www.givingineurope.eu</w:t>
        </w:r>
      </w:hyperlink>
      <w:r w:rsidRPr="008E3F2A">
        <w:rPr>
          <w:rFonts w:ascii="Verdana" w:hAnsi="Verdana" w:cstheme="minorHAnsi"/>
          <w:sz w:val="16"/>
          <w:szCs w:val="18"/>
        </w:rPr>
        <w:t xml:space="preserve">   </w:t>
      </w:r>
    </w:p>
  </w:footnote>
  <w:footnote w:id="9">
    <w:p w:rsidR="00410426" w:rsidRPr="008E3F2A" w:rsidRDefault="00410426" w:rsidP="00410426">
      <w:pPr>
        <w:spacing w:after="0"/>
        <w:rPr>
          <w:rFonts w:ascii="Verdana" w:hAnsi="Verdana"/>
          <w:sz w:val="16"/>
          <w:szCs w:val="18"/>
        </w:rPr>
      </w:pPr>
      <w:r w:rsidRPr="008E3F2A">
        <w:rPr>
          <w:rStyle w:val="FootnoteReference"/>
          <w:rFonts w:ascii="Verdana" w:hAnsi="Verdana"/>
          <w:sz w:val="16"/>
          <w:szCs w:val="18"/>
        </w:rPr>
        <w:footnoteRef/>
      </w:r>
      <w:r w:rsidRPr="008E3F2A">
        <w:rPr>
          <w:rFonts w:ascii="Verdana" w:hAnsi="Verdana"/>
          <w:sz w:val="16"/>
          <w:szCs w:val="18"/>
        </w:rPr>
        <w:t xml:space="preserve"> Sc</w:t>
      </w:r>
      <w:r w:rsidRPr="008E3F2A">
        <w:rPr>
          <w:rFonts w:ascii="Verdana" w:hAnsi="Verdana"/>
          <w:spacing w:val="-2"/>
          <w:sz w:val="16"/>
          <w:szCs w:val="18"/>
        </w:rPr>
        <w:t>h</w:t>
      </w:r>
      <w:r w:rsidRPr="008E3F2A">
        <w:rPr>
          <w:rFonts w:ascii="Verdana" w:hAnsi="Verdana"/>
          <w:sz w:val="16"/>
          <w:szCs w:val="18"/>
        </w:rPr>
        <w:t>u</w:t>
      </w:r>
      <w:r w:rsidRPr="008E3F2A">
        <w:rPr>
          <w:rFonts w:ascii="Verdana" w:hAnsi="Verdana"/>
          <w:spacing w:val="-10"/>
          <w:sz w:val="16"/>
          <w:szCs w:val="18"/>
        </w:rPr>
        <w:t>y</w:t>
      </w:r>
      <w:r w:rsidRPr="008E3F2A">
        <w:rPr>
          <w:rFonts w:ascii="Verdana" w:hAnsi="Verdana"/>
          <w:spacing w:val="-2"/>
          <w:sz w:val="16"/>
          <w:szCs w:val="18"/>
        </w:rPr>
        <w:t>t</w:t>
      </w:r>
      <w:r w:rsidRPr="008E3F2A">
        <w:rPr>
          <w:rFonts w:ascii="Verdana" w:hAnsi="Verdana"/>
          <w:sz w:val="16"/>
          <w:szCs w:val="18"/>
        </w:rPr>
        <w:t>,</w:t>
      </w:r>
      <w:r w:rsidRPr="008E3F2A">
        <w:rPr>
          <w:rFonts w:ascii="Verdana" w:hAnsi="Verdana"/>
          <w:spacing w:val="48"/>
          <w:sz w:val="16"/>
          <w:szCs w:val="18"/>
        </w:rPr>
        <w:t xml:space="preserve"> </w:t>
      </w:r>
      <w:proofErr w:type="spellStart"/>
      <w:r w:rsidRPr="008E3F2A">
        <w:rPr>
          <w:rFonts w:ascii="Verdana" w:hAnsi="Verdana"/>
          <w:sz w:val="16"/>
          <w:szCs w:val="18"/>
        </w:rPr>
        <w:t>T</w:t>
      </w:r>
      <w:r w:rsidRPr="008E3F2A">
        <w:rPr>
          <w:rFonts w:ascii="Verdana" w:hAnsi="Verdana"/>
          <w:spacing w:val="-2"/>
          <w:sz w:val="16"/>
          <w:szCs w:val="18"/>
        </w:rPr>
        <w:t>h.</w:t>
      </w:r>
      <w:r w:rsidRPr="008E3F2A">
        <w:rPr>
          <w:rFonts w:ascii="Verdana" w:hAnsi="Verdana"/>
          <w:sz w:val="16"/>
          <w:szCs w:val="18"/>
        </w:rPr>
        <w:t>N</w:t>
      </w:r>
      <w:r w:rsidRPr="008E3F2A">
        <w:rPr>
          <w:rFonts w:ascii="Verdana" w:hAnsi="Verdana"/>
          <w:spacing w:val="-5"/>
          <w:sz w:val="16"/>
          <w:szCs w:val="18"/>
        </w:rPr>
        <w:t>.</w:t>
      </w:r>
      <w:r w:rsidRPr="008E3F2A">
        <w:rPr>
          <w:rFonts w:ascii="Verdana" w:hAnsi="Verdana"/>
          <w:spacing w:val="-2"/>
          <w:sz w:val="16"/>
          <w:szCs w:val="18"/>
        </w:rPr>
        <w:t>M</w:t>
      </w:r>
      <w:proofErr w:type="spellEnd"/>
      <w:r w:rsidRPr="008E3F2A">
        <w:rPr>
          <w:rFonts w:ascii="Verdana" w:hAnsi="Verdana"/>
          <w:sz w:val="16"/>
          <w:szCs w:val="18"/>
        </w:rPr>
        <w:t>.</w:t>
      </w:r>
      <w:r w:rsidRPr="008E3F2A">
        <w:rPr>
          <w:rFonts w:ascii="Verdana" w:hAnsi="Verdana"/>
          <w:spacing w:val="48"/>
          <w:sz w:val="16"/>
          <w:szCs w:val="18"/>
        </w:rPr>
        <w:t xml:space="preserve"> </w:t>
      </w:r>
      <w:r w:rsidRPr="008E3F2A">
        <w:rPr>
          <w:rFonts w:ascii="Verdana" w:hAnsi="Verdana"/>
          <w:sz w:val="16"/>
          <w:szCs w:val="18"/>
        </w:rPr>
        <w:t>(</w:t>
      </w:r>
      <w:r w:rsidRPr="008E3F2A">
        <w:rPr>
          <w:rFonts w:ascii="Verdana" w:hAnsi="Verdana"/>
          <w:spacing w:val="-5"/>
          <w:sz w:val="16"/>
          <w:szCs w:val="18"/>
        </w:rPr>
        <w:t>2</w:t>
      </w:r>
      <w:r w:rsidRPr="008E3F2A">
        <w:rPr>
          <w:rFonts w:ascii="Verdana" w:hAnsi="Verdana"/>
          <w:spacing w:val="-2"/>
          <w:sz w:val="16"/>
          <w:szCs w:val="18"/>
        </w:rPr>
        <w:t>010</w:t>
      </w:r>
      <w:r w:rsidRPr="008E3F2A">
        <w:rPr>
          <w:rFonts w:ascii="Verdana" w:hAnsi="Verdana"/>
          <w:sz w:val="16"/>
          <w:szCs w:val="18"/>
        </w:rPr>
        <w:t>)</w:t>
      </w:r>
      <w:r w:rsidRPr="008E3F2A">
        <w:rPr>
          <w:rFonts w:ascii="Verdana" w:hAnsi="Verdana"/>
          <w:spacing w:val="45"/>
          <w:sz w:val="16"/>
          <w:szCs w:val="18"/>
        </w:rPr>
        <w:t xml:space="preserve"> </w:t>
      </w:r>
      <w:r>
        <w:rPr>
          <w:rFonts w:ascii="Verdana" w:hAnsi="Verdana"/>
          <w:spacing w:val="45"/>
          <w:sz w:val="16"/>
          <w:szCs w:val="18"/>
        </w:rPr>
        <w:t>‘</w:t>
      </w:r>
      <w:r w:rsidRPr="008E3F2A">
        <w:rPr>
          <w:rFonts w:ascii="Verdana" w:hAnsi="Verdana"/>
          <w:sz w:val="16"/>
          <w:szCs w:val="18"/>
        </w:rPr>
        <w:t>P</w:t>
      </w:r>
      <w:r w:rsidRPr="008E3F2A">
        <w:rPr>
          <w:rFonts w:ascii="Verdana" w:hAnsi="Verdana"/>
          <w:spacing w:val="-5"/>
          <w:sz w:val="16"/>
          <w:szCs w:val="18"/>
        </w:rPr>
        <w:t>h</w:t>
      </w:r>
      <w:r w:rsidRPr="008E3F2A">
        <w:rPr>
          <w:rFonts w:ascii="Verdana" w:hAnsi="Verdana"/>
          <w:spacing w:val="-2"/>
          <w:sz w:val="16"/>
          <w:szCs w:val="18"/>
        </w:rPr>
        <w:t>il</w:t>
      </w:r>
      <w:r w:rsidRPr="008E3F2A">
        <w:rPr>
          <w:rFonts w:ascii="Verdana" w:hAnsi="Verdana"/>
          <w:sz w:val="16"/>
          <w:szCs w:val="18"/>
        </w:rPr>
        <w:t>a</w:t>
      </w:r>
      <w:r w:rsidRPr="008E3F2A">
        <w:rPr>
          <w:rFonts w:ascii="Verdana" w:hAnsi="Verdana"/>
          <w:spacing w:val="-5"/>
          <w:sz w:val="16"/>
          <w:szCs w:val="18"/>
        </w:rPr>
        <w:t>n</w:t>
      </w:r>
      <w:r w:rsidRPr="008E3F2A">
        <w:rPr>
          <w:rFonts w:ascii="Verdana" w:hAnsi="Verdana"/>
          <w:spacing w:val="-2"/>
          <w:sz w:val="16"/>
          <w:szCs w:val="18"/>
        </w:rPr>
        <w:t>th</w:t>
      </w:r>
      <w:r w:rsidRPr="008E3F2A">
        <w:rPr>
          <w:rFonts w:ascii="Verdana" w:hAnsi="Verdana"/>
          <w:sz w:val="16"/>
          <w:szCs w:val="18"/>
        </w:rPr>
        <w:t>r</w:t>
      </w:r>
      <w:r w:rsidRPr="008E3F2A">
        <w:rPr>
          <w:rFonts w:ascii="Verdana" w:hAnsi="Verdana"/>
          <w:spacing w:val="-2"/>
          <w:sz w:val="16"/>
          <w:szCs w:val="18"/>
        </w:rPr>
        <w:t>op</w:t>
      </w:r>
      <w:r w:rsidRPr="008E3F2A">
        <w:rPr>
          <w:rFonts w:ascii="Verdana" w:hAnsi="Verdana"/>
          <w:sz w:val="16"/>
          <w:szCs w:val="18"/>
        </w:rPr>
        <w:t>y</w:t>
      </w:r>
      <w:r w:rsidRPr="008E3F2A">
        <w:rPr>
          <w:rFonts w:ascii="Verdana" w:hAnsi="Verdana"/>
          <w:spacing w:val="41"/>
          <w:sz w:val="16"/>
          <w:szCs w:val="18"/>
        </w:rPr>
        <w:t xml:space="preserve"> </w:t>
      </w:r>
      <w:r w:rsidRPr="008E3F2A">
        <w:rPr>
          <w:rFonts w:ascii="Verdana" w:hAnsi="Verdana"/>
          <w:spacing w:val="-2"/>
          <w:sz w:val="16"/>
          <w:szCs w:val="18"/>
        </w:rPr>
        <w:t>i</w:t>
      </w:r>
      <w:r w:rsidRPr="008E3F2A">
        <w:rPr>
          <w:rFonts w:ascii="Verdana" w:hAnsi="Verdana"/>
          <w:sz w:val="16"/>
          <w:szCs w:val="18"/>
        </w:rPr>
        <w:t>n</w:t>
      </w:r>
      <w:r w:rsidRPr="008E3F2A">
        <w:rPr>
          <w:rFonts w:ascii="Verdana" w:hAnsi="Verdana"/>
          <w:spacing w:val="48"/>
          <w:sz w:val="16"/>
          <w:szCs w:val="18"/>
        </w:rPr>
        <w:t xml:space="preserve"> </w:t>
      </w:r>
      <w:r w:rsidRPr="008E3F2A">
        <w:rPr>
          <w:rFonts w:ascii="Verdana" w:hAnsi="Verdana"/>
          <w:sz w:val="16"/>
          <w:szCs w:val="18"/>
        </w:rPr>
        <w:t>E</w:t>
      </w:r>
      <w:r w:rsidRPr="008E3F2A">
        <w:rPr>
          <w:rFonts w:ascii="Verdana" w:hAnsi="Verdana"/>
          <w:spacing w:val="-2"/>
          <w:sz w:val="16"/>
          <w:szCs w:val="18"/>
        </w:rPr>
        <w:t>u</w:t>
      </w:r>
      <w:r w:rsidRPr="008E3F2A">
        <w:rPr>
          <w:rFonts w:ascii="Verdana" w:hAnsi="Verdana"/>
          <w:sz w:val="16"/>
          <w:szCs w:val="18"/>
        </w:rPr>
        <w:t>r</w:t>
      </w:r>
      <w:r w:rsidRPr="008E3F2A">
        <w:rPr>
          <w:rFonts w:ascii="Verdana" w:hAnsi="Verdana"/>
          <w:spacing w:val="-2"/>
          <w:sz w:val="16"/>
          <w:szCs w:val="18"/>
        </w:rPr>
        <w:t>o</w:t>
      </w:r>
      <w:r w:rsidRPr="008E3F2A">
        <w:rPr>
          <w:rFonts w:ascii="Verdana" w:hAnsi="Verdana"/>
          <w:spacing w:val="-5"/>
          <w:sz w:val="16"/>
          <w:szCs w:val="18"/>
        </w:rPr>
        <w:t>p</w:t>
      </w:r>
      <w:r w:rsidRPr="008E3F2A">
        <w:rPr>
          <w:rFonts w:ascii="Verdana" w:hAnsi="Verdana"/>
          <w:sz w:val="16"/>
          <w:szCs w:val="18"/>
        </w:rPr>
        <w:t>ean</w:t>
      </w:r>
      <w:r w:rsidRPr="008E3F2A">
        <w:rPr>
          <w:rFonts w:ascii="Verdana" w:hAnsi="Verdana"/>
          <w:spacing w:val="48"/>
          <w:sz w:val="16"/>
          <w:szCs w:val="18"/>
        </w:rPr>
        <w:t xml:space="preserve"> </w:t>
      </w:r>
      <w:r w:rsidRPr="008E3F2A">
        <w:rPr>
          <w:rFonts w:ascii="Verdana" w:hAnsi="Verdana"/>
          <w:sz w:val="16"/>
          <w:szCs w:val="18"/>
        </w:rPr>
        <w:t>we</w:t>
      </w:r>
      <w:r w:rsidRPr="008E3F2A">
        <w:rPr>
          <w:rFonts w:ascii="Verdana" w:hAnsi="Verdana"/>
          <w:spacing w:val="-2"/>
          <w:sz w:val="16"/>
          <w:szCs w:val="18"/>
        </w:rPr>
        <w:t>l</w:t>
      </w:r>
      <w:r w:rsidRPr="008E3F2A">
        <w:rPr>
          <w:rFonts w:ascii="Verdana" w:hAnsi="Verdana"/>
          <w:sz w:val="16"/>
          <w:szCs w:val="18"/>
        </w:rPr>
        <w:t>fare</w:t>
      </w:r>
      <w:r w:rsidRPr="008E3F2A">
        <w:rPr>
          <w:rFonts w:ascii="Verdana" w:hAnsi="Verdana"/>
          <w:spacing w:val="47"/>
          <w:sz w:val="16"/>
          <w:szCs w:val="18"/>
        </w:rPr>
        <w:t xml:space="preserve"> </w:t>
      </w:r>
      <w:r w:rsidRPr="008E3F2A">
        <w:rPr>
          <w:rFonts w:ascii="Verdana" w:hAnsi="Verdana"/>
          <w:spacing w:val="-2"/>
          <w:sz w:val="16"/>
          <w:szCs w:val="18"/>
        </w:rPr>
        <w:t>st</w:t>
      </w:r>
      <w:r w:rsidRPr="008E3F2A">
        <w:rPr>
          <w:rFonts w:ascii="Verdana" w:hAnsi="Verdana"/>
          <w:spacing w:val="-6"/>
          <w:sz w:val="16"/>
          <w:szCs w:val="18"/>
        </w:rPr>
        <w:t>a</w:t>
      </w:r>
      <w:r w:rsidRPr="008E3F2A">
        <w:rPr>
          <w:rFonts w:ascii="Verdana" w:hAnsi="Verdana"/>
          <w:spacing w:val="-2"/>
          <w:sz w:val="16"/>
          <w:szCs w:val="18"/>
        </w:rPr>
        <w:t>t</w:t>
      </w:r>
      <w:r w:rsidRPr="008E3F2A">
        <w:rPr>
          <w:rFonts w:ascii="Verdana" w:hAnsi="Verdana"/>
          <w:sz w:val="16"/>
          <w:szCs w:val="18"/>
        </w:rPr>
        <w:t>e</w:t>
      </w:r>
      <w:r w:rsidRPr="008E3F2A">
        <w:rPr>
          <w:rFonts w:ascii="Verdana" w:hAnsi="Verdana"/>
          <w:spacing w:val="-2"/>
          <w:sz w:val="16"/>
          <w:szCs w:val="18"/>
        </w:rPr>
        <w:t>s</w:t>
      </w:r>
      <w:r w:rsidRPr="008E3F2A">
        <w:rPr>
          <w:rFonts w:ascii="Verdana" w:hAnsi="Verdana"/>
          <w:sz w:val="16"/>
          <w:szCs w:val="18"/>
        </w:rPr>
        <w:t>;</w:t>
      </w:r>
      <w:r w:rsidRPr="008E3F2A">
        <w:rPr>
          <w:rFonts w:ascii="Verdana" w:hAnsi="Verdana"/>
          <w:spacing w:val="46"/>
          <w:sz w:val="16"/>
          <w:szCs w:val="18"/>
        </w:rPr>
        <w:t xml:space="preserve"> </w:t>
      </w:r>
      <w:r w:rsidRPr="008E3F2A">
        <w:rPr>
          <w:rFonts w:ascii="Verdana" w:hAnsi="Verdana"/>
          <w:sz w:val="16"/>
          <w:szCs w:val="18"/>
        </w:rPr>
        <w:t>a</w:t>
      </w:r>
      <w:r w:rsidRPr="008E3F2A">
        <w:rPr>
          <w:rFonts w:ascii="Verdana" w:hAnsi="Verdana"/>
          <w:spacing w:val="47"/>
          <w:sz w:val="16"/>
          <w:szCs w:val="18"/>
        </w:rPr>
        <w:t xml:space="preserve"> </w:t>
      </w:r>
      <w:r w:rsidRPr="008E3F2A">
        <w:rPr>
          <w:rFonts w:ascii="Verdana" w:hAnsi="Verdana"/>
          <w:sz w:val="16"/>
          <w:szCs w:val="18"/>
        </w:rPr>
        <w:t>c</w:t>
      </w:r>
      <w:r w:rsidRPr="008E3F2A">
        <w:rPr>
          <w:rFonts w:ascii="Verdana" w:hAnsi="Verdana"/>
          <w:spacing w:val="-5"/>
          <w:sz w:val="16"/>
          <w:szCs w:val="18"/>
        </w:rPr>
        <w:t>h</w:t>
      </w:r>
      <w:r w:rsidRPr="008E3F2A">
        <w:rPr>
          <w:rFonts w:ascii="Verdana" w:hAnsi="Verdana"/>
          <w:sz w:val="16"/>
          <w:szCs w:val="18"/>
        </w:rPr>
        <w:t>a</w:t>
      </w:r>
      <w:r w:rsidRPr="008E3F2A">
        <w:rPr>
          <w:rFonts w:ascii="Verdana" w:hAnsi="Verdana"/>
          <w:spacing w:val="-2"/>
          <w:sz w:val="16"/>
          <w:szCs w:val="18"/>
        </w:rPr>
        <w:t>ll</w:t>
      </w:r>
      <w:r w:rsidRPr="008E3F2A">
        <w:rPr>
          <w:rFonts w:ascii="Verdana" w:hAnsi="Verdana"/>
          <w:sz w:val="16"/>
          <w:szCs w:val="18"/>
        </w:rPr>
        <w:t>e</w:t>
      </w:r>
      <w:r w:rsidRPr="008E3F2A">
        <w:rPr>
          <w:rFonts w:ascii="Verdana" w:hAnsi="Verdana"/>
          <w:spacing w:val="-2"/>
          <w:sz w:val="16"/>
          <w:szCs w:val="18"/>
        </w:rPr>
        <w:t>n</w:t>
      </w:r>
      <w:r w:rsidRPr="008E3F2A">
        <w:rPr>
          <w:rFonts w:ascii="Verdana" w:hAnsi="Verdana"/>
          <w:spacing w:val="-5"/>
          <w:sz w:val="16"/>
          <w:szCs w:val="18"/>
        </w:rPr>
        <w:t>g</w:t>
      </w:r>
      <w:r w:rsidRPr="008E3F2A">
        <w:rPr>
          <w:rFonts w:ascii="Verdana" w:hAnsi="Verdana"/>
          <w:spacing w:val="-2"/>
          <w:sz w:val="16"/>
          <w:szCs w:val="18"/>
        </w:rPr>
        <w:t>in</w:t>
      </w:r>
      <w:r w:rsidRPr="008E3F2A">
        <w:rPr>
          <w:rFonts w:ascii="Verdana" w:hAnsi="Verdana"/>
          <w:sz w:val="16"/>
          <w:szCs w:val="18"/>
        </w:rPr>
        <w:t>g</w:t>
      </w:r>
      <w:r w:rsidRPr="008E3F2A">
        <w:rPr>
          <w:rFonts w:ascii="Verdana" w:hAnsi="Verdana"/>
          <w:spacing w:val="46"/>
          <w:sz w:val="16"/>
          <w:szCs w:val="18"/>
        </w:rPr>
        <w:t xml:space="preserve"> </w:t>
      </w:r>
      <w:r w:rsidRPr="008E3F2A">
        <w:rPr>
          <w:rFonts w:ascii="Verdana" w:hAnsi="Verdana"/>
          <w:spacing w:val="-2"/>
          <w:sz w:val="16"/>
          <w:szCs w:val="18"/>
        </w:rPr>
        <w:t>p</w:t>
      </w:r>
      <w:r w:rsidRPr="008E3F2A">
        <w:rPr>
          <w:rFonts w:ascii="Verdana" w:hAnsi="Verdana"/>
          <w:sz w:val="16"/>
          <w:szCs w:val="18"/>
        </w:rPr>
        <w:t>r</w:t>
      </w:r>
      <w:r w:rsidRPr="008E3F2A">
        <w:rPr>
          <w:rFonts w:ascii="Verdana" w:hAnsi="Verdana"/>
          <w:spacing w:val="-2"/>
          <w:sz w:val="16"/>
          <w:szCs w:val="18"/>
        </w:rPr>
        <w:t>o</w:t>
      </w:r>
      <w:r w:rsidRPr="008E3F2A">
        <w:rPr>
          <w:rFonts w:ascii="Verdana" w:hAnsi="Verdana"/>
          <w:spacing w:val="-4"/>
          <w:sz w:val="16"/>
          <w:szCs w:val="18"/>
        </w:rPr>
        <w:t>m</w:t>
      </w:r>
      <w:r w:rsidRPr="008E3F2A">
        <w:rPr>
          <w:rFonts w:ascii="Verdana" w:hAnsi="Verdana"/>
          <w:spacing w:val="-2"/>
          <w:sz w:val="16"/>
          <w:szCs w:val="18"/>
        </w:rPr>
        <w:t>is</w:t>
      </w:r>
      <w:r w:rsidRPr="008E3F2A">
        <w:rPr>
          <w:rFonts w:ascii="Verdana" w:hAnsi="Verdana"/>
          <w:spacing w:val="-6"/>
          <w:sz w:val="16"/>
          <w:szCs w:val="18"/>
        </w:rPr>
        <w:t>e</w:t>
      </w:r>
      <w:r w:rsidRPr="008E3F2A">
        <w:rPr>
          <w:rFonts w:ascii="Verdana" w:hAnsi="Verdana"/>
          <w:sz w:val="16"/>
          <w:szCs w:val="18"/>
        </w:rPr>
        <w:t>?’</w:t>
      </w:r>
      <w:r w:rsidRPr="008E3F2A">
        <w:rPr>
          <w:rFonts w:ascii="Verdana" w:hAnsi="Verdana"/>
          <w:spacing w:val="47"/>
          <w:sz w:val="16"/>
          <w:szCs w:val="18"/>
        </w:rPr>
        <w:t xml:space="preserve"> </w:t>
      </w:r>
      <w:r w:rsidRPr="008E3F2A">
        <w:rPr>
          <w:rFonts w:ascii="Verdana" w:hAnsi="Verdana"/>
          <w:spacing w:val="-8"/>
          <w:sz w:val="16"/>
          <w:szCs w:val="18"/>
        </w:rPr>
        <w:t>I</w:t>
      </w:r>
      <w:r w:rsidRPr="008E3F2A">
        <w:rPr>
          <w:rFonts w:ascii="Verdana" w:hAnsi="Verdana"/>
          <w:spacing w:val="-2"/>
          <w:sz w:val="16"/>
          <w:szCs w:val="18"/>
        </w:rPr>
        <w:t xml:space="preserve">n: </w:t>
      </w:r>
      <w:r w:rsidRPr="008E3F2A">
        <w:rPr>
          <w:rFonts w:ascii="Verdana" w:hAnsi="Verdana"/>
          <w:i/>
          <w:iCs/>
          <w:sz w:val="16"/>
          <w:szCs w:val="18"/>
        </w:rPr>
        <w:t>Rev</w:t>
      </w:r>
      <w:r w:rsidRPr="008E3F2A">
        <w:rPr>
          <w:rFonts w:ascii="Verdana" w:hAnsi="Verdana"/>
          <w:i/>
          <w:iCs/>
          <w:spacing w:val="-2"/>
          <w:sz w:val="16"/>
          <w:szCs w:val="18"/>
        </w:rPr>
        <w:t>i</w:t>
      </w:r>
      <w:r w:rsidRPr="008E3F2A">
        <w:rPr>
          <w:rFonts w:ascii="Verdana" w:hAnsi="Verdana"/>
          <w:i/>
          <w:iCs/>
          <w:sz w:val="16"/>
          <w:szCs w:val="18"/>
        </w:rPr>
        <w:t>ew</w:t>
      </w:r>
      <w:r w:rsidRPr="008E3F2A">
        <w:rPr>
          <w:rFonts w:ascii="Verdana" w:hAnsi="Verdana"/>
          <w:i/>
          <w:iCs/>
          <w:spacing w:val="-4"/>
          <w:sz w:val="16"/>
          <w:szCs w:val="18"/>
        </w:rPr>
        <w:t xml:space="preserve"> </w:t>
      </w:r>
      <w:r w:rsidRPr="008E3F2A">
        <w:rPr>
          <w:rFonts w:ascii="Verdana" w:hAnsi="Verdana"/>
          <w:i/>
          <w:iCs/>
          <w:spacing w:val="-5"/>
          <w:sz w:val="16"/>
          <w:szCs w:val="18"/>
        </w:rPr>
        <w:t>o</w:t>
      </w:r>
      <w:r w:rsidRPr="008E3F2A">
        <w:rPr>
          <w:rFonts w:ascii="Verdana" w:hAnsi="Verdana"/>
          <w:i/>
          <w:iCs/>
          <w:sz w:val="16"/>
          <w:szCs w:val="18"/>
        </w:rPr>
        <w:t>f</w:t>
      </w:r>
      <w:r w:rsidRPr="008E3F2A">
        <w:rPr>
          <w:rFonts w:ascii="Verdana" w:hAnsi="Verdana"/>
          <w:i/>
          <w:iCs/>
          <w:spacing w:val="-4"/>
          <w:sz w:val="16"/>
          <w:szCs w:val="18"/>
        </w:rPr>
        <w:t xml:space="preserve"> </w:t>
      </w:r>
      <w:r w:rsidRPr="008E3F2A">
        <w:rPr>
          <w:rFonts w:ascii="Verdana" w:hAnsi="Verdana"/>
          <w:i/>
          <w:iCs/>
          <w:sz w:val="16"/>
          <w:szCs w:val="18"/>
        </w:rPr>
        <w:t>A</w:t>
      </w:r>
      <w:r w:rsidRPr="008E3F2A">
        <w:rPr>
          <w:rFonts w:ascii="Verdana" w:hAnsi="Verdana"/>
          <w:i/>
          <w:iCs/>
          <w:spacing w:val="-2"/>
          <w:sz w:val="16"/>
          <w:szCs w:val="18"/>
        </w:rPr>
        <w:t>d</w:t>
      </w:r>
      <w:r w:rsidRPr="008E3F2A">
        <w:rPr>
          <w:rFonts w:ascii="Verdana" w:hAnsi="Verdana"/>
          <w:i/>
          <w:iCs/>
          <w:spacing w:val="-5"/>
          <w:sz w:val="16"/>
          <w:szCs w:val="18"/>
        </w:rPr>
        <w:t>m</w:t>
      </w:r>
      <w:r w:rsidRPr="008E3F2A">
        <w:rPr>
          <w:rFonts w:ascii="Verdana" w:hAnsi="Verdana"/>
          <w:i/>
          <w:iCs/>
          <w:spacing w:val="-2"/>
          <w:sz w:val="16"/>
          <w:szCs w:val="18"/>
        </w:rPr>
        <w:t>i</w:t>
      </w:r>
      <w:r w:rsidRPr="008E3F2A">
        <w:rPr>
          <w:rFonts w:ascii="Verdana" w:hAnsi="Verdana"/>
          <w:i/>
          <w:iCs/>
          <w:spacing w:val="-5"/>
          <w:sz w:val="16"/>
          <w:szCs w:val="18"/>
        </w:rPr>
        <w:t>n</w:t>
      </w:r>
      <w:r w:rsidRPr="008E3F2A">
        <w:rPr>
          <w:rFonts w:ascii="Verdana" w:hAnsi="Verdana"/>
          <w:i/>
          <w:iCs/>
          <w:spacing w:val="-2"/>
          <w:sz w:val="16"/>
          <w:szCs w:val="18"/>
        </w:rPr>
        <w:t>is</w:t>
      </w:r>
      <w:r w:rsidRPr="008E3F2A">
        <w:rPr>
          <w:rFonts w:ascii="Verdana" w:hAnsi="Verdana"/>
          <w:i/>
          <w:iCs/>
          <w:spacing w:val="-4"/>
          <w:sz w:val="16"/>
          <w:szCs w:val="18"/>
        </w:rPr>
        <w:t>t</w:t>
      </w:r>
      <w:r w:rsidRPr="008E3F2A">
        <w:rPr>
          <w:rFonts w:ascii="Verdana" w:hAnsi="Verdana"/>
          <w:i/>
          <w:iCs/>
          <w:spacing w:val="-2"/>
          <w:sz w:val="16"/>
          <w:szCs w:val="18"/>
        </w:rPr>
        <w:t>ra</w:t>
      </w:r>
      <w:r w:rsidRPr="008E3F2A">
        <w:rPr>
          <w:rFonts w:ascii="Verdana" w:hAnsi="Verdana"/>
          <w:i/>
          <w:iCs/>
          <w:spacing w:val="-4"/>
          <w:sz w:val="16"/>
          <w:szCs w:val="18"/>
        </w:rPr>
        <w:t>t</w:t>
      </w:r>
      <w:r w:rsidRPr="008E3F2A">
        <w:rPr>
          <w:rFonts w:ascii="Verdana" w:hAnsi="Verdana"/>
          <w:i/>
          <w:iCs/>
          <w:spacing w:val="-2"/>
          <w:sz w:val="16"/>
          <w:szCs w:val="18"/>
        </w:rPr>
        <w:t>i</w:t>
      </w:r>
      <w:r w:rsidRPr="008E3F2A">
        <w:rPr>
          <w:rFonts w:ascii="Verdana" w:hAnsi="Verdana"/>
          <w:i/>
          <w:iCs/>
          <w:sz w:val="16"/>
          <w:szCs w:val="18"/>
        </w:rPr>
        <w:t>ve</w:t>
      </w:r>
      <w:r w:rsidRPr="008E3F2A">
        <w:rPr>
          <w:rFonts w:ascii="Verdana" w:hAnsi="Verdana"/>
          <w:i/>
          <w:iCs/>
          <w:spacing w:val="-8"/>
          <w:sz w:val="16"/>
          <w:szCs w:val="18"/>
        </w:rPr>
        <w:t xml:space="preserve"> </w:t>
      </w:r>
      <w:r w:rsidRPr="008E3F2A">
        <w:rPr>
          <w:rFonts w:ascii="Verdana" w:hAnsi="Verdana"/>
          <w:i/>
          <w:iCs/>
          <w:spacing w:val="-2"/>
          <w:sz w:val="16"/>
          <w:szCs w:val="18"/>
        </w:rPr>
        <w:t>S</w:t>
      </w:r>
      <w:r w:rsidRPr="008E3F2A">
        <w:rPr>
          <w:rFonts w:ascii="Verdana" w:hAnsi="Verdana"/>
          <w:i/>
          <w:iCs/>
          <w:sz w:val="16"/>
          <w:szCs w:val="18"/>
        </w:rPr>
        <w:t>c</w:t>
      </w:r>
      <w:r w:rsidRPr="008E3F2A">
        <w:rPr>
          <w:rFonts w:ascii="Verdana" w:hAnsi="Verdana"/>
          <w:i/>
          <w:iCs/>
          <w:spacing w:val="-2"/>
          <w:sz w:val="16"/>
          <w:szCs w:val="18"/>
        </w:rPr>
        <w:t>i</w:t>
      </w:r>
      <w:r w:rsidRPr="008E3F2A">
        <w:rPr>
          <w:rFonts w:ascii="Verdana" w:hAnsi="Verdana"/>
          <w:i/>
          <w:iCs/>
          <w:sz w:val="16"/>
          <w:szCs w:val="18"/>
        </w:rPr>
        <w:t>e</w:t>
      </w:r>
      <w:r w:rsidRPr="008E3F2A">
        <w:rPr>
          <w:rFonts w:ascii="Verdana" w:hAnsi="Verdana"/>
          <w:i/>
          <w:iCs/>
          <w:spacing w:val="-2"/>
          <w:sz w:val="16"/>
          <w:szCs w:val="18"/>
        </w:rPr>
        <w:t>n</w:t>
      </w:r>
      <w:r w:rsidRPr="008E3F2A">
        <w:rPr>
          <w:rFonts w:ascii="Verdana" w:hAnsi="Verdana"/>
          <w:i/>
          <w:iCs/>
          <w:sz w:val="16"/>
          <w:szCs w:val="18"/>
        </w:rPr>
        <w:t>ce</w:t>
      </w:r>
      <w:r w:rsidRPr="008E3F2A">
        <w:rPr>
          <w:rFonts w:ascii="Verdana" w:hAnsi="Verdana"/>
          <w:i/>
          <w:iCs/>
          <w:spacing w:val="-2"/>
          <w:sz w:val="16"/>
          <w:szCs w:val="18"/>
        </w:rPr>
        <w:t>s</w:t>
      </w:r>
      <w:r w:rsidRPr="008E3F2A">
        <w:rPr>
          <w:rFonts w:ascii="Verdana" w:hAnsi="Verdana"/>
          <w:sz w:val="16"/>
          <w:szCs w:val="18"/>
        </w:rPr>
        <w:t>.</w:t>
      </w:r>
      <w:r w:rsidRPr="008E3F2A">
        <w:rPr>
          <w:rFonts w:ascii="Verdana" w:hAnsi="Verdana"/>
          <w:spacing w:val="-5"/>
          <w:sz w:val="16"/>
          <w:szCs w:val="18"/>
        </w:rPr>
        <w:t xml:space="preserve"> 7</w:t>
      </w:r>
      <w:r w:rsidRPr="008E3F2A">
        <w:rPr>
          <w:rFonts w:ascii="Verdana" w:hAnsi="Verdana"/>
          <w:sz w:val="16"/>
          <w:szCs w:val="18"/>
        </w:rPr>
        <w:t>6</w:t>
      </w:r>
      <w:r w:rsidRPr="008E3F2A">
        <w:rPr>
          <w:rFonts w:ascii="Verdana" w:hAnsi="Verdana"/>
          <w:spacing w:val="-5"/>
          <w:sz w:val="16"/>
          <w:szCs w:val="18"/>
        </w:rPr>
        <w:t xml:space="preserve"> </w:t>
      </w:r>
      <w:r w:rsidRPr="008E3F2A">
        <w:rPr>
          <w:rFonts w:ascii="Verdana" w:hAnsi="Verdana"/>
          <w:sz w:val="16"/>
          <w:szCs w:val="18"/>
        </w:rPr>
        <w:t>(</w:t>
      </w:r>
      <w:r w:rsidRPr="008E3F2A">
        <w:rPr>
          <w:rFonts w:ascii="Verdana" w:hAnsi="Verdana"/>
          <w:spacing w:val="-2"/>
          <w:sz w:val="16"/>
          <w:szCs w:val="18"/>
        </w:rPr>
        <w:t>4</w:t>
      </w:r>
      <w:r w:rsidRPr="008E3F2A">
        <w:rPr>
          <w:rFonts w:ascii="Verdana" w:hAnsi="Verdana"/>
          <w:sz w:val="16"/>
          <w:szCs w:val="18"/>
        </w:rPr>
        <w:t>)</w:t>
      </w:r>
      <w:r w:rsidRPr="008E3F2A">
        <w:rPr>
          <w:rFonts w:ascii="Verdana" w:hAnsi="Verdana"/>
          <w:spacing w:val="-8"/>
          <w:sz w:val="16"/>
          <w:szCs w:val="18"/>
        </w:rPr>
        <w:t xml:space="preserve"> </w:t>
      </w:r>
      <w:r w:rsidRPr="008E3F2A">
        <w:rPr>
          <w:rFonts w:ascii="Verdana" w:hAnsi="Verdana"/>
          <w:spacing w:val="-2"/>
          <w:sz w:val="16"/>
          <w:szCs w:val="18"/>
        </w:rPr>
        <w:t>774</w:t>
      </w:r>
      <w:r w:rsidRPr="008E3F2A">
        <w:rPr>
          <w:rFonts w:ascii="Verdana" w:hAnsi="Verdana"/>
          <w:sz w:val="16"/>
          <w:szCs w:val="18"/>
        </w:rPr>
        <w:t>-</w:t>
      </w:r>
      <w:r w:rsidRPr="008E3F2A">
        <w:rPr>
          <w:rFonts w:ascii="Verdana" w:hAnsi="Verdana"/>
          <w:spacing w:val="-5"/>
          <w:sz w:val="16"/>
          <w:szCs w:val="18"/>
        </w:rPr>
        <w:t>7</w:t>
      </w:r>
      <w:r w:rsidRPr="008E3F2A">
        <w:rPr>
          <w:rFonts w:ascii="Verdana" w:hAnsi="Verdana"/>
          <w:spacing w:val="-2"/>
          <w:sz w:val="16"/>
          <w:szCs w:val="18"/>
        </w:rPr>
        <w:t>89</w:t>
      </w:r>
      <w:r>
        <w:rPr>
          <w:rFonts w:ascii="Verdana" w:hAnsi="Verdana"/>
          <w:spacing w:val="-2"/>
          <w:sz w:val="16"/>
          <w:szCs w:val="18"/>
        </w:rPr>
        <w:t>.</w:t>
      </w:r>
    </w:p>
  </w:footnote>
  <w:footnote w:id="10">
    <w:p w:rsidR="00410426" w:rsidRPr="008E3F2A" w:rsidRDefault="00410426" w:rsidP="00410426">
      <w:pPr>
        <w:pStyle w:val="FootnoteText"/>
        <w:rPr>
          <w:rFonts w:ascii="Verdana" w:hAnsi="Verdana"/>
          <w:sz w:val="16"/>
          <w:szCs w:val="18"/>
          <w:lang w:val="en-GB"/>
        </w:rPr>
      </w:pPr>
      <w:r w:rsidRPr="008E3F2A">
        <w:rPr>
          <w:rStyle w:val="FootnoteReference"/>
          <w:rFonts w:ascii="Verdana" w:hAnsi="Verdana"/>
          <w:sz w:val="16"/>
          <w:szCs w:val="18"/>
        </w:rPr>
        <w:footnoteRef/>
      </w:r>
      <w:r w:rsidRPr="008E3F2A">
        <w:rPr>
          <w:rFonts w:ascii="Verdana" w:hAnsi="Verdana"/>
          <w:sz w:val="16"/>
          <w:szCs w:val="18"/>
          <w:lang w:val="en-GB"/>
        </w:rPr>
        <w:t xml:space="preserve"> Adam, T. (Ed.) (2004)</w:t>
      </w:r>
      <w:r>
        <w:rPr>
          <w:rFonts w:ascii="Verdana" w:hAnsi="Verdana"/>
          <w:sz w:val="16"/>
          <w:szCs w:val="18"/>
          <w:lang w:val="en-GB"/>
        </w:rPr>
        <w:t xml:space="preserve"> </w:t>
      </w:r>
      <w:r w:rsidRPr="008E3F2A">
        <w:rPr>
          <w:rFonts w:ascii="Verdana" w:hAnsi="Verdana"/>
          <w:i/>
          <w:sz w:val="16"/>
          <w:szCs w:val="18"/>
          <w:lang w:val="en-GB"/>
        </w:rPr>
        <w:t>Philanthropy, Patronage and Civil Society. Experiences from Germany, Great Britain and North America</w:t>
      </w:r>
      <w:r>
        <w:rPr>
          <w:rFonts w:ascii="Verdana" w:hAnsi="Verdana"/>
          <w:i/>
          <w:sz w:val="16"/>
          <w:szCs w:val="18"/>
          <w:lang w:val="en-GB"/>
        </w:rPr>
        <w:t>,</w:t>
      </w:r>
      <w:r w:rsidRPr="008E3F2A">
        <w:rPr>
          <w:rFonts w:ascii="Verdana" w:hAnsi="Verdana"/>
          <w:i/>
          <w:sz w:val="16"/>
          <w:szCs w:val="18"/>
          <w:lang w:val="en-GB"/>
        </w:rPr>
        <w:t xml:space="preserve"> </w:t>
      </w:r>
      <w:r w:rsidRPr="008E3F2A">
        <w:rPr>
          <w:rFonts w:ascii="Verdana" w:hAnsi="Verdana"/>
          <w:sz w:val="16"/>
          <w:szCs w:val="18"/>
          <w:lang w:val="en-GB"/>
        </w:rPr>
        <w:t>Bloomington: Indiana Press., p.5</w:t>
      </w:r>
      <w:r>
        <w:rPr>
          <w:rFonts w:ascii="Verdana" w:hAnsi="Verdana"/>
          <w:sz w:val="16"/>
          <w:szCs w:val="18"/>
          <w:lang w:val="en-GB"/>
        </w:rPr>
        <w:t>.</w:t>
      </w:r>
      <w:r w:rsidRPr="008E3F2A">
        <w:rPr>
          <w:rFonts w:ascii="Verdana" w:hAnsi="Verdana"/>
          <w:sz w:val="16"/>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1117"/>
      <w:gridCol w:w="6532"/>
      <w:gridCol w:w="1146"/>
    </w:tblGrid>
    <w:tr w:rsidR="003D43DC" w:rsidTr="005A2F54">
      <w:trPr>
        <w:trHeight w:val="1597"/>
      </w:trPr>
      <w:tc>
        <w:tcPr>
          <w:tcW w:w="1117" w:type="dxa"/>
        </w:tcPr>
        <w:p w:rsidR="003D43DC" w:rsidRDefault="003D43DC" w:rsidP="005A2F54">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532" w:type="dxa"/>
          <w:vAlign w:val="center"/>
        </w:tcPr>
        <w:p w:rsidR="003D43DC" w:rsidRDefault="003D43DC" w:rsidP="005A2F54">
          <w:pPr>
            <w:pStyle w:val="ZDGName"/>
            <w:jc w:val="center"/>
            <w:rPr>
              <w:rFonts w:ascii="Verdana" w:hAnsi="Verdana"/>
              <w:caps/>
              <w:sz w:val="18"/>
              <w:szCs w:val="18"/>
            </w:rPr>
          </w:pPr>
        </w:p>
        <w:p w:rsidR="003D43DC" w:rsidRPr="00DC39C7" w:rsidRDefault="003D43DC" w:rsidP="005A2F54">
          <w:pPr>
            <w:jc w:val="center"/>
            <w:rPr>
              <w:rFonts w:ascii="Verdana" w:hAnsi="Verdana"/>
              <w:b/>
              <w:sz w:val="18"/>
              <w:szCs w:val="18"/>
              <w:u w:val="single"/>
            </w:rPr>
          </w:pPr>
        </w:p>
      </w:tc>
      <w:tc>
        <w:tcPr>
          <w:tcW w:w="1146" w:type="dxa"/>
        </w:tcPr>
        <w:p w:rsidR="003D43DC" w:rsidRDefault="003D43DC" w:rsidP="005A2F54">
          <w:pPr>
            <w:pStyle w:val="ZCom"/>
          </w:pPr>
        </w:p>
        <w:p w:rsidR="003D43DC" w:rsidRDefault="003D43DC" w:rsidP="005A2F54">
          <w:pPr>
            <w:pStyle w:val="ZDGName"/>
          </w:pPr>
        </w:p>
        <w:p w:rsidR="003D43DC" w:rsidRDefault="003D43DC" w:rsidP="005A2F54">
          <w:pPr>
            <w:pStyle w:val="ZDGName"/>
          </w:pPr>
        </w:p>
        <w:p w:rsidR="003D43DC" w:rsidRPr="007D46C5" w:rsidRDefault="003D43DC" w:rsidP="005A2F54">
          <w:pPr>
            <w:pStyle w:val="ZDGName"/>
          </w:pPr>
        </w:p>
      </w:tc>
    </w:tr>
  </w:tbl>
  <w:p w:rsidR="003D43DC" w:rsidRDefault="003D43DC" w:rsidP="005A2F54">
    <w:pPr>
      <w:pStyle w:val="Header"/>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DC" w:rsidRDefault="003D43DC" w:rsidP="005A2F54">
    <w:pPr>
      <w:pStyle w:val="Header"/>
      <w:tabs>
        <w:tab w:val="left" w:pos="7513"/>
      </w:tabs>
      <w:jc w:val="center"/>
    </w:pPr>
    <w:r>
      <w:rPr>
        <w:rFonts w:cs="Arial"/>
        <w:noProof/>
        <w:sz w:val="12"/>
        <w:szCs w:val="12"/>
        <w:lang w:val="en-US"/>
      </w:rPr>
      <w:drawing>
        <wp:anchor distT="0" distB="0" distL="114300" distR="114300" simplePos="0" relativeHeight="251659264" behindDoc="1" locked="0" layoutInCell="1" allowOverlap="1" wp14:anchorId="0B038D04" wp14:editId="224584E2">
          <wp:simplePos x="0" y="0"/>
          <wp:positionH relativeFrom="margin">
            <wp:posOffset>-1074420</wp:posOffset>
          </wp:positionH>
          <wp:positionV relativeFrom="margin">
            <wp:posOffset>2581275</wp:posOffset>
          </wp:positionV>
          <wp:extent cx="7345045" cy="7423785"/>
          <wp:effectExtent l="0" t="0" r="8255" b="5715"/>
          <wp:wrapNone/>
          <wp:docPr id="8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rFonts w:cs="Arial"/>
        <w:noProof/>
        <w:sz w:val="12"/>
        <w:szCs w:val="12"/>
        <w:lang w:val="en-US"/>
      </w:rPr>
      <w:drawing>
        <wp:anchor distT="0" distB="0" distL="114300" distR="114300" simplePos="0" relativeHeight="251660288" behindDoc="0" locked="0" layoutInCell="1" allowOverlap="1" wp14:anchorId="60078EF1" wp14:editId="1D03A046">
          <wp:simplePos x="0" y="0"/>
          <wp:positionH relativeFrom="column">
            <wp:align>center</wp:align>
          </wp:positionH>
          <wp:positionV relativeFrom="margin">
            <wp:posOffset>-535305</wp:posOffset>
          </wp:positionV>
          <wp:extent cx="7558536" cy="2139315"/>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CE for RTD EN Negative Banner A4.png"/>
                  <pic:cNvPicPr/>
                </pic:nvPicPr>
                <pic:blipFill>
                  <a:blip r:embed="rId2">
                    <a:extLst>
                      <a:ext uri="{28A0092B-C50C-407E-A947-70E740481C1C}">
                        <a14:useLocalDpi xmlns:a14="http://schemas.microsoft.com/office/drawing/2010/main" val="0"/>
                      </a:ext>
                    </a:extLst>
                  </a:blip>
                  <a:stretch>
                    <a:fillRect/>
                  </a:stretch>
                </pic:blipFill>
                <pic:spPr>
                  <a:xfrm>
                    <a:off x="0" y="0"/>
                    <a:ext cx="7558536" cy="2139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67650"/>
    <w:multiLevelType w:val="hybridMultilevel"/>
    <w:tmpl w:val="ED7EA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83B09"/>
    <w:multiLevelType w:val="hybridMultilevel"/>
    <w:tmpl w:val="ED7EA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658E5"/>
    <w:multiLevelType w:val="hybridMultilevel"/>
    <w:tmpl w:val="3C00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A35AC"/>
    <w:multiLevelType w:val="hybridMultilevel"/>
    <w:tmpl w:val="7988EC32"/>
    <w:lvl w:ilvl="0" w:tplc="4F34E164">
      <w:start w:val="1"/>
      <w:numFmt w:val="bullet"/>
      <w:lvlText w:val="-"/>
      <w:lvlJc w:val="left"/>
      <w:pPr>
        <w:ind w:left="360" w:hanging="360"/>
      </w:pPr>
      <w:rPr>
        <w:rFonts w:ascii="Calibri" w:eastAsiaTheme="minorHAnsi" w:hAnsi="Calibri" w:cstheme="minorBid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776330"/>
    <w:multiLevelType w:val="hybridMultilevel"/>
    <w:tmpl w:val="C28024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93"/>
    <w:rsid w:val="00011E0F"/>
    <w:rsid w:val="00046F2B"/>
    <w:rsid w:val="00090DAC"/>
    <w:rsid w:val="000A380C"/>
    <w:rsid w:val="00194C72"/>
    <w:rsid w:val="001A7C18"/>
    <w:rsid w:val="001C1847"/>
    <w:rsid w:val="001E1B22"/>
    <w:rsid w:val="001F5AB2"/>
    <w:rsid w:val="002004DB"/>
    <w:rsid w:val="00227493"/>
    <w:rsid w:val="002D2AEE"/>
    <w:rsid w:val="002E3503"/>
    <w:rsid w:val="0037723E"/>
    <w:rsid w:val="003D43DC"/>
    <w:rsid w:val="00410426"/>
    <w:rsid w:val="0047462B"/>
    <w:rsid w:val="004C6493"/>
    <w:rsid w:val="005C591B"/>
    <w:rsid w:val="006060EA"/>
    <w:rsid w:val="00621E91"/>
    <w:rsid w:val="00643B22"/>
    <w:rsid w:val="00646851"/>
    <w:rsid w:val="007C5805"/>
    <w:rsid w:val="00855483"/>
    <w:rsid w:val="00881ACD"/>
    <w:rsid w:val="0096590F"/>
    <w:rsid w:val="009D426F"/>
    <w:rsid w:val="00AA1191"/>
    <w:rsid w:val="00AA6C4D"/>
    <w:rsid w:val="00B3111B"/>
    <w:rsid w:val="00BD1F1B"/>
    <w:rsid w:val="00C45765"/>
    <w:rsid w:val="00CE4F01"/>
    <w:rsid w:val="00D343F6"/>
    <w:rsid w:val="00D4576A"/>
    <w:rsid w:val="00DE1913"/>
    <w:rsid w:val="00F03C4E"/>
    <w:rsid w:val="00F12AFE"/>
    <w:rsid w:val="00F46292"/>
    <w:rsid w:val="00F53C47"/>
    <w:rsid w:val="00F75C18"/>
    <w:rsid w:val="00FF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Title"/>
    <w:link w:val="Heading1Char"/>
    <w:uiPriority w:val="9"/>
    <w:qFormat/>
    <w:rsid w:val="00410426"/>
    <w:pPr>
      <w:keepNext/>
      <w:keepLines/>
      <w:spacing w:before="240" w:after="0"/>
      <w:outlineLvl w:val="0"/>
    </w:pPr>
    <w:rPr>
      <w:rFonts w:ascii="Verdana" w:hAnsi="Verdana"/>
      <w:color w:val="244061" w:themeColor="accent1" w:themeShade="80"/>
      <w:szCs w:val="32"/>
      <w:lang w:val="sv-SE"/>
    </w:rPr>
  </w:style>
  <w:style w:type="paragraph" w:styleId="Heading5">
    <w:name w:val="heading 5"/>
    <w:basedOn w:val="Normal"/>
    <w:next w:val="Normal"/>
    <w:link w:val="Heading5Char"/>
    <w:uiPriority w:val="9"/>
    <w:unhideWhenUsed/>
    <w:qFormat/>
    <w:rsid w:val="00410426"/>
    <w:pPr>
      <w:keepNext/>
      <w:keepLines/>
      <w:spacing w:before="40" w:after="0"/>
      <w:outlineLvl w:val="4"/>
    </w:pPr>
    <w:rPr>
      <w:rFonts w:asciiTheme="majorHAnsi" w:eastAsiaTheme="majorEastAsia" w:hAnsiTheme="majorHAnsi"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0F"/>
    <w:pPr>
      <w:ind w:left="720"/>
      <w:contextualSpacing/>
    </w:pPr>
  </w:style>
  <w:style w:type="character" w:styleId="Emphasis">
    <w:name w:val="Emphasis"/>
    <w:qFormat/>
    <w:rsid w:val="001E1B22"/>
    <w:rPr>
      <w:i/>
      <w:iCs/>
    </w:rPr>
  </w:style>
  <w:style w:type="character" w:styleId="Hyperlink">
    <w:name w:val="Hyperlink"/>
    <w:basedOn w:val="DefaultParagraphFont"/>
    <w:uiPriority w:val="99"/>
    <w:semiHidden/>
    <w:unhideWhenUsed/>
    <w:rsid w:val="00194C72"/>
    <w:rPr>
      <w:color w:val="0000FF"/>
      <w:u w:val="single"/>
    </w:rPr>
  </w:style>
  <w:style w:type="character" w:customStyle="1" w:styleId="Heading1Char">
    <w:name w:val="Heading 1 Char"/>
    <w:basedOn w:val="DefaultParagraphFont"/>
    <w:link w:val="Heading1"/>
    <w:uiPriority w:val="9"/>
    <w:rsid w:val="00410426"/>
    <w:rPr>
      <w:rFonts w:ascii="Verdana" w:eastAsiaTheme="majorEastAsia" w:hAnsi="Verdana" w:cstheme="majorBidi"/>
      <w:color w:val="244061" w:themeColor="accent1" w:themeShade="80"/>
      <w:spacing w:val="5"/>
      <w:kern w:val="28"/>
      <w:sz w:val="52"/>
      <w:szCs w:val="32"/>
      <w:lang w:val="sv-SE"/>
    </w:rPr>
  </w:style>
  <w:style w:type="character" w:customStyle="1" w:styleId="Heading5Char">
    <w:name w:val="Heading 5 Char"/>
    <w:basedOn w:val="DefaultParagraphFont"/>
    <w:link w:val="Heading5"/>
    <w:uiPriority w:val="9"/>
    <w:rsid w:val="00410426"/>
    <w:rPr>
      <w:rFonts w:asciiTheme="majorHAnsi" w:eastAsiaTheme="majorEastAsia" w:hAnsiTheme="majorHAnsi" w:cstheme="majorBidi"/>
      <w:color w:val="365F91" w:themeColor="accent1" w:themeShade="BF"/>
      <w:lang w:val="en-GB"/>
    </w:rPr>
  </w:style>
  <w:style w:type="paragraph" w:styleId="FootnoteText">
    <w:name w:val="footnote text"/>
    <w:basedOn w:val="Normal"/>
    <w:link w:val="FootnoteTextChar"/>
    <w:unhideWhenUsed/>
    <w:rsid w:val="00410426"/>
    <w:pPr>
      <w:spacing w:after="0" w:line="240" w:lineRule="auto"/>
    </w:pPr>
    <w:rPr>
      <w:sz w:val="20"/>
      <w:szCs w:val="20"/>
      <w:lang w:val="sv-SE"/>
    </w:rPr>
  </w:style>
  <w:style w:type="character" w:customStyle="1" w:styleId="FootnoteTextChar">
    <w:name w:val="Footnote Text Char"/>
    <w:basedOn w:val="DefaultParagraphFont"/>
    <w:link w:val="FootnoteText"/>
    <w:rsid w:val="00410426"/>
    <w:rPr>
      <w:sz w:val="20"/>
      <w:szCs w:val="20"/>
      <w:lang w:val="sv-SE"/>
    </w:rPr>
  </w:style>
  <w:style w:type="character" w:styleId="FootnoteReference">
    <w:name w:val="footnote reference"/>
    <w:basedOn w:val="DefaultParagraphFont"/>
    <w:uiPriority w:val="99"/>
    <w:unhideWhenUsed/>
    <w:rsid w:val="00410426"/>
    <w:rPr>
      <w:vertAlign w:val="superscript"/>
    </w:rPr>
  </w:style>
  <w:style w:type="paragraph" w:styleId="CommentText">
    <w:name w:val="annotation text"/>
    <w:basedOn w:val="Normal"/>
    <w:link w:val="CommentTextChar"/>
    <w:uiPriority w:val="99"/>
    <w:unhideWhenUsed/>
    <w:rsid w:val="00410426"/>
    <w:pPr>
      <w:spacing w:after="160" w:line="240" w:lineRule="auto"/>
    </w:pPr>
    <w:rPr>
      <w:sz w:val="20"/>
      <w:szCs w:val="20"/>
      <w:lang w:val="sv-SE"/>
    </w:rPr>
  </w:style>
  <w:style w:type="character" w:customStyle="1" w:styleId="CommentTextChar">
    <w:name w:val="Comment Text Char"/>
    <w:basedOn w:val="DefaultParagraphFont"/>
    <w:link w:val="CommentText"/>
    <w:uiPriority w:val="99"/>
    <w:rsid w:val="00410426"/>
    <w:rPr>
      <w:sz w:val="20"/>
      <w:szCs w:val="20"/>
      <w:lang w:val="sv-SE"/>
    </w:rPr>
  </w:style>
  <w:style w:type="paragraph" w:styleId="EndnoteText">
    <w:name w:val="endnote text"/>
    <w:basedOn w:val="Normal"/>
    <w:link w:val="EndnoteTextChar"/>
    <w:uiPriority w:val="99"/>
    <w:unhideWhenUsed/>
    <w:rsid w:val="00410426"/>
    <w:pPr>
      <w:spacing w:after="0" w:line="240" w:lineRule="auto"/>
    </w:pPr>
    <w:rPr>
      <w:sz w:val="24"/>
      <w:szCs w:val="24"/>
      <w:lang w:val="en-GB"/>
    </w:rPr>
  </w:style>
  <w:style w:type="character" w:customStyle="1" w:styleId="EndnoteTextChar">
    <w:name w:val="Endnote Text Char"/>
    <w:basedOn w:val="DefaultParagraphFont"/>
    <w:link w:val="EndnoteText"/>
    <w:uiPriority w:val="99"/>
    <w:rsid w:val="00410426"/>
    <w:rPr>
      <w:sz w:val="24"/>
      <w:szCs w:val="24"/>
      <w:lang w:val="en-GB"/>
    </w:rPr>
  </w:style>
  <w:style w:type="paragraph" w:styleId="Title">
    <w:name w:val="Title"/>
    <w:basedOn w:val="Normal"/>
    <w:next w:val="Normal"/>
    <w:link w:val="TitleChar"/>
    <w:uiPriority w:val="10"/>
    <w:qFormat/>
    <w:rsid w:val="00410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42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D43DC"/>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3D43DC"/>
    <w:rPr>
      <w:lang w:val="en-GB"/>
    </w:rPr>
  </w:style>
  <w:style w:type="paragraph" w:styleId="Footer">
    <w:name w:val="footer"/>
    <w:basedOn w:val="Normal"/>
    <w:link w:val="FooterChar"/>
    <w:uiPriority w:val="99"/>
    <w:unhideWhenUsed/>
    <w:rsid w:val="003D43DC"/>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3D43DC"/>
    <w:rPr>
      <w:lang w:val="en-GB"/>
    </w:rPr>
  </w:style>
  <w:style w:type="paragraph" w:customStyle="1" w:styleId="ZCom">
    <w:name w:val="Z_Com"/>
    <w:basedOn w:val="Normal"/>
    <w:next w:val="ZDGName"/>
    <w:rsid w:val="003D43DC"/>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rsid w:val="003D43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rsid w:val="003D43DC"/>
    <w:pPr>
      <w:tabs>
        <w:tab w:val="clear" w:pos="4680"/>
        <w:tab w:val="clear" w:pos="9360"/>
        <w:tab w:val="right" w:pos="9240"/>
      </w:tabs>
      <w:ind w:right="-567"/>
    </w:pPr>
    <w:rPr>
      <w:rFonts w:ascii="Verdana" w:eastAsia="Times New Roman" w:hAnsi="Verdana" w:cs="Times New Roman"/>
      <w:sz w:val="16"/>
      <w:szCs w:val="20"/>
      <w:lang w:val="it-IT"/>
    </w:rPr>
  </w:style>
  <w:style w:type="character" w:customStyle="1" w:styleId="FooterDateChar">
    <w:name w:val="Footer Date Char"/>
    <w:link w:val="FooterDate"/>
    <w:rsid w:val="003D43DC"/>
    <w:rPr>
      <w:rFonts w:ascii="Verdana" w:eastAsia="Times New Roman" w:hAnsi="Verdana" w:cs="Times New Roman"/>
      <w:sz w:val="16"/>
      <w:szCs w:val="20"/>
      <w:lang w:val="it-IT"/>
    </w:rPr>
  </w:style>
  <w:style w:type="paragraph" w:customStyle="1" w:styleId="HeaderTitle">
    <w:name w:val="Header Title"/>
    <w:basedOn w:val="Normal"/>
    <w:link w:val="HeaderTitleChar"/>
    <w:rsid w:val="003D43DC"/>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sid w:val="003D43DC"/>
    <w:rPr>
      <w:rFonts w:ascii="Verdana" w:eastAsia="Times New Roman" w:hAnsi="Verdana" w:cs="Times New Roman"/>
      <w:b/>
      <w:color w:val="808080"/>
      <w:sz w:val="18"/>
      <w:szCs w:val="18"/>
      <w:lang w:val="fr-FR"/>
    </w:rPr>
  </w:style>
  <w:style w:type="paragraph" w:customStyle="1" w:styleId="CoverDocumentSubtitle">
    <w:name w:val="Cover_Document Subtitle"/>
    <w:basedOn w:val="Normal"/>
    <w:link w:val="CoverDocumentSubtitleChar"/>
    <w:rsid w:val="003D43DC"/>
    <w:pPr>
      <w:spacing w:after="240" w:line="240" w:lineRule="auto"/>
      <w:jc w:val="center"/>
    </w:pPr>
    <w:rPr>
      <w:rFonts w:ascii="Verdana" w:eastAsia="Times New Roman" w:hAnsi="Verdana" w:cs="Times New Roman"/>
      <w:sz w:val="32"/>
      <w:szCs w:val="36"/>
      <w:lang w:val="en-GB"/>
    </w:rPr>
  </w:style>
  <w:style w:type="character" w:customStyle="1" w:styleId="CoverDocumentSubtitleChar">
    <w:name w:val="Cover_Document Subtitle Char"/>
    <w:link w:val="CoverDocumentSubtitle"/>
    <w:rsid w:val="003D43DC"/>
    <w:rPr>
      <w:rFonts w:ascii="Verdana" w:eastAsia="Times New Roman" w:hAnsi="Verdana" w:cs="Times New Roman"/>
      <w:sz w:val="32"/>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Title"/>
    <w:link w:val="Heading1Char"/>
    <w:uiPriority w:val="9"/>
    <w:qFormat/>
    <w:rsid w:val="00410426"/>
    <w:pPr>
      <w:keepNext/>
      <w:keepLines/>
      <w:spacing w:before="240" w:after="0"/>
      <w:outlineLvl w:val="0"/>
    </w:pPr>
    <w:rPr>
      <w:rFonts w:ascii="Verdana" w:hAnsi="Verdana"/>
      <w:color w:val="244061" w:themeColor="accent1" w:themeShade="80"/>
      <w:szCs w:val="32"/>
      <w:lang w:val="sv-SE"/>
    </w:rPr>
  </w:style>
  <w:style w:type="paragraph" w:styleId="Heading5">
    <w:name w:val="heading 5"/>
    <w:basedOn w:val="Normal"/>
    <w:next w:val="Normal"/>
    <w:link w:val="Heading5Char"/>
    <w:uiPriority w:val="9"/>
    <w:unhideWhenUsed/>
    <w:qFormat/>
    <w:rsid w:val="00410426"/>
    <w:pPr>
      <w:keepNext/>
      <w:keepLines/>
      <w:spacing w:before="40" w:after="0"/>
      <w:outlineLvl w:val="4"/>
    </w:pPr>
    <w:rPr>
      <w:rFonts w:asciiTheme="majorHAnsi" w:eastAsiaTheme="majorEastAsia" w:hAnsiTheme="majorHAnsi"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0F"/>
    <w:pPr>
      <w:ind w:left="720"/>
      <w:contextualSpacing/>
    </w:pPr>
  </w:style>
  <w:style w:type="character" w:styleId="Emphasis">
    <w:name w:val="Emphasis"/>
    <w:qFormat/>
    <w:rsid w:val="001E1B22"/>
    <w:rPr>
      <w:i/>
      <w:iCs/>
    </w:rPr>
  </w:style>
  <w:style w:type="character" w:styleId="Hyperlink">
    <w:name w:val="Hyperlink"/>
    <w:basedOn w:val="DefaultParagraphFont"/>
    <w:uiPriority w:val="99"/>
    <w:semiHidden/>
    <w:unhideWhenUsed/>
    <w:rsid w:val="00194C72"/>
    <w:rPr>
      <w:color w:val="0000FF"/>
      <w:u w:val="single"/>
    </w:rPr>
  </w:style>
  <w:style w:type="character" w:customStyle="1" w:styleId="Heading1Char">
    <w:name w:val="Heading 1 Char"/>
    <w:basedOn w:val="DefaultParagraphFont"/>
    <w:link w:val="Heading1"/>
    <w:uiPriority w:val="9"/>
    <w:rsid w:val="00410426"/>
    <w:rPr>
      <w:rFonts w:ascii="Verdana" w:eastAsiaTheme="majorEastAsia" w:hAnsi="Verdana" w:cstheme="majorBidi"/>
      <w:color w:val="244061" w:themeColor="accent1" w:themeShade="80"/>
      <w:spacing w:val="5"/>
      <w:kern w:val="28"/>
      <w:sz w:val="52"/>
      <w:szCs w:val="32"/>
      <w:lang w:val="sv-SE"/>
    </w:rPr>
  </w:style>
  <w:style w:type="character" w:customStyle="1" w:styleId="Heading5Char">
    <w:name w:val="Heading 5 Char"/>
    <w:basedOn w:val="DefaultParagraphFont"/>
    <w:link w:val="Heading5"/>
    <w:uiPriority w:val="9"/>
    <w:rsid w:val="00410426"/>
    <w:rPr>
      <w:rFonts w:asciiTheme="majorHAnsi" w:eastAsiaTheme="majorEastAsia" w:hAnsiTheme="majorHAnsi" w:cstheme="majorBidi"/>
      <w:color w:val="365F91" w:themeColor="accent1" w:themeShade="BF"/>
      <w:lang w:val="en-GB"/>
    </w:rPr>
  </w:style>
  <w:style w:type="paragraph" w:styleId="FootnoteText">
    <w:name w:val="footnote text"/>
    <w:basedOn w:val="Normal"/>
    <w:link w:val="FootnoteTextChar"/>
    <w:unhideWhenUsed/>
    <w:rsid w:val="00410426"/>
    <w:pPr>
      <w:spacing w:after="0" w:line="240" w:lineRule="auto"/>
    </w:pPr>
    <w:rPr>
      <w:sz w:val="20"/>
      <w:szCs w:val="20"/>
      <w:lang w:val="sv-SE"/>
    </w:rPr>
  </w:style>
  <w:style w:type="character" w:customStyle="1" w:styleId="FootnoteTextChar">
    <w:name w:val="Footnote Text Char"/>
    <w:basedOn w:val="DefaultParagraphFont"/>
    <w:link w:val="FootnoteText"/>
    <w:rsid w:val="00410426"/>
    <w:rPr>
      <w:sz w:val="20"/>
      <w:szCs w:val="20"/>
      <w:lang w:val="sv-SE"/>
    </w:rPr>
  </w:style>
  <w:style w:type="character" w:styleId="FootnoteReference">
    <w:name w:val="footnote reference"/>
    <w:basedOn w:val="DefaultParagraphFont"/>
    <w:uiPriority w:val="99"/>
    <w:unhideWhenUsed/>
    <w:rsid w:val="00410426"/>
    <w:rPr>
      <w:vertAlign w:val="superscript"/>
    </w:rPr>
  </w:style>
  <w:style w:type="paragraph" w:styleId="CommentText">
    <w:name w:val="annotation text"/>
    <w:basedOn w:val="Normal"/>
    <w:link w:val="CommentTextChar"/>
    <w:uiPriority w:val="99"/>
    <w:unhideWhenUsed/>
    <w:rsid w:val="00410426"/>
    <w:pPr>
      <w:spacing w:after="160" w:line="240" w:lineRule="auto"/>
    </w:pPr>
    <w:rPr>
      <w:sz w:val="20"/>
      <w:szCs w:val="20"/>
      <w:lang w:val="sv-SE"/>
    </w:rPr>
  </w:style>
  <w:style w:type="character" w:customStyle="1" w:styleId="CommentTextChar">
    <w:name w:val="Comment Text Char"/>
    <w:basedOn w:val="DefaultParagraphFont"/>
    <w:link w:val="CommentText"/>
    <w:uiPriority w:val="99"/>
    <w:rsid w:val="00410426"/>
    <w:rPr>
      <w:sz w:val="20"/>
      <w:szCs w:val="20"/>
      <w:lang w:val="sv-SE"/>
    </w:rPr>
  </w:style>
  <w:style w:type="paragraph" w:styleId="EndnoteText">
    <w:name w:val="endnote text"/>
    <w:basedOn w:val="Normal"/>
    <w:link w:val="EndnoteTextChar"/>
    <w:uiPriority w:val="99"/>
    <w:unhideWhenUsed/>
    <w:rsid w:val="00410426"/>
    <w:pPr>
      <w:spacing w:after="0" w:line="240" w:lineRule="auto"/>
    </w:pPr>
    <w:rPr>
      <w:sz w:val="24"/>
      <w:szCs w:val="24"/>
      <w:lang w:val="en-GB"/>
    </w:rPr>
  </w:style>
  <w:style w:type="character" w:customStyle="1" w:styleId="EndnoteTextChar">
    <w:name w:val="Endnote Text Char"/>
    <w:basedOn w:val="DefaultParagraphFont"/>
    <w:link w:val="EndnoteText"/>
    <w:uiPriority w:val="99"/>
    <w:rsid w:val="00410426"/>
    <w:rPr>
      <w:sz w:val="24"/>
      <w:szCs w:val="24"/>
      <w:lang w:val="en-GB"/>
    </w:rPr>
  </w:style>
  <w:style w:type="paragraph" w:styleId="Title">
    <w:name w:val="Title"/>
    <w:basedOn w:val="Normal"/>
    <w:next w:val="Normal"/>
    <w:link w:val="TitleChar"/>
    <w:uiPriority w:val="10"/>
    <w:qFormat/>
    <w:rsid w:val="00410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42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D43DC"/>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3D43DC"/>
    <w:rPr>
      <w:lang w:val="en-GB"/>
    </w:rPr>
  </w:style>
  <w:style w:type="paragraph" w:styleId="Footer">
    <w:name w:val="footer"/>
    <w:basedOn w:val="Normal"/>
    <w:link w:val="FooterChar"/>
    <w:uiPriority w:val="99"/>
    <w:unhideWhenUsed/>
    <w:rsid w:val="003D43DC"/>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3D43DC"/>
    <w:rPr>
      <w:lang w:val="en-GB"/>
    </w:rPr>
  </w:style>
  <w:style w:type="paragraph" w:customStyle="1" w:styleId="ZCom">
    <w:name w:val="Z_Com"/>
    <w:basedOn w:val="Normal"/>
    <w:next w:val="ZDGName"/>
    <w:rsid w:val="003D43DC"/>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rsid w:val="003D43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ooter"/>
    <w:link w:val="FooterDateChar"/>
    <w:rsid w:val="003D43DC"/>
    <w:pPr>
      <w:tabs>
        <w:tab w:val="clear" w:pos="4680"/>
        <w:tab w:val="clear" w:pos="9360"/>
        <w:tab w:val="right" w:pos="9240"/>
      </w:tabs>
      <w:ind w:right="-567"/>
    </w:pPr>
    <w:rPr>
      <w:rFonts w:ascii="Verdana" w:eastAsia="Times New Roman" w:hAnsi="Verdana" w:cs="Times New Roman"/>
      <w:sz w:val="16"/>
      <w:szCs w:val="20"/>
      <w:lang w:val="it-IT"/>
    </w:rPr>
  </w:style>
  <w:style w:type="character" w:customStyle="1" w:styleId="FooterDateChar">
    <w:name w:val="Footer Date Char"/>
    <w:link w:val="FooterDate"/>
    <w:rsid w:val="003D43DC"/>
    <w:rPr>
      <w:rFonts w:ascii="Verdana" w:eastAsia="Times New Roman" w:hAnsi="Verdana" w:cs="Times New Roman"/>
      <w:sz w:val="16"/>
      <w:szCs w:val="20"/>
      <w:lang w:val="it-IT"/>
    </w:rPr>
  </w:style>
  <w:style w:type="paragraph" w:customStyle="1" w:styleId="HeaderTitle">
    <w:name w:val="Header Title"/>
    <w:basedOn w:val="Normal"/>
    <w:link w:val="HeaderTitleChar"/>
    <w:rsid w:val="003D43DC"/>
    <w:p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rsid w:val="003D43DC"/>
    <w:rPr>
      <w:rFonts w:ascii="Verdana" w:eastAsia="Times New Roman" w:hAnsi="Verdana" w:cs="Times New Roman"/>
      <w:b/>
      <w:color w:val="808080"/>
      <w:sz w:val="18"/>
      <w:szCs w:val="18"/>
      <w:lang w:val="fr-FR"/>
    </w:rPr>
  </w:style>
  <w:style w:type="paragraph" w:customStyle="1" w:styleId="CoverDocumentSubtitle">
    <w:name w:val="Cover_Document Subtitle"/>
    <w:basedOn w:val="Normal"/>
    <w:link w:val="CoverDocumentSubtitleChar"/>
    <w:rsid w:val="003D43DC"/>
    <w:pPr>
      <w:spacing w:after="240" w:line="240" w:lineRule="auto"/>
      <w:jc w:val="center"/>
    </w:pPr>
    <w:rPr>
      <w:rFonts w:ascii="Verdana" w:eastAsia="Times New Roman" w:hAnsi="Verdana" w:cs="Times New Roman"/>
      <w:sz w:val="32"/>
      <w:szCs w:val="36"/>
      <w:lang w:val="en-GB"/>
    </w:rPr>
  </w:style>
  <w:style w:type="character" w:customStyle="1" w:styleId="CoverDocumentSubtitleChar">
    <w:name w:val="Cover_Document Subtitle Char"/>
    <w:link w:val="CoverDocumentSubtitle"/>
    <w:rsid w:val="003D43DC"/>
    <w:rPr>
      <w:rFonts w:ascii="Verdana" w:eastAsia="Times New Roman" w:hAnsi="Verdana" w:cs="Times New Roman"/>
      <w:sz w:val="32"/>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1629">
      <w:bodyDiv w:val="1"/>
      <w:marLeft w:val="0"/>
      <w:marRight w:val="0"/>
      <w:marTop w:val="0"/>
      <w:marBottom w:val="0"/>
      <w:divBdr>
        <w:top w:val="none" w:sz="0" w:space="0" w:color="auto"/>
        <w:left w:val="none" w:sz="0" w:space="0" w:color="auto"/>
        <w:bottom w:val="none" w:sz="0" w:space="0" w:color="auto"/>
        <w:right w:val="none" w:sz="0" w:space="0" w:color="auto"/>
      </w:divBdr>
    </w:div>
    <w:div w:id="1085373113">
      <w:bodyDiv w:val="1"/>
      <w:marLeft w:val="0"/>
      <w:marRight w:val="0"/>
      <w:marTop w:val="0"/>
      <w:marBottom w:val="0"/>
      <w:divBdr>
        <w:top w:val="none" w:sz="0" w:space="0" w:color="auto"/>
        <w:left w:val="none" w:sz="0" w:space="0" w:color="auto"/>
        <w:bottom w:val="none" w:sz="0" w:space="0" w:color="auto"/>
        <w:right w:val="none" w:sz="0" w:space="0" w:color="auto"/>
      </w:divBdr>
    </w:div>
    <w:div w:id="11776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efc.be/news/the-efc-launches-the-institutional-philanthropy-spectrum/" TargetMode="External"/><Relationship Id="rId2" Type="http://schemas.openxmlformats.org/officeDocument/2006/relationships/hyperlink" Target="https://ec.europa.eu/programmes/horizon2020/en/h2020-section/science-and-society" TargetMode="External"/><Relationship Id="rId1" Type="http://schemas.openxmlformats.org/officeDocument/2006/relationships/hyperlink" Target="http://www.euforistudy.eu" TargetMode="External"/><Relationship Id="rId6" Type="http://schemas.openxmlformats.org/officeDocument/2006/relationships/hyperlink" Target="http://www.givingineurope.eu" TargetMode="External"/><Relationship Id="rId5" Type="http://schemas.openxmlformats.org/officeDocument/2006/relationships/hyperlink" Target="https://publications.europa.eu/portal2012-portlet/html/downloadHandler.jsp?identifier=5b2811d1-16be-11e8-9253-01aa75ed71a1&amp;format=pdf&amp;language=en&amp;productionSystem=cellar&amp;part=" TargetMode="External"/><Relationship Id="rId4" Type="http://schemas.openxmlformats.org/officeDocument/2006/relationships/hyperlink" Target="https://ec.europa.eu/info/files/mission-oriented-research-and-innovation-european-union-m-mazzucato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9904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Schuyt, T.N.M.</dc:creator>
  <cp:lastModifiedBy>Hoolwerf, L.K.</cp:lastModifiedBy>
  <cp:revision>2</cp:revision>
  <cp:lastPrinted>2017-07-10T09:31:00Z</cp:lastPrinted>
  <dcterms:created xsi:type="dcterms:W3CDTF">2018-06-25T13:02:00Z</dcterms:created>
  <dcterms:modified xsi:type="dcterms:W3CDTF">2018-06-25T13:02:00Z</dcterms:modified>
</cp:coreProperties>
</file>