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F6E6" w14:textId="41B7BD9D" w:rsidR="00846B51" w:rsidRPr="00FE3F56" w:rsidRDefault="007F6167" w:rsidP="145D35FC">
      <w:pPr>
        <w:pStyle w:val="Heading1"/>
      </w:pPr>
      <w:r w:rsidRPr="145D35FC">
        <w:t>European Research Network on Philanthropy 11</w:t>
      </w:r>
      <w:r w:rsidRPr="00FE3F56">
        <w:rPr>
          <w:vertAlign w:val="superscript"/>
        </w:rPr>
        <w:t>th</w:t>
      </w:r>
      <w:r w:rsidRPr="00FE3F56">
        <w:t xml:space="preserve">  International Conference Zagreb, 29-30 June 2023</w:t>
      </w:r>
    </w:p>
    <w:p w14:paraId="599CFB6B" w14:textId="77777777" w:rsidR="007F6167" w:rsidRPr="00FE3F56" w:rsidRDefault="007F6167" w:rsidP="007F6167">
      <w:pPr>
        <w:spacing w:line="240" w:lineRule="auto"/>
        <w:jc w:val="center"/>
        <w:rPr>
          <w:rFonts w:cs="Times New Roman"/>
          <w:color w:val="000000" w:themeColor="text1"/>
          <w:lang w:val="en-US"/>
        </w:rPr>
      </w:pPr>
    </w:p>
    <w:p w14:paraId="094304C8" w14:textId="41C2B96B" w:rsidR="00901C90" w:rsidRPr="00FE3F56" w:rsidRDefault="00A34875" w:rsidP="00846B51">
      <w:pPr>
        <w:pStyle w:val="Title"/>
        <w:jc w:val="center"/>
        <w:rPr>
          <w:rFonts w:cs="Times New Roman"/>
          <w:color w:val="000000" w:themeColor="text1"/>
          <w:lang w:val="en-US"/>
        </w:rPr>
      </w:pPr>
      <w:r w:rsidRPr="00FE3F56">
        <w:rPr>
          <w:rFonts w:cs="Times New Roman"/>
          <w:color w:val="000000" w:themeColor="text1"/>
          <w:lang w:val="en-US"/>
        </w:rPr>
        <w:t>Blood, it runs in the family: Intergenerational transmission of blood-donor behaviour</w:t>
      </w:r>
    </w:p>
    <w:p w14:paraId="094304C9" w14:textId="77777777" w:rsidR="00901C90" w:rsidRPr="00FE3F56" w:rsidRDefault="00901C90">
      <w:pPr>
        <w:rPr>
          <w:rFonts w:cs="Times New Roman"/>
          <w:b/>
          <w:bCs/>
          <w:color w:val="000000" w:themeColor="text1"/>
          <w:lang w:val="en-GB"/>
        </w:rPr>
      </w:pPr>
    </w:p>
    <w:p w14:paraId="6C0C3A26" w14:textId="2751BF3B" w:rsidR="000C1861" w:rsidRPr="00FE3F56" w:rsidRDefault="000C1861" w:rsidP="000C1861">
      <w:pPr>
        <w:pStyle w:val="Subtitle"/>
        <w:spacing w:line="240" w:lineRule="auto"/>
        <w:jc w:val="center"/>
        <w:rPr>
          <w:rFonts w:eastAsia="Times New Roman" w:cs="Times New Roman"/>
          <w:color w:val="000000" w:themeColor="text1"/>
          <w:lang w:val="en-US"/>
        </w:rPr>
      </w:pPr>
      <w:r w:rsidRPr="00FE3F56">
        <w:rPr>
          <w:rFonts w:eastAsia="Times New Roman" w:cs="Times New Roman"/>
          <w:color w:val="000000" w:themeColor="text1"/>
          <w:lang w:val="en-US"/>
        </w:rPr>
        <w:t>Alexandra Ciau</w:t>
      </w:r>
      <w:r w:rsidR="006904B4">
        <w:rPr>
          <w:rFonts w:eastAsia="Times New Roman" w:cs="Times New Roman"/>
          <w:color w:val="000000" w:themeColor="text1"/>
          <w:lang w:val="en-US"/>
        </w:rPr>
        <w:t>ș</w:t>
      </w:r>
      <w:r w:rsidRPr="00FE3F56">
        <w:rPr>
          <w:rFonts w:eastAsia="Times New Roman" w:cs="Times New Roman"/>
          <w:color w:val="000000" w:themeColor="text1"/>
          <w:lang w:val="en-US"/>
        </w:rPr>
        <w:t xml:space="preserve">escu </w:t>
      </w:r>
      <w:r w:rsidRPr="00FE3F56">
        <w:rPr>
          <w:rFonts w:eastAsia="Times New Roman" w:cs="Times New Roman"/>
          <w:color w:val="000000" w:themeColor="text1"/>
          <w:vertAlign w:val="superscript"/>
          <w:lang w:val="en-US"/>
        </w:rPr>
        <w:t>1,2</w:t>
      </w:r>
      <w:r w:rsidRPr="00FE3F56">
        <w:rPr>
          <w:rFonts w:eastAsia="Times New Roman" w:cs="Times New Roman"/>
          <w:color w:val="000000" w:themeColor="text1"/>
          <w:lang w:val="en-US"/>
        </w:rPr>
        <w:t>, Arjen de Wit</w:t>
      </w:r>
      <w:r w:rsidRPr="00FE3F56">
        <w:rPr>
          <w:rFonts w:eastAsia="Times New Roman" w:cs="Times New Roman"/>
          <w:color w:val="000000" w:themeColor="text1"/>
          <w:vertAlign w:val="superscript"/>
          <w:lang w:val="en-US"/>
        </w:rPr>
        <w:t>1</w:t>
      </w:r>
      <w:r w:rsidRPr="00FE3F56">
        <w:rPr>
          <w:rFonts w:eastAsia="Times New Roman" w:cs="Times New Roman"/>
          <w:color w:val="000000" w:themeColor="text1"/>
          <w:lang w:val="en-US"/>
        </w:rPr>
        <w:t>,Rene Bekkers</w:t>
      </w:r>
      <w:r w:rsidRPr="00FE3F56">
        <w:rPr>
          <w:rFonts w:eastAsia="Times New Roman" w:cs="Times New Roman"/>
          <w:color w:val="000000" w:themeColor="text1"/>
          <w:vertAlign w:val="superscript"/>
          <w:lang w:val="en-US"/>
        </w:rPr>
        <w:t>1</w:t>
      </w:r>
      <w:r w:rsidRPr="00FE3F56">
        <w:rPr>
          <w:rFonts w:eastAsia="Times New Roman" w:cs="Times New Roman"/>
          <w:color w:val="000000" w:themeColor="text1"/>
          <w:lang w:val="en-US"/>
        </w:rPr>
        <w:t xml:space="preserve"> &amp; Eva-Maria Merz</w:t>
      </w:r>
      <w:r w:rsidRPr="00FE3F56">
        <w:rPr>
          <w:rFonts w:eastAsia="Times New Roman" w:cs="Times New Roman"/>
          <w:color w:val="000000" w:themeColor="text1"/>
          <w:vertAlign w:val="superscript"/>
          <w:lang w:val="en-US"/>
        </w:rPr>
        <w:t>1,2</w:t>
      </w:r>
    </w:p>
    <w:p w14:paraId="2C1FBF37" w14:textId="77777777" w:rsidR="000C1861" w:rsidRPr="00FE3F56" w:rsidRDefault="000C1861" w:rsidP="000C1861">
      <w:pPr>
        <w:pStyle w:val="Subtitle"/>
        <w:spacing w:line="240" w:lineRule="auto"/>
        <w:jc w:val="center"/>
        <w:rPr>
          <w:rFonts w:eastAsia="Times New Roman" w:cs="Times New Roman"/>
          <w:color w:val="000000" w:themeColor="text1"/>
          <w:sz w:val="16"/>
          <w:szCs w:val="16"/>
          <w:lang w:val="en-US"/>
        </w:rPr>
      </w:pPr>
      <w:r w:rsidRPr="00FE3F56">
        <w:rPr>
          <w:rFonts w:eastAsia="Times New Roman" w:cs="Times New Roman"/>
          <w:color w:val="000000" w:themeColor="text1"/>
          <w:sz w:val="16"/>
          <w:szCs w:val="16"/>
          <w:lang w:val="en-US"/>
        </w:rPr>
        <w:t>(1) Vrije Universiteit Amsterdam, Faculty of Social Sciences, Sociology, Center for Philanthropic Studies</w:t>
      </w:r>
    </w:p>
    <w:p w14:paraId="58F75AC0" w14:textId="7AA9FF81" w:rsidR="000C1861" w:rsidRPr="00FE3F56" w:rsidRDefault="000C1861" w:rsidP="000C1861">
      <w:pPr>
        <w:pStyle w:val="Subtitle"/>
        <w:spacing w:line="240" w:lineRule="auto"/>
        <w:jc w:val="center"/>
        <w:rPr>
          <w:rFonts w:eastAsia="Times New Roman" w:cs="Times New Roman"/>
          <w:color w:val="000000" w:themeColor="text1"/>
          <w:sz w:val="16"/>
          <w:szCs w:val="16"/>
          <w:lang w:val="en-US"/>
        </w:rPr>
      </w:pPr>
      <w:r w:rsidRPr="00FE3F56">
        <w:rPr>
          <w:rFonts w:eastAsia="Times New Roman" w:cs="Times New Roman"/>
          <w:color w:val="000000" w:themeColor="text1"/>
          <w:sz w:val="16"/>
          <w:szCs w:val="16"/>
          <w:lang w:val="en-US"/>
        </w:rPr>
        <w:t>(2) Sanquin Research, Department of Donor Medicine Research, Amsterdam, The Netherlands</w:t>
      </w:r>
    </w:p>
    <w:p w14:paraId="48E9D4F0" w14:textId="78E7B4B3" w:rsidR="007F6167" w:rsidRPr="00FE3F56" w:rsidRDefault="007F6167">
      <w:pPr>
        <w:rPr>
          <w:rFonts w:cs="Times New Roman"/>
          <w:color w:val="000000" w:themeColor="text1"/>
          <w:lang w:val="ro-RO"/>
        </w:rPr>
      </w:pPr>
    </w:p>
    <w:p w14:paraId="094304CA" w14:textId="77777777" w:rsidR="00901C90" w:rsidRPr="00FE3F56" w:rsidRDefault="00A34875">
      <w:pPr>
        <w:rPr>
          <w:rFonts w:cs="Times New Roman"/>
          <w:b/>
          <w:bCs/>
          <w:color w:val="000000" w:themeColor="text1"/>
          <w:lang w:val="en-GB"/>
        </w:rPr>
      </w:pPr>
      <w:r w:rsidRPr="00FE3F56">
        <w:rPr>
          <w:rFonts w:cs="Times New Roman"/>
          <w:b/>
          <w:bCs/>
          <w:color w:val="000000" w:themeColor="text1"/>
          <w:lang w:val="en-GB"/>
        </w:rPr>
        <w:t>Abstract</w:t>
      </w:r>
    </w:p>
    <w:p w14:paraId="094304CB" w14:textId="35BA5C35" w:rsidR="00901C90" w:rsidRPr="00FE3F56" w:rsidRDefault="00A34875">
      <w:pPr>
        <w:rPr>
          <w:rFonts w:cs="Times New Roman"/>
          <w:color w:val="000000" w:themeColor="text1"/>
          <w:lang w:val="en-GB"/>
        </w:rPr>
      </w:pPr>
      <w:r w:rsidRPr="00FE3F56">
        <w:rPr>
          <w:rFonts w:cs="Times New Roman"/>
          <w:color w:val="000000" w:themeColor="text1"/>
          <w:lang w:val="en-GB"/>
        </w:rPr>
        <w:t>Parents may</w:t>
      </w:r>
      <w:r w:rsidR="00333DD6" w:rsidRPr="00FE3F56">
        <w:rPr>
          <w:rFonts w:cs="Times New Roman"/>
          <w:color w:val="000000" w:themeColor="text1"/>
          <w:lang w:val="en-GB"/>
        </w:rPr>
        <w:t>, directly and indirectly,</w:t>
      </w:r>
      <w:r w:rsidRPr="00FE3F56">
        <w:rPr>
          <w:rFonts w:cs="Times New Roman"/>
          <w:color w:val="000000" w:themeColor="text1"/>
          <w:lang w:val="en-GB"/>
        </w:rPr>
        <w:t xml:space="preserve"> influence their children in developing prosocial behaviour. However, it is uncertain </w:t>
      </w:r>
      <w:r w:rsidRPr="00FE3F56">
        <w:rPr>
          <w:rFonts w:cs="Times New Roman"/>
          <w:i/>
          <w:iCs/>
          <w:color w:val="000000" w:themeColor="text1"/>
          <w:lang w:val="en-GB"/>
        </w:rPr>
        <w:t>to what extent</w:t>
      </w:r>
      <w:r w:rsidRPr="00FE3F56">
        <w:rPr>
          <w:rFonts w:cs="Times New Roman"/>
          <w:color w:val="000000" w:themeColor="text1"/>
          <w:lang w:val="en-GB"/>
        </w:rPr>
        <w:t xml:space="preserve"> and </w:t>
      </w:r>
      <w:r w:rsidRPr="00FE3F56">
        <w:rPr>
          <w:rFonts w:cs="Times New Roman"/>
          <w:i/>
          <w:iCs/>
          <w:color w:val="000000" w:themeColor="text1"/>
          <w:lang w:val="en-GB"/>
        </w:rPr>
        <w:t>how</w:t>
      </w:r>
      <w:r w:rsidRPr="00FE3F56">
        <w:rPr>
          <w:rFonts w:cs="Times New Roman"/>
          <w:color w:val="000000" w:themeColor="text1"/>
          <w:lang w:val="en-GB"/>
        </w:rPr>
        <w:t xml:space="preserve"> blood donor behaviour is transmitted from one generation to the next. We used </w:t>
      </w:r>
      <w:r w:rsidR="001E612C" w:rsidRPr="00FE3F56">
        <w:rPr>
          <w:rFonts w:cs="Times New Roman"/>
          <w:color w:val="000000" w:themeColor="text1"/>
          <w:lang w:val="en-GB"/>
        </w:rPr>
        <w:t xml:space="preserve">linked </w:t>
      </w:r>
      <w:r w:rsidRPr="00FE3F56">
        <w:rPr>
          <w:rFonts w:cs="Times New Roman"/>
          <w:color w:val="000000" w:themeColor="text1"/>
          <w:lang w:val="en-GB"/>
        </w:rPr>
        <w:t>data from the first wave of the Donor InSight Survey and the Dutch blood donor registry (n=23</w:t>
      </w:r>
      <w:r w:rsidR="00826CAA" w:rsidRPr="00FE3F56">
        <w:rPr>
          <w:rFonts w:cs="Times New Roman"/>
          <w:color w:val="000000" w:themeColor="text1"/>
          <w:lang w:val="en-GB"/>
        </w:rPr>
        <w:t>,</w:t>
      </w:r>
      <w:r w:rsidRPr="00FE3F56">
        <w:rPr>
          <w:rFonts w:cs="Times New Roman"/>
          <w:color w:val="000000" w:themeColor="text1"/>
          <w:lang w:val="en-GB"/>
        </w:rPr>
        <w:t>037) to examine intergenerational transmission of blood-donor behaviour among blood donors in the Netherlands.</w:t>
      </w:r>
      <w:r w:rsidR="00D94C90" w:rsidRPr="00FE3F56">
        <w:rPr>
          <w:rFonts w:cs="Times New Roman"/>
          <w:color w:val="000000" w:themeColor="text1"/>
          <w:lang w:val="en-GB"/>
        </w:rPr>
        <w:t xml:space="preserve"> We found that 38% of the Dutch donor population is part of a blood donor family (i.e., at least two generations of donors in the family).</w:t>
      </w:r>
      <w:r w:rsidRPr="00FE3F56">
        <w:rPr>
          <w:rFonts w:cs="Times New Roman"/>
          <w:color w:val="000000" w:themeColor="text1"/>
          <w:lang w:val="en-GB"/>
        </w:rPr>
        <w:t xml:space="preserve"> </w:t>
      </w:r>
      <w:r w:rsidR="00D94C90" w:rsidRPr="00FE3F56">
        <w:rPr>
          <w:rFonts w:cs="Times New Roman"/>
          <w:color w:val="000000" w:themeColor="text1"/>
          <w:lang w:val="en-GB"/>
        </w:rPr>
        <w:t>Additionally, o</w:t>
      </w:r>
      <w:r w:rsidRPr="00FE3F56">
        <w:rPr>
          <w:rFonts w:cs="Times New Roman"/>
          <w:color w:val="000000" w:themeColor="text1"/>
          <w:lang w:val="en-GB"/>
        </w:rPr>
        <w:t>ur preregistered analyses revealed that three mechanisms are relevant for the transmission of donor behaviour from the parent to the child generation, namely parental blood-donor identity, the number of donations parents made, and the developmental period of the child during which parents donated. The outcomes of our study</w:t>
      </w:r>
      <w:r w:rsidR="00B230C5" w:rsidRPr="00FE3F56">
        <w:rPr>
          <w:rFonts w:cs="Times New Roman"/>
          <w:color w:val="000000" w:themeColor="text1"/>
          <w:lang w:val="en-GB"/>
        </w:rPr>
        <w:t xml:space="preserve"> </w:t>
      </w:r>
      <w:r w:rsidRPr="00FE3F56">
        <w:rPr>
          <w:rFonts w:cs="Times New Roman"/>
          <w:color w:val="000000" w:themeColor="text1"/>
          <w:lang w:val="en-GB"/>
        </w:rPr>
        <w:t xml:space="preserve">may be used by blood banks in designing their donor recruitment strategies towards families. </w:t>
      </w:r>
      <w:r w:rsidRPr="00FE3F56">
        <w:rPr>
          <w:rFonts w:cs="Times New Roman"/>
          <w:color w:val="000000" w:themeColor="text1"/>
          <w:lang w:val="en-US"/>
        </w:rPr>
        <w:br w:type="page"/>
      </w:r>
    </w:p>
    <w:p w14:paraId="094304CC" w14:textId="3D71B979" w:rsidR="00901C90" w:rsidRPr="003A12F6" w:rsidRDefault="003A12F6" w:rsidP="00C44E29">
      <w:pPr>
        <w:pStyle w:val="Heading1"/>
        <w:jc w:val="both"/>
        <w:rPr>
          <w:b/>
          <w:bCs/>
          <w:szCs w:val="24"/>
          <w:lang w:val="en-GB"/>
        </w:rPr>
      </w:pPr>
      <w:r>
        <w:rPr>
          <w:b/>
          <w:bCs/>
          <w:szCs w:val="24"/>
          <w:lang w:val="en-GB"/>
        </w:rPr>
        <w:lastRenderedPageBreak/>
        <w:t>1.</w:t>
      </w:r>
      <w:r w:rsidR="00C44E29">
        <w:rPr>
          <w:b/>
          <w:bCs/>
          <w:szCs w:val="24"/>
          <w:lang w:val="en-GB"/>
        </w:rPr>
        <w:t xml:space="preserve"> </w:t>
      </w:r>
      <w:r w:rsidR="00A34875" w:rsidRPr="003A12F6">
        <w:rPr>
          <w:b/>
          <w:bCs/>
          <w:szCs w:val="24"/>
          <w:lang w:val="en-GB"/>
        </w:rPr>
        <w:t>Background</w:t>
      </w:r>
    </w:p>
    <w:p w14:paraId="094304CD" w14:textId="2751AEC4" w:rsidR="00901C90" w:rsidRPr="00FE3F56" w:rsidRDefault="004A1003">
      <w:pPr>
        <w:rPr>
          <w:rFonts w:cs="Times New Roman"/>
          <w:color w:val="000000" w:themeColor="text1"/>
          <w:lang w:val="en-GB"/>
        </w:rPr>
      </w:pPr>
      <w:r w:rsidRPr="00FE3F56">
        <w:rPr>
          <w:rFonts w:cs="Times New Roman"/>
          <w:color w:val="000000" w:themeColor="text1"/>
          <w:lang w:val="en-GB"/>
        </w:rPr>
        <w:t>In many countries, demographic changes are challenging the fragile balance between blood supply and demand</w:t>
      </w:r>
      <w:r w:rsidR="00BE56BC" w:rsidRPr="00FE3F56">
        <w:rPr>
          <w:rFonts w:cs="Times New Roman"/>
          <w:color w:val="000000" w:themeColor="text1"/>
          <w:lang w:val="en-GB"/>
        </w:rPr>
        <w:t xml:space="preserve">. </w:t>
      </w:r>
      <w:r w:rsidR="00A34875" w:rsidRPr="00FE3F56">
        <w:rPr>
          <w:rFonts w:cs="Times New Roman"/>
          <w:color w:val="000000" w:themeColor="text1"/>
          <w:lang w:val="en-GB"/>
        </w:rPr>
        <w:t>Donor blood is an essential resource in healthcare as it is used for a large palette of medical treatments: transplant surgery, massive trauma intervention, severe anaemia etc. (World Health Organization, 2017). While previous research has extensively explored different aspects of blood donation such as motivations to donate, barriers to donation, and blood-donor behaviour (see the systematic review by Piersma et al., 2017), studies about how this behaviour is learned are lacking. Developing this area is relevant given the recent global demographic trends in longevity which directly impact the demand for blood donation. Older individuals are more prone to chronic diseases and age-related conditions that require blood transfusions compared to younger individuals (Ali, Auvinen &amp;</w:t>
      </w:r>
      <w:r w:rsidR="001E612C" w:rsidRPr="00FE3F56">
        <w:rPr>
          <w:rFonts w:cs="Times New Roman"/>
          <w:color w:val="000000" w:themeColor="text1"/>
          <w:lang w:val="en-GB"/>
        </w:rPr>
        <w:t xml:space="preserve"> </w:t>
      </w:r>
      <w:r w:rsidR="00A34875" w:rsidRPr="00FE3F56">
        <w:rPr>
          <w:rFonts w:cs="Times New Roman"/>
          <w:color w:val="000000" w:themeColor="text1"/>
          <w:lang w:val="en-GB"/>
        </w:rPr>
        <w:t xml:space="preserve">Rautonen, 2010; Greinacher et al., 2016). Additionally, an ageing population affects the availability of blood, as the overall ageing process results in a reduced pool of eligible donors (Greinacher et al., 2016). Thus, studying how people learn </w:t>
      </w:r>
      <w:r w:rsidR="00BE56BC" w:rsidRPr="00FE3F56">
        <w:rPr>
          <w:rFonts w:cs="Times New Roman"/>
          <w:color w:val="000000" w:themeColor="text1"/>
          <w:lang w:val="en-GB"/>
        </w:rPr>
        <w:t>about blood donation</w:t>
      </w:r>
      <w:r w:rsidR="00A34875" w:rsidRPr="00FE3F56">
        <w:rPr>
          <w:rFonts w:cs="Times New Roman"/>
          <w:color w:val="000000" w:themeColor="text1"/>
          <w:lang w:val="en-GB"/>
        </w:rPr>
        <w:t xml:space="preserve"> is a crucial step in developing a long-term strategy for ensuring a stable and sufficient blood donor pool. </w:t>
      </w:r>
    </w:p>
    <w:p w14:paraId="35CC95D6" w14:textId="442C5F95" w:rsidR="009A0E49" w:rsidRPr="00FE3F56" w:rsidRDefault="00A34875">
      <w:pPr>
        <w:rPr>
          <w:rFonts w:cs="Times New Roman"/>
          <w:color w:val="000000" w:themeColor="text1"/>
          <w:lang w:val="en-GB"/>
        </w:rPr>
      </w:pPr>
      <w:r w:rsidRPr="00FE3F56">
        <w:rPr>
          <w:rFonts w:cs="Times New Roman"/>
          <w:color w:val="000000" w:themeColor="text1"/>
          <w:lang w:val="en-GB"/>
        </w:rPr>
        <w:t xml:space="preserve">One way in which individuals might learn about blood donation is from their parents. </w:t>
      </w:r>
      <w:r w:rsidRPr="00FE3F56">
        <w:rPr>
          <w:rFonts w:cs="Times New Roman"/>
          <w:color w:val="000000" w:themeColor="text1"/>
          <w:szCs w:val="24"/>
          <w:lang w:val="en-GB"/>
        </w:rPr>
        <w:t>Family is the earliest and most persistent factor that shapes the development of a person (Pratt &amp; Hardy, 2015). Intergenerational transmission refers to the process in which certain behaviours and characteristics of the parents are passed down to their children (Branje et al.,</w:t>
      </w:r>
      <w:r w:rsidR="001E612C" w:rsidRPr="00FE3F56">
        <w:rPr>
          <w:rFonts w:cs="Times New Roman"/>
          <w:color w:val="000000" w:themeColor="text1"/>
          <w:szCs w:val="24"/>
          <w:lang w:val="en-GB"/>
        </w:rPr>
        <w:t xml:space="preserve"> </w:t>
      </w:r>
      <w:r w:rsidRPr="00FE3F56">
        <w:rPr>
          <w:rFonts w:cs="Times New Roman"/>
          <w:color w:val="000000" w:themeColor="text1"/>
          <w:szCs w:val="24"/>
          <w:lang w:val="en-GB"/>
        </w:rPr>
        <w:t xml:space="preserve">2020). </w:t>
      </w:r>
      <w:r w:rsidRPr="00FE3F56">
        <w:rPr>
          <w:rFonts w:cs="Times New Roman"/>
          <w:color w:val="000000" w:themeColor="text1"/>
          <w:lang w:val="en-GB"/>
        </w:rPr>
        <w:t>Previous work exploring the link between parents and children’s prosocial behaviour revealed significant positive relations between a child's current and their parent's past volunteering activity (Bekkers, 2007; Clary &amp; Miller, 1986; Mustillo, Wilson &amp; Lynch,</w:t>
      </w:r>
      <w:r w:rsidR="001E612C" w:rsidRPr="00FE3F56">
        <w:rPr>
          <w:rFonts w:cs="Times New Roman"/>
          <w:color w:val="000000" w:themeColor="text1"/>
          <w:lang w:val="en-GB"/>
        </w:rPr>
        <w:t xml:space="preserve"> </w:t>
      </w:r>
      <w:r w:rsidRPr="00FE3F56">
        <w:rPr>
          <w:rFonts w:cs="Times New Roman"/>
          <w:color w:val="000000" w:themeColor="text1"/>
          <w:lang w:val="en-GB"/>
        </w:rPr>
        <w:t xml:space="preserve">2004). This phenomenon has also been speculated in relation to blood donation. Some authors consider the existence of blood donors in the family an important element in influencing other members to become blood donors too (see Lee, Piliavin &amp; Call. 1999; McCombie, 1991; Piliavin &amp; Callero, </w:t>
      </w:r>
      <w:r w:rsidRPr="00FE3F56">
        <w:rPr>
          <w:rFonts w:cs="Times New Roman"/>
          <w:color w:val="000000" w:themeColor="text1"/>
          <w:lang w:val="en-GB"/>
        </w:rPr>
        <w:lastRenderedPageBreak/>
        <w:t>1991; Quéniart, 2013). For example, McCombie (1991)</w:t>
      </w:r>
      <w:r w:rsidRPr="00FE3F56">
        <w:rPr>
          <w:rFonts w:cs="Times New Roman"/>
          <w:b/>
          <w:bCs/>
          <w:color w:val="000000" w:themeColor="text1"/>
          <w:lang w:val="en-GB"/>
        </w:rPr>
        <w:t xml:space="preserve"> </w:t>
      </w:r>
      <w:r w:rsidRPr="00FE3F56">
        <w:rPr>
          <w:rFonts w:cs="Times New Roman"/>
          <w:color w:val="000000" w:themeColor="text1"/>
          <w:lang w:val="en-GB"/>
        </w:rPr>
        <w:t>has uncovered that donors compared to non-donors are more likely to report having family or friends who donate blood, with family being more influential than friends. To our best knowledge, there is only one quantitative study exploring the mechanisms of intergenerational transmission of blood-donor behaviour: a nationwide study in Denmark by Pedersen et.al (2015) with monozygotic and dizygotic twins that decomposes the covariance in blood-donor behaviour into variance resulting from additive genetic factors (53</w:t>
      </w:r>
      <w:r w:rsidR="001E612C" w:rsidRPr="00FE3F56">
        <w:rPr>
          <w:rFonts w:cs="Times New Roman"/>
          <w:color w:val="000000" w:themeColor="text1"/>
          <w:lang w:val="en-GB"/>
        </w:rPr>
        <w:t>%</w:t>
      </w:r>
      <w:r w:rsidRPr="00FE3F56">
        <w:rPr>
          <w:rFonts w:cs="Times New Roman"/>
          <w:color w:val="000000" w:themeColor="text1"/>
          <w:lang w:val="en-GB"/>
        </w:rPr>
        <w:t xml:space="preserve"> of the variance) and shared environment effects (28</w:t>
      </w:r>
      <w:r w:rsidR="001E612C" w:rsidRPr="00FE3F56">
        <w:rPr>
          <w:rFonts w:cs="Times New Roman"/>
          <w:color w:val="000000" w:themeColor="text1"/>
          <w:lang w:val="en-GB"/>
        </w:rPr>
        <w:t>%</w:t>
      </w:r>
      <w:r w:rsidRPr="00FE3F56">
        <w:rPr>
          <w:rFonts w:cs="Times New Roman"/>
          <w:color w:val="000000" w:themeColor="text1"/>
          <w:lang w:val="en-GB"/>
        </w:rPr>
        <w:t xml:space="preserve"> of the variance). Yet, this study does not explore possible social and psychological mechanisms behind the transmission. There have been indeed qualitative studies that explore the social and psychological mechanisms behind this transmission such as the one conducted by Quéniart (2013)</w:t>
      </w:r>
      <w:r w:rsidR="009A0E49" w:rsidRPr="00FE3F56">
        <w:rPr>
          <w:rFonts w:cs="Times New Roman"/>
          <w:color w:val="000000" w:themeColor="text1"/>
          <w:lang w:val="en-GB"/>
        </w:rPr>
        <w:t>. Quéniart (2013) distinguished between two categories of donor families: those in which blood donation is considered a family tradition, and those in which it is regarded as an individual choice. Nevertheless, the nature of the methodology employed in these qualitative studies constrains the generalizability of their findings</w:t>
      </w:r>
      <w:r w:rsidR="00AF01FE" w:rsidRPr="00FE3F56">
        <w:rPr>
          <w:rFonts w:cs="Times New Roman"/>
          <w:color w:val="000000" w:themeColor="text1"/>
          <w:lang w:val="en-GB"/>
        </w:rPr>
        <w:t>.</w:t>
      </w:r>
    </w:p>
    <w:p w14:paraId="094304D0" w14:textId="70A2D70F" w:rsidR="00901C90" w:rsidRPr="00FE3F56" w:rsidRDefault="00A34875">
      <w:pPr>
        <w:rPr>
          <w:rFonts w:cs="Times New Roman"/>
          <w:color w:val="000000" w:themeColor="text1"/>
          <w:lang w:val="en-GB"/>
        </w:rPr>
      </w:pPr>
      <w:r w:rsidRPr="00FE3F56">
        <w:rPr>
          <w:rFonts w:cs="Times New Roman"/>
          <w:color w:val="000000" w:themeColor="text1"/>
          <w:lang w:val="en-GB"/>
        </w:rPr>
        <w:t xml:space="preserve">The present paper contributes to the knowledge about the intergenerational transmission of blood-donor behaviour and the social and psychological mechanisms behind in two ways. Firstly, we determine the proportion of Dutch blood donors that come from a blood donor family, i.e., have parents and/or children that donate, too. Secondly, we will use a quantitative approach to analyse three mechanisms through which intergenerational transmission might occur derived from theories and research in social and developmental psychology. Parents may, directly and indirectly, influence their children in becoming donors. For example, learning to donate blood may be due to the direct influence of the parents promoting values, norms, and behaviours associated with this type of prosocial activity. Moreover, parents can influence their offspring indirectly too; the child learns through observation and imitation (social learning theory-see Bandura et al., 1961; Bandura, 1977). Finally, in certain periods such as childhood, </w:t>
      </w:r>
      <w:r w:rsidRPr="00FE3F56">
        <w:rPr>
          <w:rFonts w:cs="Times New Roman"/>
          <w:color w:val="000000" w:themeColor="text1"/>
          <w:lang w:val="en-GB"/>
        </w:rPr>
        <w:lastRenderedPageBreak/>
        <w:t>adolescence and emerging adulthood, individuals could be more prone to be influenced by their parents than later in life. For our analysis, we will use data from the Donor InSight survey (Timmer et al.,</w:t>
      </w:r>
      <w:r w:rsidR="001E612C" w:rsidRPr="00FE3F56">
        <w:rPr>
          <w:rFonts w:cs="Times New Roman"/>
          <w:color w:val="000000" w:themeColor="text1"/>
          <w:lang w:val="en-GB"/>
        </w:rPr>
        <w:t xml:space="preserve"> </w:t>
      </w:r>
      <w:r w:rsidRPr="00FE3F56">
        <w:rPr>
          <w:rFonts w:cs="Times New Roman"/>
          <w:color w:val="000000" w:themeColor="text1"/>
          <w:lang w:val="en-GB"/>
        </w:rPr>
        <w:t xml:space="preserve">2019) and the Dutch blood donor registry. We expect that the results will support blood banks in designing their recruitment strategies. </w:t>
      </w:r>
    </w:p>
    <w:p w14:paraId="094304D1" w14:textId="1B4BD6B9" w:rsidR="00901C90" w:rsidRPr="003A12F6" w:rsidRDefault="00C44E29" w:rsidP="00C44E29">
      <w:pPr>
        <w:pStyle w:val="Heading2"/>
        <w:numPr>
          <w:ilvl w:val="1"/>
          <w:numId w:val="1"/>
        </w:numPr>
        <w:rPr>
          <w:rFonts w:cs="Times New Roman"/>
          <w:b w:val="0"/>
          <w:bCs/>
          <w:i/>
          <w:iCs/>
          <w:lang w:val="en-GB"/>
        </w:rPr>
      </w:pPr>
      <w:r>
        <w:rPr>
          <w:rFonts w:cs="Times New Roman"/>
          <w:b w:val="0"/>
          <w:bCs/>
          <w:i/>
          <w:iCs/>
          <w:lang w:val="en-GB"/>
        </w:rPr>
        <w:t xml:space="preserve"> </w:t>
      </w:r>
      <w:r w:rsidR="00A34875" w:rsidRPr="003A12F6">
        <w:rPr>
          <w:rFonts w:cs="Times New Roman"/>
          <w:b w:val="0"/>
          <w:bCs/>
          <w:i/>
          <w:iCs/>
          <w:lang w:val="en-GB"/>
        </w:rPr>
        <w:t>Preaching blood donation</w:t>
      </w:r>
    </w:p>
    <w:p w14:paraId="094304D2" w14:textId="1C292C46" w:rsidR="00901C90" w:rsidRPr="00FE3F56" w:rsidRDefault="00A34875">
      <w:pPr>
        <w:rPr>
          <w:rFonts w:cs="Times New Roman"/>
          <w:color w:val="000000" w:themeColor="text1"/>
          <w:lang w:val="en-GB"/>
        </w:rPr>
      </w:pPr>
      <w:r w:rsidRPr="00FE3F56">
        <w:rPr>
          <w:rFonts w:cs="Times New Roman"/>
          <w:color w:val="000000" w:themeColor="text1"/>
          <w:lang w:val="en-GB"/>
        </w:rPr>
        <w:t>Preaching is one of the main socializing practices used by parents in relation to their children (Eisenberg, Fabes &amp; Spinrad, 2006).</w:t>
      </w:r>
      <w:r w:rsidRPr="00FE3F56">
        <w:rPr>
          <w:rFonts w:cs="Times New Roman"/>
          <w:b/>
          <w:bCs/>
          <w:color w:val="000000" w:themeColor="text1"/>
          <w:lang w:val="en-GB"/>
        </w:rPr>
        <w:t xml:space="preserve"> </w:t>
      </w:r>
      <w:r w:rsidRPr="00FE3F56">
        <w:rPr>
          <w:rFonts w:cs="Times New Roman"/>
          <w:color w:val="000000" w:themeColor="text1"/>
          <w:lang w:val="en-GB"/>
        </w:rPr>
        <w:t>It consists of the parent verbally presenting to the child what should be done, for example, “ You should help others”, without the parent assisting the child in performing the behaviour (</w:t>
      </w:r>
      <w:r w:rsidRPr="00FE3F56">
        <w:rPr>
          <w:rFonts w:eastAsia="Times New Roman" w:cs="Times New Roman"/>
          <w:color w:val="000000" w:themeColor="text1"/>
          <w:szCs w:val="24"/>
          <w:lang w:val="en-GB"/>
        </w:rPr>
        <w:t>Eisenberg-Berg &amp; Geisheker, 1979</w:t>
      </w:r>
      <w:r w:rsidRPr="00FE3F56">
        <w:rPr>
          <w:rFonts w:cs="Times New Roman"/>
          <w:color w:val="000000" w:themeColor="text1"/>
          <w:lang w:val="en-GB"/>
        </w:rPr>
        <w:t>). What is being preached to the child is influenced by the parent’s life experience, values and identity (Parke &amp; Buriel, 2006).</w:t>
      </w:r>
      <w:r w:rsidRPr="00FE3F56">
        <w:rPr>
          <w:rFonts w:cs="Times New Roman"/>
          <w:b/>
          <w:bCs/>
          <w:color w:val="000000" w:themeColor="text1"/>
          <w:lang w:val="en-GB"/>
        </w:rPr>
        <w:t xml:space="preserve"> </w:t>
      </w:r>
      <w:r w:rsidRPr="00FE3F56">
        <w:rPr>
          <w:rFonts w:cs="Times New Roman"/>
          <w:color w:val="000000" w:themeColor="text1"/>
          <w:lang w:val="en-GB"/>
        </w:rPr>
        <w:t>Previous research by Rushton (1975) has shown that this practice is effective in influencing the child’s prosocial behaviour in the long term through internalization. Internalization refers to the process through which children incorporate the values, attitudes, behaviours and beliefs conveyed by their parents into their own cognitive and behavioural repertoires (Grusec &amp; Goodnow, 1994). Thus we argue that the stronger the parent’s identity as a blood donor – i.e., when being a blood donor is seen as an important part of who you are – the more likely that they will incorporate the subject of blood donation in the discussions with their children, which in turn will influence the behaviour of their offspring in the long term, hence:</w:t>
      </w:r>
    </w:p>
    <w:p w14:paraId="094304D3" w14:textId="77777777" w:rsidR="00901C90" w:rsidRPr="00FE3F56" w:rsidRDefault="00A34875">
      <w:pPr>
        <w:ind w:left="720"/>
        <w:rPr>
          <w:rFonts w:cs="Times New Roman"/>
          <w:color w:val="000000" w:themeColor="text1"/>
          <w:lang w:val="en-GB"/>
        </w:rPr>
      </w:pPr>
      <w:r w:rsidRPr="00FE3F56">
        <w:rPr>
          <w:rFonts w:cs="Times New Roman"/>
          <w:color w:val="000000" w:themeColor="text1"/>
          <w:lang w:val="en-GB"/>
        </w:rPr>
        <w:t>H1: Children whose parents have a stronger blood-donor identity are more likely to be blood donors than children of parents with weaker blood-donor identity.</w:t>
      </w:r>
    </w:p>
    <w:p w14:paraId="094304D4" w14:textId="77777777" w:rsidR="00901C90" w:rsidRPr="00FE3F56" w:rsidRDefault="00901C90">
      <w:pPr>
        <w:rPr>
          <w:rFonts w:cs="Times New Roman"/>
          <w:b/>
          <w:bCs/>
          <w:color w:val="000000" w:themeColor="text1"/>
          <w:lang w:val="en-GB"/>
        </w:rPr>
      </w:pPr>
    </w:p>
    <w:p w14:paraId="094304D5" w14:textId="31DF0C93" w:rsidR="00901C90" w:rsidRPr="003A12F6" w:rsidRDefault="00C44E29" w:rsidP="00C44E29">
      <w:pPr>
        <w:pStyle w:val="Heading2"/>
        <w:numPr>
          <w:ilvl w:val="1"/>
          <w:numId w:val="1"/>
        </w:numPr>
        <w:rPr>
          <w:rFonts w:cs="Times New Roman"/>
          <w:b w:val="0"/>
          <w:bCs/>
          <w:i/>
          <w:iCs/>
          <w:lang w:val="en-GB"/>
        </w:rPr>
      </w:pPr>
      <w:r>
        <w:rPr>
          <w:rFonts w:cs="Times New Roman"/>
          <w:b w:val="0"/>
          <w:bCs/>
          <w:i/>
          <w:iCs/>
          <w:lang w:val="en-GB"/>
        </w:rPr>
        <w:lastRenderedPageBreak/>
        <w:t xml:space="preserve"> </w:t>
      </w:r>
      <w:r w:rsidR="00A34875" w:rsidRPr="003A12F6">
        <w:rPr>
          <w:rFonts w:cs="Times New Roman"/>
          <w:b w:val="0"/>
          <w:bCs/>
          <w:i/>
          <w:iCs/>
          <w:lang w:val="en-GB"/>
        </w:rPr>
        <w:t>Children learn through repeated exposure</w:t>
      </w:r>
    </w:p>
    <w:p w14:paraId="094304D6" w14:textId="45BED1C5" w:rsidR="00901C90" w:rsidRPr="00FE3F56" w:rsidRDefault="00A34875">
      <w:pPr>
        <w:rPr>
          <w:rFonts w:cs="Times New Roman"/>
          <w:color w:val="000000" w:themeColor="text1"/>
          <w:lang w:val="en-GB"/>
        </w:rPr>
      </w:pPr>
      <w:r w:rsidRPr="00FE3F56">
        <w:rPr>
          <w:rFonts w:cs="Times New Roman"/>
          <w:color w:val="000000" w:themeColor="text1"/>
          <w:lang w:val="en-GB"/>
        </w:rPr>
        <w:t xml:space="preserve">According to the theory of social learning, one mechanism that fosters learning is </w:t>
      </w:r>
      <w:r w:rsidRPr="00FE3F56">
        <w:rPr>
          <w:rFonts w:cs="Times New Roman"/>
          <w:i/>
          <w:iCs/>
          <w:color w:val="000000" w:themeColor="text1"/>
          <w:lang w:val="en-GB"/>
        </w:rPr>
        <w:t xml:space="preserve">observation and imitation </w:t>
      </w:r>
      <w:r w:rsidRPr="00FE3F56">
        <w:rPr>
          <w:rFonts w:cs="Times New Roman"/>
          <w:color w:val="000000" w:themeColor="text1"/>
          <w:lang w:val="en-GB"/>
        </w:rPr>
        <w:t>(Bandura,</w:t>
      </w:r>
      <w:r w:rsidR="001E612C" w:rsidRPr="00FE3F56">
        <w:rPr>
          <w:rFonts w:cs="Times New Roman"/>
          <w:color w:val="000000" w:themeColor="text1"/>
          <w:lang w:val="en-GB"/>
        </w:rPr>
        <w:t xml:space="preserve"> </w:t>
      </w:r>
      <w:r w:rsidRPr="00FE3F56">
        <w:rPr>
          <w:rFonts w:cs="Times New Roman"/>
          <w:color w:val="000000" w:themeColor="text1"/>
          <w:lang w:val="en-GB"/>
        </w:rPr>
        <w:t>1977; Bandura, Ross &amp; Ross, 1961). This type of learning is mostly unintentional and occurs in informal settings (Jarvis &amp; Watts, 2012). Thus, the children could learn about blood donation when they see their parents donating blood or know that their parents are donating. The learning experience of the child can be enhanced by the fact that the modelled behaviour, blood donation, is done by a similar other, the parent. Moreover, being often exposed to this behaviour might lower the psychological distance, meaning the perceived separation between the child and the topic of blood donation. This lowered perceived separation might be prompting the child to support the cause later in life (see Baltatescu, 2014). For example, in her conclusions, Quéniart (2013) suggests that through repeated exposure to their parents’ blood donation behaviour, such as when the child comes to a blood drive with their parent, the children are likely to develop a familiarity towards the subject that later may prompt them to become blood donors themselves.</w:t>
      </w:r>
    </w:p>
    <w:p w14:paraId="094304D7" w14:textId="77777777" w:rsidR="00901C90" w:rsidRPr="00FE3F56" w:rsidRDefault="00A34875">
      <w:pPr>
        <w:spacing w:beforeAutospacing="1" w:afterAutospacing="1"/>
        <w:ind w:left="720"/>
        <w:rPr>
          <w:rFonts w:eastAsia="Times New Roman" w:cs="Times New Roman"/>
          <w:color w:val="000000" w:themeColor="text1"/>
          <w:szCs w:val="24"/>
          <w:lang w:val="en-GB"/>
        </w:rPr>
      </w:pPr>
      <w:r w:rsidRPr="00FE3F56">
        <w:rPr>
          <w:rFonts w:eastAsia="Times New Roman" w:cs="Times New Roman"/>
          <w:color w:val="000000" w:themeColor="text1"/>
          <w:szCs w:val="24"/>
          <w:lang w:val="en-GB"/>
        </w:rPr>
        <w:t>H2: Children whose parents donate blood more often are more likely to be blood donors than children whose parents donate less often.</w:t>
      </w:r>
    </w:p>
    <w:p w14:paraId="094304D8" w14:textId="77777777" w:rsidR="00901C90" w:rsidRPr="00FE3F56" w:rsidRDefault="00901C90">
      <w:pPr>
        <w:spacing w:beforeAutospacing="1" w:afterAutospacing="1" w:line="240" w:lineRule="auto"/>
        <w:rPr>
          <w:rFonts w:eastAsia="Times New Roman" w:cs="Times New Roman"/>
          <w:color w:val="000000" w:themeColor="text1"/>
          <w:szCs w:val="24"/>
          <w:lang w:val="en-GB"/>
        </w:rPr>
      </w:pPr>
    </w:p>
    <w:p w14:paraId="094304D9" w14:textId="1F0039FF" w:rsidR="00901C90" w:rsidRPr="003A12F6" w:rsidRDefault="00C44E29" w:rsidP="00C44E29">
      <w:pPr>
        <w:pStyle w:val="Heading2"/>
        <w:numPr>
          <w:ilvl w:val="1"/>
          <w:numId w:val="1"/>
        </w:numPr>
        <w:rPr>
          <w:rFonts w:cs="Times New Roman"/>
          <w:b w:val="0"/>
          <w:bCs/>
          <w:i/>
          <w:iCs/>
          <w:lang w:val="en-GB"/>
        </w:rPr>
      </w:pPr>
      <w:r>
        <w:rPr>
          <w:rFonts w:cs="Times New Roman"/>
          <w:b w:val="0"/>
          <w:bCs/>
          <w:i/>
          <w:iCs/>
          <w:lang w:val="en-GB"/>
        </w:rPr>
        <w:t xml:space="preserve"> </w:t>
      </w:r>
      <w:r w:rsidR="00A34875" w:rsidRPr="003A12F6">
        <w:rPr>
          <w:rFonts w:cs="Times New Roman"/>
          <w:b w:val="0"/>
          <w:bCs/>
          <w:i/>
          <w:iCs/>
          <w:lang w:val="en-GB"/>
        </w:rPr>
        <w:t>Transmission varies with the age of the child</w:t>
      </w:r>
    </w:p>
    <w:p w14:paraId="094304DA" w14:textId="585C1A61" w:rsidR="00901C90" w:rsidRPr="00FE3F56" w:rsidRDefault="00A34875">
      <w:pPr>
        <w:rPr>
          <w:rFonts w:cs="Times New Roman"/>
          <w:color w:val="000000" w:themeColor="text1"/>
          <w:lang w:val="en-GB"/>
        </w:rPr>
      </w:pPr>
      <w:r w:rsidRPr="00FE3F56">
        <w:rPr>
          <w:rFonts w:cs="Times New Roman"/>
          <w:color w:val="000000" w:themeColor="text1"/>
          <w:lang w:val="en-GB"/>
        </w:rPr>
        <w:t xml:space="preserve">Family is one of the primary socializing factors in an individual's development. However, as a person matures, the influence of parents diminishes in favour of other elements. Childhood socialization is assumed to have a deep and lasting impact on the individual (Liable, Thompson &amp; Froimson, 2015; Maccoby, 2015). During childhood (ages 3-11), the offspring is mostly dependent on the parent’s resources, and socialization occurs through modelling, parent-child discourse, family routines, reinforcements, rewards and punishments (Laible et al., 2015). </w:t>
      </w:r>
      <w:r w:rsidRPr="00FE3F56">
        <w:rPr>
          <w:rFonts w:cs="Times New Roman"/>
          <w:color w:val="000000" w:themeColor="text1"/>
          <w:lang w:val="en-GB"/>
        </w:rPr>
        <w:lastRenderedPageBreak/>
        <w:t>Adolescence (ages 12-18) is a time of immense growth when the main challenge for the child is to develop one’s independence and sense of self (Erikson, 1968). As a result, during this stage the time spent with parents and the quality of the parent-child relationship declines, and the socialization influence of the peer group</w:t>
      </w:r>
      <w:r w:rsidR="00C93E1C" w:rsidRPr="00FE3F56">
        <w:rPr>
          <w:rFonts w:cs="Times New Roman"/>
          <w:color w:val="000000" w:themeColor="text1"/>
          <w:lang w:val="en-GB"/>
        </w:rPr>
        <w:t xml:space="preserve"> increases</w:t>
      </w:r>
      <w:r w:rsidRPr="00FE3F56">
        <w:rPr>
          <w:rFonts w:cs="Times New Roman"/>
          <w:color w:val="000000" w:themeColor="text1"/>
          <w:lang w:val="en-GB"/>
        </w:rPr>
        <w:t xml:space="preserve"> (Smetana, Robinson &amp; Rote, 2015). During emerging adulthood (ages 19-22), individuals experience a transition from adolescence to adulthood (Arnett, 2000). In this period the influence of family further diminishes as other factors, such as education, romantic partners and work take precedence (Jensen Arnett, 2015; Luong, Rauers &amp; Fingerman, 2015). However, especially when the young adult continues to co-reside with their family, parents may still exert some socializing influence (Aquilino, 1997;</w:t>
      </w:r>
      <w:r w:rsidR="001E612C" w:rsidRPr="00FE3F56">
        <w:rPr>
          <w:rFonts w:cs="Times New Roman"/>
          <w:color w:val="000000" w:themeColor="text1"/>
          <w:lang w:val="en-GB"/>
        </w:rPr>
        <w:t xml:space="preserve"> </w:t>
      </w:r>
      <w:r w:rsidRPr="00FE3F56">
        <w:rPr>
          <w:rFonts w:cs="Times New Roman"/>
          <w:color w:val="000000" w:themeColor="text1"/>
          <w:lang w:val="en-GB"/>
        </w:rPr>
        <w:t>Fingerman et.al, 2012). An extended stay at home might provide parents with more opportunities to transmit their values, behaviours, and expectations - including those related to blood donations - to their children. Even though the power of parents as socializing factors decreases as an individual matures, it remains significant until the young adult leaves home (22.8 years in 2012 in the Netherlands; Centraal Bureau voor de Statistiek, 2019). We therefore hypothesize that:</w:t>
      </w:r>
    </w:p>
    <w:p w14:paraId="094304DB" w14:textId="77777777" w:rsidR="00901C90" w:rsidRPr="00FE3F56" w:rsidRDefault="00A34875">
      <w:pPr>
        <w:spacing w:beforeAutospacing="1" w:afterAutospacing="1"/>
        <w:ind w:left="720"/>
        <w:rPr>
          <w:rFonts w:cs="Times New Roman"/>
          <w:color w:val="000000" w:themeColor="text1"/>
          <w:lang w:val="en-GB"/>
        </w:rPr>
      </w:pPr>
      <w:r w:rsidRPr="00FE3F56">
        <w:rPr>
          <w:rFonts w:eastAsia="Times New Roman" w:cs="Times New Roman"/>
          <w:color w:val="000000" w:themeColor="text1"/>
          <w:szCs w:val="24"/>
          <w:lang w:val="en-GB"/>
        </w:rPr>
        <w:t xml:space="preserve">H3: </w:t>
      </w:r>
      <w:r w:rsidRPr="00FE3F56">
        <w:rPr>
          <w:rFonts w:cs="Times New Roman"/>
          <w:color w:val="000000" w:themeColor="text1"/>
          <w:lang w:val="en-GB"/>
        </w:rPr>
        <w:t>Children whose parents donated during their childhood, adolescence, or emerging adulthood are more likely to be blood donors than children whose parents donated at a later age.</w:t>
      </w:r>
    </w:p>
    <w:p w14:paraId="094304DC" w14:textId="77777777" w:rsidR="00901C90" w:rsidRPr="00FE3F56" w:rsidRDefault="00901C90">
      <w:pPr>
        <w:rPr>
          <w:rFonts w:cs="Times New Roman"/>
          <w:b/>
          <w:bCs/>
          <w:color w:val="000000" w:themeColor="text1"/>
          <w:lang w:val="en-GB"/>
        </w:rPr>
      </w:pPr>
    </w:p>
    <w:p w14:paraId="094304DD" w14:textId="5D4E9D07" w:rsidR="00901C90" w:rsidRPr="003A12F6" w:rsidRDefault="003A12F6" w:rsidP="00C44E29">
      <w:pPr>
        <w:pStyle w:val="Heading1"/>
        <w:spacing w:line="240" w:lineRule="auto"/>
        <w:jc w:val="both"/>
        <w:rPr>
          <w:b/>
          <w:bCs/>
          <w:szCs w:val="24"/>
          <w:lang w:val="en-GB"/>
        </w:rPr>
      </w:pPr>
      <w:r w:rsidRPr="003A12F6">
        <w:rPr>
          <w:b/>
          <w:bCs/>
          <w:szCs w:val="24"/>
          <w:lang w:val="en-GB"/>
        </w:rPr>
        <w:t>2.</w:t>
      </w:r>
      <w:r>
        <w:rPr>
          <w:b/>
          <w:bCs/>
          <w:szCs w:val="24"/>
          <w:lang w:val="en-GB"/>
        </w:rPr>
        <w:t xml:space="preserve"> </w:t>
      </w:r>
      <w:r w:rsidR="00A34875" w:rsidRPr="003A12F6">
        <w:rPr>
          <w:b/>
          <w:bCs/>
          <w:szCs w:val="24"/>
          <w:lang w:val="en-GB"/>
        </w:rPr>
        <w:t>Data &amp; Methods</w:t>
      </w:r>
    </w:p>
    <w:p w14:paraId="094304DE" w14:textId="66BDAA0D" w:rsidR="00901C90" w:rsidRPr="003A12F6" w:rsidRDefault="003A12F6">
      <w:pPr>
        <w:pStyle w:val="Heading2"/>
        <w:rPr>
          <w:rFonts w:cs="Times New Roman"/>
          <w:b w:val="0"/>
          <w:bCs/>
          <w:i/>
          <w:iCs/>
          <w:lang w:val="en-GB"/>
        </w:rPr>
      </w:pPr>
      <w:r w:rsidRPr="003A12F6">
        <w:rPr>
          <w:rFonts w:cs="Times New Roman"/>
          <w:b w:val="0"/>
          <w:bCs/>
          <w:i/>
          <w:iCs/>
          <w:lang w:val="en-GB"/>
        </w:rPr>
        <w:t>2.1.</w:t>
      </w:r>
      <w:r w:rsidR="00C44E29">
        <w:rPr>
          <w:rFonts w:cs="Times New Roman"/>
          <w:b w:val="0"/>
          <w:bCs/>
          <w:i/>
          <w:iCs/>
          <w:lang w:val="en-GB"/>
        </w:rPr>
        <w:t xml:space="preserve"> </w:t>
      </w:r>
      <w:r w:rsidR="00A34875" w:rsidRPr="003A12F6">
        <w:rPr>
          <w:rFonts w:cs="Times New Roman"/>
          <w:b w:val="0"/>
          <w:bCs/>
          <w:i/>
          <w:iCs/>
          <w:lang w:val="en-GB"/>
        </w:rPr>
        <w:t>Data &amp; procedure</w:t>
      </w:r>
    </w:p>
    <w:p w14:paraId="094304DF" w14:textId="4AF4E967" w:rsidR="00901C90" w:rsidRPr="00FE3F56" w:rsidRDefault="00A34875">
      <w:pPr>
        <w:rPr>
          <w:rFonts w:eastAsia="Times New Roman" w:cs="Times New Roman"/>
          <w:color w:val="000000" w:themeColor="text1"/>
          <w:lang w:val="en-GB"/>
        </w:rPr>
      </w:pPr>
      <w:r w:rsidRPr="00FE3F56">
        <w:rPr>
          <w:rFonts w:cs="Times New Roman"/>
          <w:color w:val="000000" w:themeColor="text1"/>
          <w:lang w:val="en-GB"/>
        </w:rPr>
        <w:t xml:space="preserve">We preregistered the study and our hypothesis on the OSF platform. The document can be accessed here: [URL omitted for a blind review]. </w:t>
      </w:r>
      <w:r w:rsidRPr="00FE3F56">
        <w:rPr>
          <w:rFonts w:eastAsia="Times New Roman" w:cs="Times New Roman"/>
          <w:color w:val="000000" w:themeColor="text1"/>
          <w:lang w:val="en-GB"/>
        </w:rPr>
        <w:t xml:space="preserve">We </w:t>
      </w:r>
      <w:r w:rsidR="001E612C" w:rsidRPr="00FE3F56">
        <w:rPr>
          <w:rFonts w:eastAsia="Times New Roman" w:cs="Times New Roman"/>
          <w:color w:val="000000" w:themeColor="text1"/>
          <w:lang w:val="en-GB"/>
        </w:rPr>
        <w:t xml:space="preserve">linked data </w:t>
      </w:r>
      <w:r w:rsidRPr="00FE3F56">
        <w:rPr>
          <w:rFonts w:eastAsia="Times New Roman" w:cs="Times New Roman"/>
          <w:color w:val="000000" w:themeColor="text1"/>
          <w:lang w:val="en-GB"/>
        </w:rPr>
        <w:t xml:space="preserve">from the Donor InSight Study (DIS; Timmer et al., 2019) and the Dutch blood donor registry. DIS is a large-scale cohort </w:t>
      </w:r>
      <w:r w:rsidRPr="00FE3F56">
        <w:rPr>
          <w:rFonts w:eastAsia="Times New Roman" w:cs="Times New Roman"/>
          <w:color w:val="000000" w:themeColor="text1"/>
          <w:lang w:val="en-GB"/>
        </w:rPr>
        <w:lastRenderedPageBreak/>
        <w:t xml:space="preserve">study among blood donors in the Netherlands and it consists of three waves (DIS-I, DIS-II and DIS-III). In the present study, we used information from the first wave, DIS-I. This survey wave suits the purposes of our study because the sample was similar to the general donor population in terms of general demographic and biological characteristics, such as age, BMI, haemoglobin levels or blood type, with the exception that the participants in the survey made more donations in the 2007-2009 period (Timmer et al., 2019). A full description of the methodological aspects and representativeness of the survey can be found in Timmer et al. (2019). The original questionnaires used for the DIS surveys can be accessed here: </w:t>
      </w:r>
      <w:hyperlink r:id="rId6">
        <w:r w:rsidRPr="00FE3F56">
          <w:rPr>
            <w:rStyle w:val="Hyperlink"/>
            <w:rFonts w:eastAsia="Times New Roman" w:cs="Times New Roman"/>
            <w:color w:val="000000" w:themeColor="text1"/>
            <w:lang w:val="en-GB"/>
          </w:rPr>
          <w:t>https://www.sanquin.org/research/donor-insight/measurements/index</w:t>
        </w:r>
      </w:hyperlink>
      <w:r w:rsidRPr="00FE3F56">
        <w:rPr>
          <w:rFonts w:eastAsia="Times New Roman" w:cs="Times New Roman"/>
          <w:color w:val="000000" w:themeColor="text1"/>
          <w:u w:val="single"/>
          <w:lang w:val="en-GB"/>
        </w:rPr>
        <w:t>.</w:t>
      </w:r>
    </w:p>
    <w:p w14:paraId="094304E0" w14:textId="54BA7922" w:rsidR="00901C90" w:rsidRPr="00FE3F56" w:rsidRDefault="00A34875">
      <w:pPr>
        <w:spacing w:beforeAutospacing="1" w:after="159"/>
        <w:rPr>
          <w:rFonts w:eastAsia="Times New Roman" w:cs="Times New Roman"/>
          <w:color w:val="000000" w:themeColor="text1"/>
          <w:lang w:val="en-GB"/>
        </w:rPr>
      </w:pPr>
      <w:r w:rsidRPr="00FE3F56">
        <w:rPr>
          <w:rFonts w:cs="Times New Roman"/>
          <w:color w:val="000000" w:themeColor="text1"/>
          <w:lang w:val="en-GB"/>
        </w:rPr>
        <w:t>To compute the prevalence of the blood donor families and how many generations of donors are in each donor family, we used all the DIS-I cases, N=3</w:t>
      </w:r>
      <w:r w:rsidR="004D272D" w:rsidRPr="00FE3F56">
        <w:rPr>
          <w:rFonts w:cs="Times New Roman"/>
          <w:color w:val="000000" w:themeColor="text1"/>
          <w:lang w:val="en-GB"/>
        </w:rPr>
        <w:t>,</w:t>
      </w:r>
      <w:r w:rsidRPr="00FE3F56">
        <w:rPr>
          <w:rFonts w:cs="Times New Roman"/>
          <w:color w:val="000000" w:themeColor="text1"/>
          <w:lang w:val="en-GB"/>
        </w:rPr>
        <w:t xml:space="preserve">338. </w:t>
      </w:r>
      <w:r w:rsidRPr="00FE3F56">
        <w:rPr>
          <w:rFonts w:eastAsia="Times New Roman" w:cs="Times New Roman"/>
          <w:color w:val="000000" w:themeColor="text1"/>
          <w:lang w:val="en-GB"/>
        </w:rPr>
        <w:t xml:space="preserve">We considered the DIS-I respondent as the “key respondent” (cf. Figure 1) and categorized them in one of the following four situations as shown in Figure 1: A) the respondent has a parent that donates or donated blood; B) the respondent has a child that donates or donated blood; C) the respondent has a parent </w:t>
      </w:r>
      <w:r w:rsidRPr="00FE3F56">
        <w:rPr>
          <w:rFonts w:eastAsia="Times New Roman" w:cs="Times New Roman"/>
          <w:i/>
          <w:iCs/>
          <w:color w:val="000000" w:themeColor="text1"/>
          <w:lang w:val="en-GB"/>
        </w:rPr>
        <w:t>and</w:t>
      </w:r>
      <w:r w:rsidRPr="00FE3F56">
        <w:rPr>
          <w:rFonts w:eastAsia="Times New Roman" w:cs="Times New Roman"/>
          <w:color w:val="000000" w:themeColor="text1"/>
          <w:lang w:val="en-GB"/>
        </w:rPr>
        <w:t xml:space="preserve"> a child that donates or donated blood; D) the respondent has neither a parent nor a child that donates or donated blood. </w:t>
      </w:r>
    </w:p>
    <w:p w14:paraId="14068BAE" w14:textId="77777777" w:rsidR="004D272D" w:rsidRPr="00FE3F56" w:rsidRDefault="004D272D">
      <w:pPr>
        <w:spacing w:beforeAutospacing="1" w:after="159"/>
        <w:rPr>
          <w:rFonts w:eastAsia="Times New Roman" w:cs="Times New Roman"/>
          <w:color w:val="000000" w:themeColor="text1"/>
          <w:lang w:val="en-GB"/>
        </w:rPr>
      </w:pPr>
    </w:p>
    <w:p w14:paraId="00515559" w14:textId="77777777" w:rsidR="004D272D" w:rsidRPr="00FE3F56" w:rsidRDefault="004D272D">
      <w:pPr>
        <w:spacing w:beforeAutospacing="1" w:after="159"/>
        <w:rPr>
          <w:rFonts w:eastAsia="Times New Roman" w:cs="Times New Roman"/>
          <w:color w:val="000000" w:themeColor="text1"/>
          <w:lang w:val="en-GB"/>
        </w:rPr>
      </w:pPr>
    </w:p>
    <w:p w14:paraId="09D2BF03" w14:textId="77777777" w:rsidR="004D272D" w:rsidRPr="00FE3F56" w:rsidRDefault="004D272D">
      <w:pPr>
        <w:spacing w:beforeAutospacing="1" w:after="159"/>
        <w:rPr>
          <w:rFonts w:eastAsia="Times New Roman" w:cs="Times New Roman"/>
          <w:color w:val="000000" w:themeColor="text1"/>
          <w:lang w:val="en-GB"/>
        </w:rPr>
      </w:pPr>
    </w:p>
    <w:p w14:paraId="3056195E" w14:textId="77777777" w:rsidR="004D272D" w:rsidRPr="00FE3F56" w:rsidRDefault="004D272D">
      <w:pPr>
        <w:spacing w:beforeAutospacing="1" w:after="159"/>
        <w:rPr>
          <w:rFonts w:eastAsia="Times New Roman" w:cs="Times New Roman"/>
          <w:color w:val="000000" w:themeColor="text1"/>
          <w:lang w:val="en-GB"/>
        </w:rPr>
      </w:pPr>
    </w:p>
    <w:p w14:paraId="1C7EC6DD" w14:textId="77777777" w:rsidR="004D272D" w:rsidRPr="00FE3F56" w:rsidRDefault="004D272D">
      <w:pPr>
        <w:spacing w:beforeAutospacing="1" w:after="159"/>
        <w:rPr>
          <w:rFonts w:eastAsia="Times New Roman" w:cs="Times New Roman"/>
          <w:color w:val="000000" w:themeColor="text1"/>
          <w:lang w:val="en-GB"/>
        </w:rPr>
      </w:pPr>
    </w:p>
    <w:p w14:paraId="7B6F57C8" w14:textId="77777777" w:rsidR="004D272D" w:rsidRPr="00FE3F56" w:rsidRDefault="004D272D">
      <w:pPr>
        <w:spacing w:beforeAutospacing="1" w:after="159"/>
        <w:rPr>
          <w:rFonts w:eastAsia="Times New Roman" w:cs="Times New Roman"/>
          <w:color w:val="000000" w:themeColor="text1"/>
          <w:lang w:val="en-GB"/>
        </w:rPr>
      </w:pPr>
    </w:p>
    <w:p w14:paraId="094304E2" w14:textId="6A1DF20A" w:rsidR="00901C90" w:rsidRPr="003457D3" w:rsidRDefault="00A34875" w:rsidP="003457D3">
      <w:pPr>
        <w:spacing w:after="0" w:line="240" w:lineRule="auto"/>
        <w:rPr>
          <w:rFonts w:cs="Times New Roman"/>
          <w:color w:val="000000" w:themeColor="text1"/>
          <w:lang w:val="en-GB"/>
        </w:rPr>
      </w:pPr>
      <w:r w:rsidRPr="003457D3">
        <w:rPr>
          <w:rFonts w:cs="Times New Roman"/>
          <w:color w:val="000000" w:themeColor="text1"/>
          <w:lang w:val="en-GB"/>
        </w:rPr>
        <w:lastRenderedPageBreak/>
        <w:t>Figure 1</w:t>
      </w:r>
      <w:r w:rsidR="003457D3" w:rsidRPr="003457D3">
        <w:rPr>
          <w:rFonts w:cs="Times New Roman"/>
          <w:color w:val="000000" w:themeColor="text1"/>
          <w:lang w:val="en-GB"/>
        </w:rPr>
        <w:t>.</w:t>
      </w:r>
      <w:r w:rsidRPr="003457D3">
        <w:rPr>
          <w:rFonts w:cs="Times New Roman"/>
          <w:color w:val="000000" w:themeColor="text1"/>
          <w:lang w:val="en-GB"/>
        </w:rPr>
        <w:t>DIS key respondents and their donor family network</w:t>
      </w:r>
    </w:p>
    <w:p w14:paraId="094304E3" w14:textId="77777777" w:rsidR="00901C90" w:rsidRPr="00FE3F56" w:rsidRDefault="00A34875">
      <w:pPr>
        <w:jc w:val="center"/>
        <w:rPr>
          <w:rFonts w:cs="Times New Roman"/>
          <w:color w:val="000000" w:themeColor="text1"/>
          <w:lang w:val="en-GB"/>
        </w:rPr>
      </w:pPr>
      <w:r w:rsidRPr="00FE3F56">
        <w:rPr>
          <w:rFonts w:cs="Times New Roman"/>
          <w:noProof/>
          <w:color w:val="000000" w:themeColor="text1"/>
        </w:rPr>
        <w:drawing>
          <wp:inline distT="0" distB="0" distL="0" distR="0" wp14:anchorId="09430899" wp14:editId="0943089A">
            <wp:extent cx="4972050" cy="28194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7"/>
                    <a:srcRect l="1119" r="1611" b="1987"/>
                    <a:stretch>
                      <a:fillRect/>
                    </a:stretch>
                  </pic:blipFill>
                  <pic:spPr bwMode="auto">
                    <a:xfrm>
                      <a:off x="0" y="0"/>
                      <a:ext cx="4972050" cy="2819400"/>
                    </a:xfrm>
                    <a:prstGeom prst="rect">
                      <a:avLst/>
                    </a:prstGeom>
                    <a:ln w="9525">
                      <a:solidFill>
                        <a:srgbClr val="000000"/>
                      </a:solidFill>
                    </a:ln>
                  </pic:spPr>
                </pic:pic>
              </a:graphicData>
            </a:graphic>
          </wp:inline>
        </w:drawing>
      </w:r>
    </w:p>
    <w:p w14:paraId="094304E4" w14:textId="1DBD96B3" w:rsidR="00901C90" w:rsidRPr="00FE3F56" w:rsidRDefault="00A34875">
      <w:pPr>
        <w:rPr>
          <w:rFonts w:cs="Times New Roman"/>
          <w:color w:val="000000" w:themeColor="text1"/>
          <w:lang w:val="en-GB"/>
        </w:rPr>
      </w:pPr>
      <w:r w:rsidRPr="00FE3F56">
        <w:rPr>
          <w:rFonts w:cs="Times New Roman"/>
          <w:color w:val="000000" w:themeColor="text1"/>
          <w:lang w:val="en-GB"/>
        </w:rPr>
        <w:t>To examine the mechanisms behind the intergenerational transmission, we selected the key respondent donors who reported having children over the age of 18, the minimum age for blood donation. Following Jakobsen et al. (2017), we scrutinized for missing data and we used case-wise deletion if the per cent of the missing data variable-wise was less than 5%. For example, 26 out of the 13</w:t>
      </w:r>
      <w:r w:rsidR="001E612C" w:rsidRPr="00FE3F56">
        <w:rPr>
          <w:rFonts w:cs="Times New Roman"/>
          <w:color w:val="000000" w:themeColor="text1"/>
          <w:lang w:val="en-GB"/>
        </w:rPr>
        <w:t>,</w:t>
      </w:r>
      <w:r w:rsidRPr="00FE3F56">
        <w:rPr>
          <w:rFonts w:cs="Times New Roman"/>
          <w:color w:val="000000" w:themeColor="text1"/>
          <w:lang w:val="en-GB"/>
        </w:rPr>
        <w:t>436 parents did not indicate their education level, the percent of missing variables was less than 5%, therefore, we excluded those 26 individuals from our analysis. Jakobsen et al.( 2017) also advised for the usage of case-wise deletion when we suspected that the data was not missing at random as it was the case of income. In total, we excluded 2</w:t>
      </w:r>
      <w:r w:rsidR="001E612C" w:rsidRPr="00FE3F56">
        <w:rPr>
          <w:rFonts w:cs="Times New Roman"/>
          <w:color w:val="000000" w:themeColor="text1"/>
          <w:lang w:val="en-GB"/>
        </w:rPr>
        <w:t>,</w:t>
      </w:r>
      <w:r w:rsidRPr="00FE3F56">
        <w:rPr>
          <w:rFonts w:cs="Times New Roman"/>
          <w:color w:val="000000" w:themeColor="text1"/>
          <w:lang w:val="en-GB"/>
        </w:rPr>
        <w:t>687 incomplete parent cases, leaving 10</w:t>
      </w:r>
      <w:r w:rsidR="001E612C" w:rsidRPr="00FE3F56">
        <w:rPr>
          <w:rFonts w:cs="Times New Roman"/>
          <w:color w:val="000000" w:themeColor="text1"/>
          <w:lang w:val="en-GB"/>
        </w:rPr>
        <w:t>,</w:t>
      </w:r>
      <w:r w:rsidRPr="00FE3F56">
        <w:rPr>
          <w:rFonts w:cs="Times New Roman"/>
          <w:color w:val="000000" w:themeColor="text1"/>
          <w:lang w:val="en-GB"/>
        </w:rPr>
        <w:t xml:space="preserve">775 parents for further analysis. We Winsorized the scores of continuous variables to prevent outliers from having a disproportionate influence on the results (see Blaine, 2018). </w:t>
      </w:r>
    </w:p>
    <w:p w14:paraId="094304E6" w14:textId="510BAAEC" w:rsidR="00901C90" w:rsidRPr="00FE3F56" w:rsidRDefault="00A34875">
      <w:pPr>
        <w:rPr>
          <w:rFonts w:cs="Times New Roman"/>
          <w:color w:val="000000" w:themeColor="text1"/>
          <w:lang w:val="en-GB"/>
        </w:rPr>
      </w:pPr>
      <w:r w:rsidRPr="00FE3F56">
        <w:rPr>
          <w:rFonts w:cs="Times New Roman"/>
          <w:color w:val="000000" w:themeColor="text1"/>
          <w:lang w:val="en-GB"/>
        </w:rPr>
        <w:t>After these transformations, the data was transposed from a parent case organization to a child case; thus one child was represented per row and one parent could be associated with more than one child. As a result, the data had a multilevel structure. The new data set was cleaned by excluding children younger than 18, dead children, and abnormalities in the data, such as children older than parents, resulting in a total of 23</w:t>
      </w:r>
      <w:r w:rsidR="001E612C" w:rsidRPr="00FE3F56">
        <w:rPr>
          <w:rFonts w:cs="Times New Roman"/>
          <w:color w:val="000000" w:themeColor="text1"/>
          <w:lang w:val="en-GB"/>
        </w:rPr>
        <w:t>,</w:t>
      </w:r>
      <w:r w:rsidRPr="00FE3F56">
        <w:rPr>
          <w:rFonts w:cs="Times New Roman"/>
          <w:color w:val="000000" w:themeColor="text1"/>
          <w:lang w:val="en-GB"/>
        </w:rPr>
        <w:t xml:space="preserve">037 children </w:t>
      </w:r>
      <w:r w:rsidR="001E612C" w:rsidRPr="00FE3F56">
        <w:rPr>
          <w:rFonts w:cs="Times New Roman"/>
          <w:color w:val="000000" w:themeColor="text1"/>
          <w:lang w:val="en-GB"/>
        </w:rPr>
        <w:t xml:space="preserve">of </w:t>
      </w:r>
      <w:r w:rsidRPr="00FE3F56">
        <w:rPr>
          <w:rFonts w:cs="Times New Roman"/>
          <w:color w:val="000000" w:themeColor="text1"/>
          <w:lang w:val="en-GB"/>
        </w:rPr>
        <w:t>10</w:t>
      </w:r>
      <w:r w:rsidR="001E612C" w:rsidRPr="00FE3F56">
        <w:rPr>
          <w:rFonts w:cs="Times New Roman"/>
          <w:color w:val="000000" w:themeColor="text1"/>
          <w:lang w:val="en-GB"/>
        </w:rPr>
        <w:t>,</w:t>
      </w:r>
      <w:r w:rsidRPr="00FE3F56">
        <w:rPr>
          <w:rFonts w:cs="Times New Roman"/>
          <w:color w:val="000000" w:themeColor="text1"/>
          <w:lang w:val="en-GB"/>
        </w:rPr>
        <w:t xml:space="preserve">546 parents. Finally, </w:t>
      </w:r>
      <w:r w:rsidRPr="00FE3F56">
        <w:rPr>
          <w:rFonts w:cs="Times New Roman"/>
          <w:color w:val="000000" w:themeColor="text1"/>
          <w:lang w:val="en-GB"/>
        </w:rPr>
        <w:lastRenderedPageBreak/>
        <w:t xml:space="preserve">regarding the parent’s history of donations, we used the data from the Dutch donor registry and the previous blood donation records system. We considered all blood donations made until the year when the DIS questionnaire data was collected. The two data sets, i.e. the survey and the registry, were linked with a unique identifier attributed to each donor. </w:t>
      </w:r>
    </w:p>
    <w:p w14:paraId="094304E7" w14:textId="5451A344" w:rsidR="00901C90" w:rsidRPr="003457D3" w:rsidRDefault="003457D3">
      <w:pPr>
        <w:pStyle w:val="Heading2"/>
        <w:rPr>
          <w:rFonts w:cs="Times New Roman"/>
          <w:b w:val="0"/>
          <w:bCs/>
          <w:i/>
          <w:iCs/>
          <w:lang w:val="en-GB"/>
        </w:rPr>
      </w:pPr>
      <w:r w:rsidRPr="003457D3">
        <w:rPr>
          <w:rFonts w:cs="Times New Roman"/>
          <w:b w:val="0"/>
          <w:bCs/>
          <w:i/>
          <w:iCs/>
          <w:lang w:val="en-GB"/>
        </w:rPr>
        <w:t>2.2.</w:t>
      </w:r>
      <w:r w:rsidR="00A34875" w:rsidRPr="003457D3">
        <w:rPr>
          <w:rFonts w:cs="Times New Roman"/>
          <w:b w:val="0"/>
          <w:bCs/>
          <w:i/>
          <w:iCs/>
          <w:lang w:val="en-GB"/>
        </w:rPr>
        <w:t>Measures</w:t>
      </w:r>
    </w:p>
    <w:p w14:paraId="094304E8" w14:textId="64E0D661" w:rsidR="00901C90" w:rsidRPr="00FE3F56" w:rsidRDefault="00A34875">
      <w:pPr>
        <w:rPr>
          <w:rFonts w:cs="Times New Roman"/>
          <w:b/>
          <w:bCs/>
          <w:color w:val="000000" w:themeColor="text1"/>
          <w:lang w:val="en-GB"/>
        </w:rPr>
      </w:pPr>
      <w:r w:rsidRPr="00FE3F56">
        <w:rPr>
          <w:rFonts w:cs="Times New Roman"/>
          <w:i/>
          <w:iCs/>
          <w:color w:val="000000" w:themeColor="text1"/>
          <w:lang w:val="en-GB"/>
        </w:rPr>
        <w:t xml:space="preserve">Multigenerational donor family. </w:t>
      </w:r>
      <w:r w:rsidRPr="00FE3F56">
        <w:rPr>
          <w:rFonts w:cs="Times New Roman"/>
          <w:color w:val="000000" w:themeColor="text1"/>
          <w:lang w:val="en-GB"/>
        </w:rPr>
        <w:t>This variable was determined by the composition of blood donors in the key respondent’s family. As shown in Figure 1,</w:t>
      </w:r>
      <w:r w:rsidR="001E612C" w:rsidRPr="00FE3F56">
        <w:rPr>
          <w:rFonts w:cs="Times New Roman"/>
          <w:color w:val="000000" w:themeColor="text1"/>
          <w:lang w:val="en-GB"/>
        </w:rPr>
        <w:t xml:space="preserve"> </w:t>
      </w:r>
      <w:r w:rsidRPr="00FE3F56">
        <w:rPr>
          <w:rFonts w:cs="Times New Roman"/>
          <w:color w:val="000000" w:themeColor="text1"/>
          <w:lang w:val="en-GB"/>
        </w:rPr>
        <w:t>we distinguished: 3-, 2- and 1-generation blood donor families.</w:t>
      </w:r>
    </w:p>
    <w:p w14:paraId="094304E9" w14:textId="05987191" w:rsidR="00901C90" w:rsidRPr="00FE3F56" w:rsidRDefault="00A34875">
      <w:pPr>
        <w:rPr>
          <w:rFonts w:cs="Times New Roman"/>
          <w:color w:val="000000" w:themeColor="text1"/>
          <w:lang w:val="en-GB"/>
        </w:rPr>
      </w:pPr>
      <w:r w:rsidRPr="00FE3F56">
        <w:rPr>
          <w:rFonts w:cs="Times New Roman"/>
          <w:i/>
          <w:iCs/>
          <w:color w:val="000000" w:themeColor="text1"/>
          <w:lang w:val="en-GB"/>
        </w:rPr>
        <w:t>Blood donor status of the child.</w:t>
      </w:r>
      <w:r w:rsidRPr="00FE3F56">
        <w:rPr>
          <w:rFonts w:cs="Times New Roman"/>
          <w:b/>
          <w:bCs/>
          <w:i/>
          <w:iCs/>
          <w:color w:val="000000" w:themeColor="text1"/>
          <w:lang w:val="en-GB"/>
        </w:rPr>
        <w:t xml:space="preserve"> </w:t>
      </w:r>
      <w:r w:rsidRPr="00FE3F56">
        <w:rPr>
          <w:rFonts w:cs="Times New Roman"/>
          <w:color w:val="000000" w:themeColor="text1"/>
          <w:lang w:val="en-GB"/>
        </w:rPr>
        <w:t xml:space="preserve">DIS-I offers information regarding the children of key respondents at the moment when the survey was answered. In order to determine the donor status of the child, we used information provided in two distinct questions in the survey. The first question was: “If you have children, please give their dates of birth and whether they are deceased”, and the second question was: “Please indicate which of your family members is a blood donor or has donated blood in the past. Include the year of birth of any of these family members.”. Thus if the respondent mentioned having a child in the first question we checked if the birth year provided </w:t>
      </w:r>
      <w:r w:rsidR="00AB060F" w:rsidRPr="00FE3F56">
        <w:rPr>
          <w:rFonts w:cs="Times New Roman"/>
          <w:color w:val="000000" w:themeColor="text1"/>
          <w:lang w:val="en-GB"/>
        </w:rPr>
        <w:t xml:space="preserve">in the first question </w:t>
      </w:r>
      <w:r w:rsidRPr="00FE3F56">
        <w:rPr>
          <w:rFonts w:cs="Times New Roman"/>
          <w:color w:val="000000" w:themeColor="text1"/>
          <w:lang w:val="en-GB"/>
        </w:rPr>
        <w:t>matches the birth year mentioned in the second question about the history of blood donation in the family. If the birth year provided in the two questions matched then we considered that child as a donor. We considered both those children who donated in the past and those children that were donating at the time of the questionnaire as donors.</w:t>
      </w:r>
    </w:p>
    <w:p w14:paraId="094304EA" w14:textId="77777777" w:rsidR="00901C90" w:rsidRPr="00FE3F56" w:rsidRDefault="00A34875">
      <w:pPr>
        <w:rPr>
          <w:rFonts w:cs="Times New Roman"/>
          <w:color w:val="000000" w:themeColor="text1"/>
          <w:lang w:val="en-GB"/>
        </w:rPr>
      </w:pPr>
      <w:r w:rsidRPr="00FE3F56">
        <w:rPr>
          <w:rFonts w:cs="Times New Roman"/>
          <w:i/>
          <w:iCs/>
          <w:color w:val="000000" w:themeColor="text1"/>
          <w:lang w:val="en-GB"/>
        </w:rPr>
        <w:t>Blood-donor identity of the parent.</w:t>
      </w:r>
      <w:r w:rsidRPr="00FE3F56">
        <w:rPr>
          <w:rFonts w:cs="Times New Roman"/>
          <w:color w:val="000000" w:themeColor="text1"/>
          <w:lang w:val="en-GB"/>
        </w:rPr>
        <w:t xml:space="preserve"> Based on the DIS-I questionnaire, Schröder et al. (2021) constructed blood donor identity by considering the answers to the following questions evaluated on a 5-point Likert scale, where 1 signifies “completely disagree” and 5 “completely agree”:</w:t>
      </w:r>
    </w:p>
    <w:p w14:paraId="094304EB" w14:textId="77777777" w:rsidR="00901C90" w:rsidRPr="00FE3F56" w:rsidRDefault="00A34875">
      <w:pPr>
        <w:ind w:left="720"/>
        <w:rPr>
          <w:rFonts w:cs="Times New Roman"/>
          <w:color w:val="000000" w:themeColor="text1"/>
          <w:lang w:val="en-GB"/>
        </w:rPr>
      </w:pPr>
      <w:r w:rsidRPr="00FE3F56">
        <w:rPr>
          <w:rFonts w:cs="Times New Roman"/>
          <w:color w:val="000000" w:themeColor="text1"/>
          <w:lang w:val="en-GB"/>
        </w:rPr>
        <w:lastRenderedPageBreak/>
        <w:t>“Being a blood/plasma donor is an important part of who I am.”</w:t>
      </w:r>
    </w:p>
    <w:p w14:paraId="094304EC" w14:textId="77777777" w:rsidR="00901C90" w:rsidRPr="00FE3F56" w:rsidRDefault="00A34875">
      <w:pPr>
        <w:ind w:left="720"/>
        <w:rPr>
          <w:rFonts w:cs="Times New Roman"/>
          <w:color w:val="000000" w:themeColor="text1"/>
          <w:lang w:val="en-GB"/>
        </w:rPr>
      </w:pPr>
      <w:r w:rsidRPr="00FE3F56">
        <w:rPr>
          <w:rFonts w:cs="Times New Roman"/>
          <w:color w:val="000000" w:themeColor="text1"/>
          <w:lang w:val="en-GB"/>
        </w:rPr>
        <w:t>”Being a blood donor means more to me than just giving blood.”</w:t>
      </w:r>
    </w:p>
    <w:p w14:paraId="094304ED" w14:textId="77777777" w:rsidR="00901C90" w:rsidRPr="00FE3F56" w:rsidRDefault="00A34875">
      <w:pPr>
        <w:ind w:left="720"/>
        <w:rPr>
          <w:rFonts w:cs="Times New Roman"/>
          <w:color w:val="000000" w:themeColor="text1"/>
          <w:lang w:val="en-GB"/>
        </w:rPr>
      </w:pPr>
      <w:r w:rsidRPr="00FE3F56">
        <w:rPr>
          <w:rFonts w:cs="Times New Roman"/>
          <w:color w:val="000000" w:themeColor="text1"/>
          <w:lang w:val="en-GB"/>
        </w:rPr>
        <w:t>”I would feel sorry if I could no longer give blood.”</w:t>
      </w:r>
    </w:p>
    <w:p w14:paraId="094304EE" w14:textId="77777777" w:rsidR="00901C90" w:rsidRPr="00FE3F56" w:rsidRDefault="00A34875">
      <w:pPr>
        <w:rPr>
          <w:rFonts w:cs="Times New Roman"/>
          <w:color w:val="000000" w:themeColor="text1"/>
          <w:lang w:val="en-GB"/>
        </w:rPr>
      </w:pPr>
      <w:r w:rsidRPr="00FE3F56">
        <w:rPr>
          <w:rFonts w:cs="Times New Roman"/>
          <w:color w:val="000000" w:themeColor="text1"/>
          <w:lang w:val="en-GB"/>
        </w:rPr>
        <w:t>The reliability of the construct was previously evaluated using composite reliability (CR)/McDonald's omega 0.69. Considering the cut-off point of 0.7, we assessed that the CR score obtained was satisfactory for the purposes of the present analysis. In order to obtain the score for this measurement, the individual values for each previously mentioned sentence as answered by the key respondent (parent) were summed.</w:t>
      </w:r>
    </w:p>
    <w:p w14:paraId="094304EF" w14:textId="77777777" w:rsidR="00901C90" w:rsidRPr="00FE3F56" w:rsidRDefault="00A34875">
      <w:pPr>
        <w:rPr>
          <w:rFonts w:cs="Times New Roman"/>
          <w:color w:val="000000" w:themeColor="text1"/>
          <w:lang w:val="en-GB"/>
        </w:rPr>
      </w:pPr>
      <w:r w:rsidRPr="00FE3F56">
        <w:rPr>
          <w:rFonts w:cs="Times New Roman"/>
          <w:i/>
          <w:iCs/>
          <w:color w:val="000000" w:themeColor="text1"/>
          <w:lang w:val="en-GB"/>
        </w:rPr>
        <w:t>The number of blood donations done by the parent</w:t>
      </w:r>
      <w:r w:rsidRPr="00FE3F56">
        <w:rPr>
          <w:rFonts w:cs="Times New Roman"/>
          <w:b/>
          <w:bCs/>
          <w:i/>
          <w:iCs/>
          <w:color w:val="000000" w:themeColor="text1"/>
          <w:lang w:val="en-GB"/>
        </w:rPr>
        <w:t xml:space="preserve">. </w:t>
      </w:r>
      <w:r w:rsidRPr="00FE3F56">
        <w:rPr>
          <w:rFonts w:cs="Times New Roman"/>
          <w:color w:val="000000" w:themeColor="text1"/>
          <w:lang w:val="en-GB"/>
        </w:rPr>
        <w:t xml:space="preserve">Based on the information we obtained from the Dutch blood donor registry we computed the number of donations the parents made during their blood donor careers. </w:t>
      </w:r>
    </w:p>
    <w:p w14:paraId="094304F0" w14:textId="77777777" w:rsidR="00901C90" w:rsidRPr="00FE3F56" w:rsidRDefault="00A34875">
      <w:pPr>
        <w:rPr>
          <w:rFonts w:cs="Times New Roman"/>
          <w:color w:val="000000" w:themeColor="text1"/>
          <w:lang w:val="en-GB"/>
        </w:rPr>
      </w:pPr>
      <w:r w:rsidRPr="00FE3F56">
        <w:rPr>
          <w:rFonts w:cs="Times New Roman"/>
          <w:i/>
          <w:iCs/>
          <w:color w:val="000000" w:themeColor="text1"/>
          <w:lang w:val="en-GB"/>
        </w:rPr>
        <w:t>The child’s developmental period during which the parent was active as blood donor.</w:t>
      </w:r>
      <w:r w:rsidRPr="00FE3F56">
        <w:rPr>
          <w:rFonts w:cs="Times New Roman"/>
          <w:color w:val="000000" w:themeColor="text1"/>
          <w:lang w:val="en-GB"/>
        </w:rPr>
        <w:t xml:space="preserve"> We extracted the birth years of the children of key respondents from DIS-I and we retrieved the years when the parents donated for the first and last time from the Dutch donor registry. By combining this information we can identify the age of the children when the parents began and ended their donor careers. To determine the developmental period of the children when their parents were active as donors we followed the guidelines formulated by Erikson (1950) and considered the new insights on adult development presented by Arnett (2000). Thus, if the parent donated when the child was between 3 and 11 years of age, we would say that the parent was donating during the childhood period of their offspring. If the parent donated when the child was between 12 and 18 years of age, we would say that the parent was donating during the adolescence period of their offspring. Finally, if the parent donated when the child was between 19 and 22 years of age, we would say that the parent was donating during the emerging adulthood period of their child. </w:t>
      </w:r>
    </w:p>
    <w:p w14:paraId="094304F1" w14:textId="0BB6188E" w:rsidR="00901C90" w:rsidRPr="00FE3F56" w:rsidRDefault="00A34875">
      <w:pPr>
        <w:rPr>
          <w:rFonts w:cs="Times New Roman"/>
          <w:color w:val="000000" w:themeColor="text1"/>
          <w:lang w:val="en-GB"/>
        </w:rPr>
      </w:pPr>
      <w:r w:rsidRPr="00FE3F56">
        <w:rPr>
          <w:rFonts w:cs="Times New Roman"/>
          <w:i/>
          <w:iCs/>
          <w:color w:val="000000" w:themeColor="text1"/>
          <w:lang w:val="en-GB"/>
        </w:rPr>
        <w:lastRenderedPageBreak/>
        <w:t>Control variables</w:t>
      </w:r>
      <w:r w:rsidRPr="00FE3F56">
        <w:rPr>
          <w:rFonts w:cs="Times New Roman"/>
          <w:b/>
          <w:bCs/>
          <w:i/>
          <w:iCs/>
          <w:color w:val="000000" w:themeColor="text1"/>
          <w:lang w:val="en-GB"/>
        </w:rPr>
        <w:t>.</w:t>
      </w:r>
      <w:r w:rsidRPr="00FE3F56">
        <w:rPr>
          <w:rFonts w:cs="Times New Roman"/>
          <w:color w:val="000000" w:themeColor="text1"/>
          <w:lang w:val="en-GB"/>
        </w:rPr>
        <w:t xml:space="preserve"> One reason why intergenerational transmission of behaviour occurs is because children inherit the social status and religiosity of their parents (Bekkers, 2007; Drollinger, 1997; Kuczynski et al., 1997). Thus in order to control for these aspects, in our statistical analysis, we included the following variables as covariates: parental income, parental religious affiliation, parental education, parental age, parental gender, the type of donor the parent is/was (plasma, whole blood, plasma &amp; whole blood), marital status of the parent, the home situation of the parent, paid work in the case of the parent, if the parent was active as a volunteer and homeownership situation. As Veldhuizen and van Dongen (2012) and Thijsen et al. (2019) found differences in behaviour between plasma and whole blood donors, we also considered the type of donor that the parent was in our analysis. </w:t>
      </w:r>
    </w:p>
    <w:p w14:paraId="094304F3" w14:textId="353159C7" w:rsidR="00901C90" w:rsidRPr="003457D3" w:rsidRDefault="003457D3">
      <w:pPr>
        <w:pStyle w:val="Heading2"/>
        <w:rPr>
          <w:rFonts w:cs="Times New Roman"/>
          <w:b w:val="0"/>
          <w:bCs/>
          <w:i/>
          <w:iCs/>
          <w:lang w:val="en-GB"/>
        </w:rPr>
      </w:pPr>
      <w:r w:rsidRPr="003457D3">
        <w:rPr>
          <w:rFonts w:cs="Times New Roman"/>
          <w:b w:val="0"/>
          <w:bCs/>
          <w:i/>
          <w:iCs/>
          <w:lang w:val="en-GB"/>
        </w:rPr>
        <w:t>2.3.</w:t>
      </w:r>
      <w:r w:rsidR="00A34875" w:rsidRPr="003457D3">
        <w:rPr>
          <w:rFonts w:cs="Times New Roman"/>
          <w:b w:val="0"/>
          <w:bCs/>
          <w:i/>
          <w:iCs/>
          <w:lang w:val="en-GB"/>
        </w:rPr>
        <w:t>Statistical Analysis</w:t>
      </w:r>
    </w:p>
    <w:p w14:paraId="094304F4" w14:textId="6251A164" w:rsidR="00901C90" w:rsidRPr="00FE3F56" w:rsidRDefault="00A34875">
      <w:pPr>
        <w:rPr>
          <w:rFonts w:cs="Times New Roman"/>
          <w:color w:val="000000" w:themeColor="text1"/>
          <w:lang w:val="en-GB"/>
        </w:rPr>
      </w:pPr>
      <w:r w:rsidRPr="00FE3F56">
        <w:rPr>
          <w:rFonts w:cs="Times New Roman"/>
          <w:color w:val="000000" w:themeColor="text1"/>
          <w:lang w:val="en-GB"/>
        </w:rPr>
        <w:t>The statistical analyses were conducted using the SPSS 23 IBM software. We estimated descriptives and correlations for the variables used in the analysis. To determine the proportion of Dutch blood donors that come from a blood donor family we analysed the frequencies of the multigenerational donor family variable. For the analysis of the 3 mechanisms, because our dependent variable was dichotomous (being a donor or not) and the data has a multilevel structure, we use hierarchical logistic regression models. To account for the clustered structure, we added random intercepts. We built four models, starting with the parent's sociodemographic characteristics in the first model and then adding one mechanism in each subsequent model. Specifically, in model 2, we added the parent's donor identity; in model 3, we added the frequency of donations; and in model 4, we added the developmental period of the child when the parent was active as a blood donor. To check the robustness of the results we employed 4</w:t>
      </w:r>
      <w:r w:rsidR="001E612C" w:rsidRPr="00FE3F56">
        <w:rPr>
          <w:rFonts w:cs="Times New Roman"/>
          <w:color w:val="000000" w:themeColor="text1"/>
          <w:lang w:val="en-GB"/>
        </w:rPr>
        <w:t xml:space="preserve"> </w:t>
      </w:r>
      <w:r w:rsidRPr="00FE3F56">
        <w:rPr>
          <w:rFonts w:cs="Times New Roman"/>
          <w:color w:val="000000" w:themeColor="text1"/>
          <w:lang w:val="en-GB"/>
        </w:rPr>
        <w:t>different additional analyses: we run a mixed linear regression model, we run</w:t>
      </w:r>
      <w:r w:rsidR="001E612C" w:rsidRPr="00FE3F56">
        <w:rPr>
          <w:rFonts w:cs="Times New Roman"/>
          <w:color w:val="000000" w:themeColor="text1"/>
          <w:lang w:val="en-GB"/>
        </w:rPr>
        <w:t xml:space="preserve"> </w:t>
      </w:r>
      <w:r w:rsidRPr="00FE3F56">
        <w:rPr>
          <w:rFonts w:cs="Times New Roman"/>
          <w:color w:val="000000" w:themeColor="text1"/>
          <w:lang w:val="en-GB"/>
        </w:rPr>
        <w:t xml:space="preserve">the model without covariates, we tested a randomly selected subsample of the DIS-I respondents, and we used </w:t>
      </w:r>
      <w:r w:rsidRPr="00FE3F56">
        <w:rPr>
          <w:rFonts w:cs="Times New Roman"/>
          <w:color w:val="000000" w:themeColor="text1"/>
          <w:lang w:val="en-GB"/>
        </w:rPr>
        <w:lastRenderedPageBreak/>
        <w:t>data from the second wave of DIS (DIS-II) to control for the robustness of the donor identity variable.</w:t>
      </w:r>
    </w:p>
    <w:p w14:paraId="094304F5" w14:textId="771ADD21" w:rsidR="00901C90" w:rsidRPr="00FE3F56" w:rsidRDefault="003457D3">
      <w:pPr>
        <w:pStyle w:val="Heading2"/>
        <w:rPr>
          <w:rFonts w:cs="Times New Roman"/>
          <w:lang w:val="en-GB"/>
        </w:rPr>
      </w:pPr>
      <w:r w:rsidRPr="003457D3">
        <w:rPr>
          <w:rStyle w:val="Heading1Char"/>
          <w:bCs/>
        </w:rPr>
        <w:t>3.</w:t>
      </w:r>
      <w:r w:rsidR="00A34875" w:rsidRPr="003457D3">
        <w:rPr>
          <w:rStyle w:val="Heading1Char"/>
          <w:bCs/>
        </w:rPr>
        <w:t>Results</w:t>
      </w:r>
      <w:r w:rsidR="00A34875">
        <w:br/>
      </w:r>
      <w:r w:rsidRPr="003457D3">
        <w:rPr>
          <w:rFonts w:cs="Times New Roman"/>
          <w:b w:val="0"/>
          <w:bCs/>
          <w:i/>
          <w:iCs/>
          <w:lang w:val="en-GB"/>
        </w:rPr>
        <w:t>3.1.</w:t>
      </w:r>
      <w:r w:rsidR="00A34875" w:rsidRPr="003457D3">
        <w:rPr>
          <w:rFonts w:cs="Times New Roman"/>
          <w:b w:val="0"/>
          <w:bCs/>
          <w:i/>
          <w:iCs/>
          <w:lang w:val="en-GB"/>
        </w:rPr>
        <w:t>Descriptive Statistics</w:t>
      </w:r>
    </w:p>
    <w:p w14:paraId="094304F6" w14:textId="236244D6" w:rsidR="00901C90" w:rsidRPr="00FE3F56" w:rsidRDefault="00A34875">
      <w:pPr>
        <w:rPr>
          <w:rFonts w:cs="Times New Roman"/>
          <w:color w:val="000000" w:themeColor="text1"/>
          <w:lang w:val="en-GB"/>
        </w:rPr>
      </w:pPr>
      <w:r w:rsidRPr="00FE3F56">
        <w:rPr>
          <w:rFonts w:cs="Times New Roman"/>
          <w:color w:val="000000" w:themeColor="text1"/>
          <w:lang w:val="en-GB"/>
        </w:rPr>
        <w:t>With reference to the distribution of the Dutch blood donors in blood donor families, 37.7% of the respondents in the DIS-I survey were members of a blood donor family. More precisely, 36</w:t>
      </w:r>
      <w:r w:rsidR="001E612C" w:rsidRPr="00FE3F56">
        <w:rPr>
          <w:rFonts w:cs="Times New Roman"/>
          <w:color w:val="000000" w:themeColor="text1"/>
          <w:lang w:val="en-GB"/>
        </w:rPr>
        <w:t>.0</w:t>
      </w:r>
      <w:r w:rsidRPr="00FE3F56">
        <w:rPr>
          <w:rFonts w:cs="Times New Roman"/>
          <w:color w:val="000000" w:themeColor="text1"/>
          <w:lang w:val="en-GB"/>
        </w:rPr>
        <w:t xml:space="preserve">% of the respondents were members of a 2-generations blood donor family, and 1.7% of the respondents were members of a 3-generations family. As can be observed in Figure 2, 62.3% of the respondents had neither parents nor children that were blood donors. </w:t>
      </w:r>
    </w:p>
    <w:p w14:paraId="094304F8" w14:textId="4848B51E" w:rsidR="00901C90" w:rsidRPr="003457D3" w:rsidRDefault="00A34875" w:rsidP="003457D3">
      <w:pPr>
        <w:spacing w:after="0" w:line="240" w:lineRule="auto"/>
        <w:rPr>
          <w:rFonts w:cs="Times New Roman"/>
          <w:color w:val="000000" w:themeColor="text1"/>
          <w:lang w:val="en-GB"/>
        </w:rPr>
      </w:pPr>
      <w:r w:rsidRPr="003457D3">
        <w:rPr>
          <w:rFonts w:cs="Times New Roman"/>
          <w:color w:val="000000" w:themeColor="text1"/>
          <w:lang w:val="en-GB"/>
        </w:rPr>
        <w:t>Figure 2</w:t>
      </w:r>
      <w:r w:rsidR="003457D3" w:rsidRPr="003457D3">
        <w:rPr>
          <w:rFonts w:cs="Times New Roman"/>
          <w:color w:val="000000" w:themeColor="text1"/>
          <w:lang w:val="en-GB"/>
        </w:rPr>
        <w:t xml:space="preserve">. </w:t>
      </w:r>
      <w:r w:rsidRPr="003457D3">
        <w:rPr>
          <w:rFonts w:cs="Times New Roman"/>
          <w:color w:val="000000" w:themeColor="text1"/>
          <w:lang w:val="en-GB"/>
        </w:rPr>
        <w:t>DIS key respondents and their donor family network</w:t>
      </w:r>
    </w:p>
    <w:p w14:paraId="094304F9" w14:textId="77777777" w:rsidR="00901C90" w:rsidRPr="00FE3F56" w:rsidRDefault="00A34875">
      <w:pPr>
        <w:rPr>
          <w:rFonts w:cs="Times New Roman"/>
          <w:color w:val="000000" w:themeColor="text1"/>
          <w:lang w:val="en-GB"/>
        </w:rPr>
      </w:pPr>
      <w:r w:rsidRPr="00FE3F56">
        <w:rPr>
          <w:rFonts w:cs="Times New Roman"/>
          <w:noProof/>
          <w:color w:val="000000" w:themeColor="text1"/>
        </w:rPr>
        <w:drawing>
          <wp:inline distT="0" distB="0" distL="0" distR="0" wp14:anchorId="0943089B" wp14:editId="79626043">
            <wp:extent cx="5540188" cy="3117591"/>
            <wp:effectExtent l="0" t="0" r="3810" b="6985"/>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hape&#10;&#10;Description automatically generated"/>
                    <pic:cNvPicPr>
                      <a:picLocks noChangeAspect="1" noChangeArrowheads="1"/>
                    </pic:cNvPicPr>
                  </pic:nvPicPr>
                  <pic:blipFill>
                    <a:blip r:embed="rId8"/>
                    <a:stretch>
                      <a:fillRect/>
                    </a:stretch>
                  </pic:blipFill>
                  <pic:spPr bwMode="auto">
                    <a:xfrm>
                      <a:off x="0" y="0"/>
                      <a:ext cx="5595527" cy="3148732"/>
                    </a:xfrm>
                    <a:prstGeom prst="rect">
                      <a:avLst/>
                    </a:prstGeom>
                  </pic:spPr>
                </pic:pic>
              </a:graphicData>
            </a:graphic>
          </wp:inline>
        </w:drawing>
      </w:r>
    </w:p>
    <w:p w14:paraId="094304FA" w14:textId="77777777" w:rsidR="00901C90" w:rsidRPr="00FE3F56" w:rsidRDefault="00901C90">
      <w:pPr>
        <w:spacing w:after="0"/>
        <w:rPr>
          <w:rFonts w:cs="Times New Roman"/>
          <w:b/>
          <w:bCs/>
          <w:color w:val="000000" w:themeColor="text1"/>
          <w:lang w:val="en-GB"/>
        </w:rPr>
      </w:pPr>
    </w:p>
    <w:p w14:paraId="094304FB" w14:textId="77777777" w:rsidR="00901C90" w:rsidRPr="00FE3F56" w:rsidRDefault="00A34875">
      <w:pPr>
        <w:rPr>
          <w:rFonts w:cs="Times New Roman"/>
          <w:color w:val="000000" w:themeColor="text1"/>
          <w:lang w:val="en-GB"/>
        </w:rPr>
      </w:pPr>
      <w:r w:rsidRPr="00FE3F56">
        <w:rPr>
          <w:rFonts w:cs="Times New Roman"/>
          <w:color w:val="000000" w:themeColor="text1"/>
          <w:lang w:val="en-GB"/>
        </w:rPr>
        <w:t xml:space="preserve">Out of the 23,037 children, in our analysis, all aged 18+, 12.4% became blood donors themselves. Table 1 contains the descriptive statistics of their parent's characteristics. In Table 2 the correlation coefficients of the main independent variables and the dependent variable can be observed. </w:t>
      </w:r>
    </w:p>
    <w:p w14:paraId="094304FC" w14:textId="77777777" w:rsidR="00901C90" w:rsidRPr="00FE3F56" w:rsidRDefault="00901C90">
      <w:pPr>
        <w:spacing w:after="0"/>
        <w:rPr>
          <w:rFonts w:cs="Times New Roman"/>
          <w:b/>
          <w:bCs/>
          <w:color w:val="000000" w:themeColor="text1"/>
          <w:lang w:val="en-GB"/>
        </w:rPr>
      </w:pPr>
    </w:p>
    <w:p w14:paraId="094304FE" w14:textId="121D92DD" w:rsidR="00901C90" w:rsidRPr="003457D3" w:rsidRDefault="00A34875" w:rsidP="003457D3">
      <w:pPr>
        <w:spacing w:after="0" w:line="240" w:lineRule="auto"/>
        <w:rPr>
          <w:rFonts w:cs="Times New Roman"/>
          <w:color w:val="000000" w:themeColor="text1"/>
          <w:lang w:val="en-GB"/>
        </w:rPr>
      </w:pPr>
      <w:r w:rsidRPr="003457D3">
        <w:rPr>
          <w:rFonts w:cs="Times New Roman"/>
          <w:color w:val="000000" w:themeColor="text1"/>
          <w:lang w:val="en-GB"/>
        </w:rPr>
        <w:t>Table 1</w:t>
      </w:r>
      <w:r w:rsidR="003457D3" w:rsidRPr="003457D3">
        <w:rPr>
          <w:rFonts w:cs="Times New Roman"/>
          <w:color w:val="000000" w:themeColor="text1"/>
          <w:lang w:val="en-GB"/>
        </w:rPr>
        <w:t xml:space="preserve">. </w:t>
      </w:r>
      <w:r w:rsidRPr="003457D3">
        <w:rPr>
          <w:rFonts w:cs="Times New Roman"/>
          <w:color w:val="000000" w:themeColor="text1"/>
          <w:lang w:val="en-GB"/>
        </w:rPr>
        <w:t>Descriptive statistics of study measures</w:t>
      </w:r>
    </w:p>
    <w:tbl>
      <w:tblPr>
        <w:tblStyle w:val="TableGrid"/>
        <w:tblW w:w="8926" w:type="dxa"/>
        <w:tblLayout w:type="fixed"/>
        <w:tblLook w:val="04A0" w:firstRow="1" w:lastRow="0" w:firstColumn="1" w:lastColumn="0" w:noHBand="0" w:noVBand="1"/>
      </w:tblPr>
      <w:tblGrid>
        <w:gridCol w:w="7088"/>
        <w:gridCol w:w="1838"/>
      </w:tblGrid>
      <w:tr w:rsidR="00FE3F56" w:rsidRPr="00FE3F56" w14:paraId="09430501" w14:textId="77777777" w:rsidTr="00350CED">
        <w:tc>
          <w:tcPr>
            <w:tcW w:w="7088" w:type="dxa"/>
            <w:tcBorders>
              <w:left w:val="nil"/>
              <w:right w:val="nil"/>
            </w:tcBorders>
            <w:vAlign w:val="center"/>
          </w:tcPr>
          <w:p w14:paraId="094304FF" w14:textId="77777777" w:rsidR="00901C90" w:rsidRPr="00FE3F56" w:rsidRDefault="00A34875">
            <w:pPr>
              <w:widowControl w:val="0"/>
              <w:tabs>
                <w:tab w:val="center" w:pos="3504"/>
              </w:tabs>
              <w:suppressAutoHyphens w:val="0"/>
              <w:spacing w:line="276" w:lineRule="auto"/>
              <w:jc w:val="center"/>
              <w:rPr>
                <w:rFonts w:cs="Times New Roman"/>
                <w:color w:val="000000" w:themeColor="text1"/>
                <w:lang w:val="en-GB"/>
              </w:rPr>
            </w:pPr>
            <w:r w:rsidRPr="00FE3F56">
              <w:rPr>
                <w:rFonts w:eastAsia="Calibri" w:cs="Times New Roman"/>
                <w:color w:val="000000" w:themeColor="text1"/>
                <w:lang w:val="en-GB"/>
              </w:rPr>
              <w:t>Parent characteristic</w:t>
            </w:r>
          </w:p>
        </w:tc>
        <w:tc>
          <w:tcPr>
            <w:tcW w:w="1838" w:type="dxa"/>
            <w:tcBorders>
              <w:left w:val="nil"/>
              <w:right w:val="nil"/>
            </w:tcBorders>
            <w:vAlign w:val="center"/>
          </w:tcPr>
          <w:p w14:paraId="09430500" w14:textId="16CACDA8" w:rsidR="00901C90" w:rsidRPr="00FE3F56" w:rsidRDefault="00A34875">
            <w:pPr>
              <w:widowControl w:val="0"/>
              <w:suppressAutoHyphens w:val="0"/>
              <w:spacing w:line="276" w:lineRule="auto"/>
              <w:jc w:val="left"/>
              <w:rPr>
                <w:rFonts w:cs="Times New Roman"/>
                <w:color w:val="000000" w:themeColor="text1"/>
                <w:lang w:val="en-GB"/>
              </w:rPr>
            </w:pPr>
            <w:r w:rsidRPr="00FE3F56">
              <w:rPr>
                <w:rFonts w:eastAsia="Calibri" w:cs="Times New Roman"/>
                <w:color w:val="000000" w:themeColor="text1"/>
                <w:lang w:val="en-GB"/>
              </w:rPr>
              <w:t>Description (N=23</w:t>
            </w:r>
            <w:r w:rsidR="00350CED" w:rsidRPr="00FE3F56">
              <w:rPr>
                <w:rFonts w:eastAsia="Calibri" w:cs="Times New Roman"/>
                <w:color w:val="000000" w:themeColor="text1"/>
                <w:lang w:val="en-GB"/>
              </w:rPr>
              <w:t>,</w:t>
            </w:r>
            <w:r w:rsidRPr="00FE3F56">
              <w:rPr>
                <w:rFonts w:eastAsia="Calibri" w:cs="Times New Roman"/>
                <w:color w:val="000000" w:themeColor="text1"/>
                <w:lang w:val="en-GB"/>
              </w:rPr>
              <w:t>037)</w:t>
            </w:r>
          </w:p>
        </w:tc>
      </w:tr>
      <w:tr w:rsidR="00FE3F56" w:rsidRPr="00FE3F56" w14:paraId="0943050D" w14:textId="77777777" w:rsidTr="00350CED">
        <w:tc>
          <w:tcPr>
            <w:tcW w:w="7088" w:type="dxa"/>
            <w:tcBorders>
              <w:top w:val="nil"/>
              <w:left w:val="nil"/>
              <w:bottom w:val="nil"/>
              <w:right w:val="nil"/>
            </w:tcBorders>
            <w:vAlign w:val="center"/>
          </w:tcPr>
          <w:p w14:paraId="0943050B"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Type of donor</w:t>
            </w:r>
          </w:p>
        </w:tc>
        <w:tc>
          <w:tcPr>
            <w:tcW w:w="1838" w:type="dxa"/>
            <w:tcBorders>
              <w:top w:val="nil"/>
              <w:left w:val="nil"/>
              <w:bottom w:val="nil"/>
              <w:right w:val="nil"/>
            </w:tcBorders>
            <w:vAlign w:val="center"/>
          </w:tcPr>
          <w:p w14:paraId="0943050C"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10" w14:textId="77777777" w:rsidTr="00350CED">
        <w:tc>
          <w:tcPr>
            <w:tcW w:w="7088" w:type="dxa"/>
            <w:tcBorders>
              <w:top w:val="nil"/>
              <w:left w:val="nil"/>
              <w:bottom w:val="nil"/>
              <w:right w:val="nil"/>
            </w:tcBorders>
            <w:vAlign w:val="center"/>
          </w:tcPr>
          <w:p w14:paraId="0943050E"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Whole-blood donor</w:t>
            </w:r>
          </w:p>
        </w:tc>
        <w:tc>
          <w:tcPr>
            <w:tcW w:w="1838" w:type="dxa"/>
            <w:tcBorders>
              <w:top w:val="nil"/>
              <w:left w:val="nil"/>
              <w:bottom w:val="nil"/>
              <w:right w:val="nil"/>
            </w:tcBorders>
            <w:vAlign w:val="center"/>
          </w:tcPr>
          <w:p w14:paraId="0943050F" w14:textId="5D8AF4D0"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18</w:t>
            </w:r>
            <w:r w:rsidR="00350CED" w:rsidRPr="00FE3F56">
              <w:rPr>
                <w:rFonts w:eastAsia="Calibri" w:cs="Times New Roman"/>
                <w:color w:val="000000" w:themeColor="text1"/>
                <w:lang w:val="en-GB"/>
              </w:rPr>
              <w:t>,</w:t>
            </w:r>
            <w:r w:rsidRPr="00FE3F56">
              <w:rPr>
                <w:rFonts w:eastAsia="Calibri" w:cs="Times New Roman"/>
                <w:color w:val="000000" w:themeColor="text1"/>
                <w:lang w:val="en-GB"/>
              </w:rPr>
              <w:t>104 (78.6%)</w:t>
            </w:r>
          </w:p>
        </w:tc>
      </w:tr>
      <w:tr w:rsidR="00FE3F56" w:rsidRPr="00FE3F56" w14:paraId="09430513" w14:textId="77777777" w:rsidTr="00350CED">
        <w:tc>
          <w:tcPr>
            <w:tcW w:w="7088" w:type="dxa"/>
            <w:tcBorders>
              <w:top w:val="nil"/>
              <w:left w:val="nil"/>
              <w:bottom w:val="nil"/>
              <w:right w:val="nil"/>
            </w:tcBorders>
            <w:vAlign w:val="center"/>
          </w:tcPr>
          <w:p w14:paraId="09430511"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Plasma donor</w:t>
            </w:r>
          </w:p>
        </w:tc>
        <w:tc>
          <w:tcPr>
            <w:tcW w:w="1838" w:type="dxa"/>
            <w:tcBorders>
              <w:top w:val="nil"/>
              <w:left w:val="nil"/>
              <w:bottom w:val="nil"/>
              <w:right w:val="nil"/>
            </w:tcBorders>
            <w:vAlign w:val="center"/>
          </w:tcPr>
          <w:p w14:paraId="09430512"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678 (2.9%)</w:t>
            </w:r>
          </w:p>
        </w:tc>
      </w:tr>
      <w:tr w:rsidR="00FE3F56" w:rsidRPr="00FE3F56" w14:paraId="09430516" w14:textId="77777777" w:rsidTr="00350CED">
        <w:tc>
          <w:tcPr>
            <w:tcW w:w="7088" w:type="dxa"/>
            <w:tcBorders>
              <w:top w:val="nil"/>
              <w:left w:val="nil"/>
              <w:bottom w:val="nil"/>
              <w:right w:val="nil"/>
            </w:tcBorders>
            <w:vAlign w:val="center"/>
          </w:tcPr>
          <w:p w14:paraId="09430514"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Whole-blood &amp; plasma donor</w:t>
            </w:r>
          </w:p>
        </w:tc>
        <w:tc>
          <w:tcPr>
            <w:tcW w:w="1838" w:type="dxa"/>
            <w:tcBorders>
              <w:top w:val="nil"/>
              <w:left w:val="nil"/>
              <w:bottom w:val="nil"/>
              <w:right w:val="nil"/>
            </w:tcBorders>
            <w:vAlign w:val="center"/>
          </w:tcPr>
          <w:p w14:paraId="09430515" w14:textId="36DEBF35"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4</w:t>
            </w:r>
            <w:r w:rsidR="00350CED" w:rsidRPr="00FE3F56">
              <w:rPr>
                <w:rFonts w:eastAsia="Calibri" w:cs="Times New Roman"/>
                <w:color w:val="000000" w:themeColor="text1"/>
                <w:lang w:val="en-GB"/>
              </w:rPr>
              <w:t>,</w:t>
            </w:r>
            <w:r w:rsidRPr="00FE3F56">
              <w:rPr>
                <w:rFonts w:eastAsia="Calibri" w:cs="Times New Roman"/>
                <w:color w:val="000000" w:themeColor="text1"/>
                <w:lang w:val="en-GB"/>
              </w:rPr>
              <w:t>255 (18.5%)</w:t>
            </w:r>
          </w:p>
        </w:tc>
      </w:tr>
      <w:tr w:rsidR="00FE3F56" w:rsidRPr="00FE3F56" w14:paraId="09430528" w14:textId="77777777" w:rsidTr="00350CED">
        <w:tc>
          <w:tcPr>
            <w:tcW w:w="7088" w:type="dxa"/>
            <w:tcBorders>
              <w:top w:val="nil"/>
              <w:left w:val="nil"/>
              <w:bottom w:val="nil"/>
              <w:right w:val="nil"/>
            </w:tcBorders>
            <w:vAlign w:val="center"/>
          </w:tcPr>
          <w:p w14:paraId="09430526"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Age</w:t>
            </w:r>
          </w:p>
        </w:tc>
        <w:tc>
          <w:tcPr>
            <w:tcW w:w="1838" w:type="dxa"/>
            <w:tcBorders>
              <w:top w:val="nil"/>
              <w:left w:val="nil"/>
              <w:bottom w:val="nil"/>
              <w:right w:val="nil"/>
            </w:tcBorders>
            <w:vAlign w:val="center"/>
          </w:tcPr>
          <w:p w14:paraId="09430527"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57 (±6.2)</w:t>
            </w:r>
          </w:p>
        </w:tc>
      </w:tr>
      <w:tr w:rsidR="00FE3F56" w:rsidRPr="00FE3F56" w14:paraId="0943052B" w14:textId="77777777" w:rsidTr="00350CED">
        <w:tc>
          <w:tcPr>
            <w:tcW w:w="7088" w:type="dxa"/>
            <w:tcBorders>
              <w:top w:val="nil"/>
              <w:left w:val="nil"/>
              <w:bottom w:val="nil"/>
              <w:right w:val="nil"/>
            </w:tcBorders>
            <w:vAlign w:val="center"/>
          </w:tcPr>
          <w:p w14:paraId="09430529"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Marital status</w:t>
            </w:r>
          </w:p>
        </w:tc>
        <w:tc>
          <w:tcPr>
            <w:tcW w:w="1838" w:type="dxa"/>
            <w:tcBorders>
              <w:top w:val="nil"/>
              <w:left w:val="nil"/>
              <w:bottom w:val="nil"/>
              <w:right w:val="nil"/>
            </w:tcBorders>
            <w:vAlign w:val="center"/>
          </w:tcPr>
          <w:p w14:paraId="0943052A"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2E" w14:textId="77777777" w:rsidTr="00350CED">
        <w:tc>
          <w:tcPr>
            <w:tcW w:w="7088" w:type="dxa"/>
            <w:tcBorders>
              <w:top w:val="nil"/>
              <w:left w:val="nil"/>
              <w:bottom w:val="nil"/>
              <w:right w:val="nil"/>
            </w:tcBorders>
            <w:vAlign w:val="center"/>
          </w:tcPr>
          <w:p w14:paraId="0943052C"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Married or in a registered partnership</w:t>
            </w:r>
          </w:p>
        </w:tc>
        <w:tc>
          <w:tcPr>
            <w:tcW w:w="1838" w:type="dxa"/>
            <w:tcBorders>
              <w:top w:val="nil"/>
              <w:left w:val="nil"/>
              <w:bottom w:val="nil"/>
              <w:right w:val="nil"/>
            </w:tcBorders>
            <w:vAlign w:val="center"/>
          </w:tcPr>
          <w:p w14:paraId="0943052D" w14:textId="50FE98D1"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20</w:t>
            </w:r>
            <w:r w:rsidR="00350CED" w:rsidRPr="00FE3F56">
              <w:rPr>
                <w:rFonts w:eastAsia="Calibri" w:cs="Times New Roman"/>
                <w:color w:val="000000" w:themeColor="text1"/>
                <w:lang w:val="en-GB"/>
              </w:rPr>
              <w:t>,</w:t>
            </w:r>
            <w:r w:rsidRPr="00FE3F56">
              <w:rPr>
                <w:rFonts w:eastAsia="Calibri" w:cs="Times New Roman"/>
                <w:color w:val="000000" w:themeColor="text1"/>
                <w:lang w:val="en-GB"/>
              </w:rPr>
              <w:t>483 (88.9%)</w:t>
            </w:r>
          </w:p>
        </w:tc>
      </w:tr>
      <w:tr w:rsidR="00FE3F56" w:rsidRPr="00FE3F56" w14:paraId="09430531" w14:textId="77777777" w:rsidTr="00350CED">
        <w:tc>
          <w:tcPr>
            <w:tcW w:w="7088" w:type="dxa"/>
            <w:tcBorders>
              <w:top w:val="nil"/>
              <w:left w:val="nil"/>
              <w:bottom w:val="nil"/>
              <w:right w:val="nil"/>
            </w:tcBorders>
            <w:vAlign w:val="center"/>
          </w:tcPr>
          <w:p w14:paraId="0943052F"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Other (widows, never married or divorced)</w:t>
            </w:r>
          </w:p>
        </w:tc>
        <w:tc>
          <w:tcPr>
            <w:tcW w:w="1838" w:type="dxa"/>
            <w:tcBorders>
              <w:top w:val="nil"/>
              <w:left w:val="nil"/>
              <w:bottom w:val="nil"/>
              <w:right w:val="nil"/>
            </w:tcBorders>
            <w:vAlign w:val="center"/>
          </w:tcPr>
          <w:p w14:paraId="09430530" w14:textId="5239706D"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w:t>
            </w:r>
            <w:r w:rsidR="00350CED" w:rsidRPr="00FE3F56">
              <w:rPr>
                <w:rFonts w:eastAsia="Calibri" w:cs="Times New Roman"/>
                <w:color w:val="000000" w:themeColor="text1"/>
                <w:lang w:val="en-GB"/>
              </w:rPr>
              <w:t>,</w:t>
            </w:r>
            <w:r w:rsidRPr="00FE3F56">
              <w:rPr>
                <w:rFonts w:eastAsia="Calibri" w:cs="Times New Roman"/>
                <w:color w:val="000000" w:themeColor="text1"/>
                <w:lang w:val="en-GB"/>
              </w:rPr>
              <w:t>554 (11.1%)</w:t>
            </w:r>
          </w:p>
        </w:tc>
      </w:tr>
      <w:tr w:rsidR="00FE3F56" w:rsidRPr="00FE3F56" w14:paraId="09430534" w14:textId="77777777" w:rsidTr="00350CED">
        <w:tc>
          <w:tcPr>
            <w:tcW w:w="7088" w:type="dxa"/>
            <w:tcBorders>
              <w:top w:val="nil"/>
              <w:left w:val="nil"/>
              <w:bottom w:val="nil"/>
              <w:right w:val="nil"/>
            </w:tcBorders>
            <w:vAlign w:val="center"/>
          </w:tcPr>
          <w:p w14:paraId="09430532"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Home situation</w:t>
            </w:r>
          </w:p>
        </w:tc>
        <w:tc>
          <w:tcPr>
            <w:tcW w:w="1838" w:type="dxa"/>
            <w:tcBorders>
              <w:top w:val="nil"/>
              <w:left w:val="nil"/>
              <w:bottom w:val="nil"/>
              <w:right w:val="nil"/>
            </w:tcBorders>
            <w:vAlign w:val="center"/>
          </w:tcPr>
          <w:p w14:paraId="09430533"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37" w14:textId="77777777" w:rsidTr="00350CED">
        <w:tc>
          <w:tcPr>
            <w:tcW w:w="7088" w:type="dxa"/>
            <w:tcBorders>
              <w:top w:val="nil"/>
              <w:left w:val="nil"/>
              <w:bottom w:val="nil"/>
              <w:right w:val="nil"/>
            </w:tcBorders>
            <w:vAlign w:val="center"/>
          </w:tcPr>
          <w:p w14:paraId="09430535"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Lives with his/her partner/husband/wife</w:t>
            </w:r>
          </w:p>
        </w:tc>
        <w:tc>
          <w:tcPr>
            <w:tcW w:w="1838" w:type="dxa"/>
            <w:tcBorders>
              <w:top w:val="nil"/>
              <w:left w:val="nil"/>
              <w:bottom w:val="nil"/>
              <w:right w:val="nil"/>
            </w:tcBorders>
            <w:vAlign w:val="center"/>
          </w:tcPr>
          <w:p w14:paraId="09430536" w14:textId="009AF206"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11</w:t>
            </w:r>
            <w:r w:rsidR="00350CED" w:rsidRPr="00FE3F56">
              <w:rPr>
                <w:rFonts w:eastAsia="Calibri" w:cs="Times New Roman"/>
                <w:color w:val="000000" w:themeColor="text1"/>
                <w:lang w:val="en-GB"/>
              </w:rPr>
              <w:t>,</w:t>
            </w:r>
            <w:r w:rsidRPr="00FE3F56">
              <w:rPr>
                <w:rFonts w:eastAsia="Calibri" w:cs="Times New Roman"/>
                <w:color w:val="000000" w:themeColor="text1"/>
                <w:lang w:val="en-GB"/>
              </w:rPr>
              <w:t>937 (51.8%)</w:t>
            </w:r>
          </w:p>
        </w:tc>
      </w:tr>
      <w:tr w:rsidR="00FE3F56" w:rsidRPr="00FE3F56" w14:paraId="0943053A" w14:textId="77777777" w:rsidTr="00350CED">
        <w:tc>
          <w:tcPr>
            <w:tcW w:w="7088" w:type="dxa"/>
            <w:tcBorders>
              <w:top w:val="nil"/>
              <w:left w:val="nil"/>
              <w:bottom w:val="nil"/>
              <w:right w:val="nil"/>
            </w:tcBorders>
            <w:vAlign w:val="center"/>
          </w:tcPr>
          <w:p w14:paraId="09430538"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Lives with his/her partner/husband/wife and children</w:t>
            </w:r>
          </w:p>
        </w:tc>
        <w:tc>
          <w:tcPr>
            <w:tcW w:w="1838" w:type="dxa"/>
            <w:tcBorders>
              <w:top w:val="nil"/>
              <w:left w:val="nil"/>
              <w:bottom w:val="nil"/>
              <w:right w:val="nil"/>
            </w:tcBorders>
            <w:vAlign w:val="center"/>
          </w:tcPr>
          <w:p w14:paraId="09430539" w14:textId="53437D49"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8</w:t>
            </w:r>
            <w:r w:rsidR="00350CED" w:rsidRPr="00FE3F56">
              <w:rPr>
                <w:rFonts w:eastAsia="Calibri" w:cs="Times New Roman"/>
                <w:color w:val="000000" w:themeColor="text1"/>
                <w:lang w:val="en-GB"/>
              </w:rPr>
              <w:t>,</w:t>
            </w:r>
            <w:r w:rsidRPr="00FE3F56">
              <w:rPr>
                <w:rFonts w:eastAsia="Calibri" w:cs="Times New Roman"/>
                <w:color w:val="000000" w:themeColor="text1"/>
                <w:lang w:val="en-GB"/>
              </w:rPr>
              <w:t>822 (38.3%)</w:t>
            </w:r>
          </w:p>
        </w:tc>
      </w:tr>
      <w:tr w:rsidR="00FE3F56" w:rsidRPr="00FE3F56" w14:paraId="0943053D" w14:textId="77777777" w:rsidTr="00350CED">
        <w:tc>
          <w:tcPr>
            <w:tcW w:w="7088" w:type="dxa"/>
            <w:tcBorders>
              <w:top w:val="nil"/>
              <w:left w:val="nil"/>
              <w:bottom w:val="nil"/>
              <w:right w:val="nil"/>
            </w:tcBorders>
            <w:vAlign w:val="center"/>
          </w:tcPr>
          <w:p w14:paraId="0943053B"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Other (e.g., lives alone or with friends)</w:t>
            </w:r>
          </w:p>
        </w:tc>
        <w:tc>
          <w:tcPr>
            <w:tcW w:w="1838" w:type="dxa"/>
            <w:tcBorders>
              <w:top w:val="nil"/>
              <w:left w:val="nil"/>
              <w:bottom w:val="nil"/>
              <w:right w:val="nil"/>
            </w:tcBorders>
            <w:vAlign w:val="center"/>
          </w:tcPr>
          <w:p w14:paraId="0943053C" w14:textId="5F2A40B2"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w:t>
            </w:r>
            <w:r w:rsidR="00350CED" w:rsidRPr="00FE3F56">
              <w:rPr>
                <w:rFonts w:eastAsia="Calibri" w:cs="Times New Roman"/>
                <w:color w:val="000000" w:themeColor="text1"/>
                <w:lang w:val="en-GB"/>
              </w:rPr>
              <w:t>,</w:t>
            </w:r>
            <w:r w:rsidRPr="00FE3F56">
              <w:rPr>
                <w:rFonts w:eastAsia="Calibri" w:cs="Times New Roman"/>
                <w:color w:val="000000" w:themeColor="text1"/>
                <w:lang w:val="en-GB"/>
              </w:rPr>
              <w:t>278 (9.9%)</w:t>
            </w:r>
          </w:p>
        </w:tc>
      </w:tr>
      <w:tr w:rsidR="00FE3F56" w:rsidRPr="00FE3F56" w14:paraId="09430540" w14:textId="77777777" w:rsidTr="00350CED">
        <w:tc>
          <w:tcPr>
            <w:tcW w:w="7088" w:type="dxa"/>
            <w:tcBorders>
              <w:top w:val="nil"/>
              <w:left w:val="nil"/>
              <w:bottom w:val="nil"/>
              <w:right w:val="nil"/>
            </w:tcBorders>
            <w:vAlign w:val="center"/>
          </w:tcPr>
          <w:p w14:paraId="0943053E"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Highest level of education achieved</w:t>
            </w:r>
          </w:p>
        </w:tc>
        <w:tc>
          <w:tcPr>
            <w:tcW w:w="1838" w:type="dxa"/>
            <w:tcBorders>
              <w:top w:val="nil"/>
              <w:left w:val="nil"/>
              <w:bottom w:val="nil"/>
              <w:right w:val="nil"/>
            </w:tcBorders>
            <w:vAlign w:val="center"/>
          </w:tcPr>
          <w:p w14:paraId="0943053F"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43" w14:textId="77777777" w:rsidTr="00350CED">
        <w:tc>
          <w:tcPr>
            <w:tcW w:w="7088" w:type="dxa"/>
            <w:tcBorders>
              <w:top w:val="nil"/>
              <w:left w:val="nil"/>
              <w:bottom w:val="nil"/>
              <w:right w:val="nil"/>
            </w:tcBorders>
            <w:vAlign w:val="center"/>
          </w:tcPr>
          <w:p w14:paraId="09430541"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None or primary school</w:t>
            </w:r>
          </w:p>
        </w:tc>
        <w:tc>
          <w:tcPr>
            <w:tcW w:w="1838" w:type="dxa"/>
            <w:tcBorders>
              <w:top w:val="nil"/>
              <w:left w:val="nil"/>
              <w:bottom w:val="nil"/>
              <w:right w:val="nil"/>
            </w:tcBorders>
            <w:vAlign w:val="center"/>
          </w:tcPr>
          <w:p w14:paraId="09430542"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954 (4.1%)</w:t>
            </w:r>
          </w:p>
        </w:tc>
      </w:tr>
      <w:tr w:rsidR="00FE3F56" w:rsidRPr="00FE3F56" w14:paraId="09430546" w14:textId="77777777" w:rsidTr="00350CED">
        <w:tc>
          <w:tcPr>
            <w:tcW w:w="7088" w:type="dxa"/>
            <w:tcBorders>
              <w:top w:val="nil"/>
              <w:left w:val="nil"/>
              <w:bottom w:val="nil"/>
              <w:right w:val="nil"/>
            </w:tcBorders>
            <w:vAlign w:val="center"/>
          </w:tcPr>
          <w:p w14:paraId="09430544"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Lower vocational education</w:t>
            </w:r>
          </w:p>
        </w:tc>
        <w:tc>
          <w:tcPr>
            <w:tcW w:w="1838" w:type="dxa"/>
            <w:tcBorders>
              <w:top w:val="nil"/>
              <w:left w:val="nil"/>
              <w:bottom w:val="nil"/>
              <w:right w:val="nil"/>
            </w:tcBorders>
            <w:vAlign w:val="center"/>
          </w:tcPr>
          <w:p w14:paraId="09430545" w14:textId="7300D689"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4</w:t>
            </w:r>
            <w:r w:rsidR="00350CED" w:rsidRPr="00FE3F56">
              <w:rPr>
                <w:rFonts w:eastAsia="Calibri" w:cs="Times New Roman"/>
                <w:color w:val="000000" w:themeColor="text1"/>
                <w:lang w:val="en-GB"/>
              </w:rPr>
              <w:t>,</w:t>
            </w:r>
            <w:r w:rsidRPr="00FE3F56">
              <w:rPr>
                <w:rFonts w:eastAsia="Calibri" w:cs="Times New Roman"/>
                <w:color w:val="000000" w:themeColor="text1"/>
                <w:lang w:val="en-GB"/>
              </w:rPr>
              <w:t>504 (19.6%)</w:t>
            </w:r>
          </w:p>
        </w:tc>
      </w:tr>
      <w:tr w:rsidR="00FE3F56" w:rsidRPr="00FE3F56" w14:paraId="09430549" w14:textId="77777777" w:rsidTr="00350CED">
        <w:tc>
          <w:tcPr>
            <w:tcW w:w="7088" w:type="dxa"/>
            <w:tcBorders>
              <w:top w:val="nil"/>
              <w:left w:val="nil"/>
              <w:bottom w:val="nil"/>
              <w:right w:val="nil"/>
            </w:tcBorders>
            <w:vAlign w:val="center"/>
          </w:tcPr>
          <w:p w14:paraId="09430547"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Secondary education</w:t>
            </w:r>
          </w:p>
        </w:tc>
        <w:tc>
          <w:tcPr>
            <w:tcW w:w="1838" w:type="dxa"/>
            <w:tcBorders>
              <w:top w:val="nil"/>
              <w:left w:val="nil"/>
              <w:bottom w:val="nil"/>
              <w:right w:val="nil"/>
            </w:tcBorders>
            <w:vAlign w:val="center"/>
          </w:tcPr>
          <w:p w14:paraId="09430548" w14:textId="023338DD"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4</w:t>
            </w:r>
            <w:r w:rsidR="00350CED" w:rsidRPr="00FE3F56">
              <w:rPr>
                <w:rFonts w:eastAsia="Calibri" w:cs="Times New Roman"/>
                <w:color w:val="000000" w:themeColor="text1"/>
                <w:lang w:val="en-GB"/>
              </w:rPr>
              <w:t>,</w:t>
            </w:r>
            <w:r w:rsidRPr="00FE3F56">
              <w:rPr>
                <w:rFonts w:eastAsia="Calibri" w:cs="Times New Roman"/>
                <w:color w:val="000000" w:themeColor="text1"/>
                <w:lang w:val="en-GB"/>
              </w:rPr>
              <w:t>293 (18.6%)</w:t>
            </w:r>
          </w:p>
        </w:tc>
      </w:tr>
      <w:tr w:rsidR="00FE3F56" w:rsidRPr="00FE3F56" w14:paraId="0943054C" w14:textId="77777777" w:rsidTr="00350CED">
        <w:tc>
          <w:tcPr>
            <w:tcW w:w="7088" w:type="dxa"/>
            <w:tcBorders>
              <w:top w:val="nil"/>
              <w:left w:val="nil"/>
              <w:bottom w:val="nil"/>
              <w:right w:val="nil"/>
            </w:tcBorders>
            <w:vAlign w:val="center"/>
          </w:tcPr>
          <w:p w14:paraId="0943054A"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Secondary vocational education</w:t>
            </w:r>
          </w:p>
        </w:tc>
        <w:tc>
          <w:tcPr>
            <w:tcW w:w="1838" w:type="dxa"/>
            <w:tcBorders>
              <w:top w:val="nil"/>
              <w:left w:val="nil"/>
              <w:bottom w:val="nil"/>
              <w:right w:val="nil"/>
            </w:tcBorders>
            <w:vAlign w:val="center"/>
          </w:tcPr>
          <w:p w14:paraId="0943054B" w14:textId="021929C4"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5</w:t>
            </w:r>
            <w:r w:rsidR="00350CED" w:rsidRPr="00FE3F56">
              <w:rPr>
                <w:rFonts w:eastAsia="Calibri" w:cs="Times New Roman"/>
                <w:color w:val="000000" w:themeColor="text1"/>
                <w:lang w:val="en-GB"/>
              </w:rPr>
              <w:t>,</w:t>
            </w:r>
            <w:r w:rsidRPr="00FE3F56">
              <w:rPr>
                <w:rFonts w:eastAsia="Calibri" w:cs="Times New Roman"/>
                <w:color w:val="000000" w:themeColor="text1"/>
                <w:lang w:val="en-GB"/>
              </w:rPr>
              <w:t>022 (21.8%)</w:t>
            </w:r>
          </w:p>
        </w:tc>
      </w:tr>
      <w:tr w:rsidR="00FE3F56" w:rsidRPr="00FE3F56" w14:paraId="0943054F" w14:textId="77777777" w:rsidTr="00350CED">
        <w:tc>
          <w:tcPr>
            <w:tcW w:w="7088" w:type="dxa"/>
            <w:tcBorders>
              <w:top w:val="nil"/>
              <w:left w:val="nil"/>
              <w:bottom w:val="nil"/>
              <w:right w:val="nil"/>
            </w:tcBorders>
            <w:vAlign w:val="center"/>
          </w:tcPr>
          <w:p w14:paraId="0943054D"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Higher secondary education</w:t>
            </w:r>
          </w:p>
        </w:tc>
        <w:tc>
          <w:tcPr>
            <w:tcW w:w="1838" w:type="dxa"/>
            <w:tcBorders>
              <w:top w:val="nil"/>
              <w:left w:val="nil"/>
              <w:bottom w:val="nil"/>
              <w:right w:val="nil"/>
            </w:tcBorders>
            <w:vAlign w:val="center"/>
          </w:tcPr>
          <w:p w14:paraId="0943054E" w14:textId="1A63EF84"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w:t>
            </w:r>
            <w:r w:rsidR="00350CED" w:rsidRPr="00FE3F56">
              <w:rPr>
                <w:rFonts w:eastAsia="Calibri" w:cs="Times New Roman"/>
                <w:color w:val="000000" w:themeColor="text1"/>
                <w:lang w:val="en-GB"/>
              </w:rPr>
              <w:t>,</w:t>
            </w:r>
            <w:r w:rsidRPr="00FE3F56">
              <w:rPr>
                <w:rFonts w:eastAsia="Calibri" w:cs="Times New Roman"/>
                <w:color w:val="000000" w:themeColor="text1"/>
                <w:lang w:val="en-GB"/>
              </w:rPr>
              <w:t>689 (7.3%)</w:t>
            </w:r>
          </w:p>
        </w:tc>
      </w:tr>
      <w:tr w:rsidR="00FE3F56" w:rsidRPr="00FE3F56" w14:paraId="09430552" w14:textId="77777777" w:rsidTr="00350CED">
        <w:tc>
          <w:tcPr>
            <w:tcW w:w="7088" w:type="dxa"/>
            <w:tcBorders>
              <w:top w:val="nil"/>
              <w:left w:val="nil"/>
              <w:bottom w:val="nil"/>
              <w:right w:val="nil"/>
            </w:tcBorders>
            <w:vAlign w:val="center"/>
          </w:tcPr>
          <w:p w14:paraId="09430550"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Higher vocational education</w:t>
            </w:r>
          </w:p>
        </w:tc>
        <w:tc>
          <w:tcPr>
            <w:tcW w:w="1838" w:type="dxa"/>
            <w:tcBorders>
              <w:top w:val="nil"/>
              <w:left w:val="nil"/>
              <w:bottom w:val="nil"/>
              <w:right w:val="nil"/>
            </w:tcBorders>
            <w:vAlign w:val="center"/>
          </w:tcPr>
          <w:p w14:paraId="09430551" w14:textId="06E864FB"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5</w:t>
            </w:r>
            <w:r w:rsidR="00350CED" w:rsidRPr="00FE3F56">
              <w:rPr>
                <w:rFonts w:eastAsia="Calibri" w:cs="Times New Roman"/>
                <w:color w:val="000000" w:themeColor="text1"/>
                <w:lang w:val="en-GB"/>
              </w:rPr>
              <w:t>,</w:t>
            </w:r>
            <w:r w:rsidRPr="00FE3F56">
              <w:rPr>
                <w:rFonts w:eastAsia="Calibri" w:cs="Times New Roman"/>
                <w:color w:val="000000" w:themeColor="text1"/>
                <w:lang w:val="en-GB"/>
              </w:rPr>
              <w:t>196 (22.6%)</w:t>
            </w:r>
          </w:p>
        </w:tc>
      </w:tr>
      <w:tr w:rsidR="00FE3F56" w:rsidRPr="00FE3F56" w14:paraId="09430555" w14:textId="77777777" w:rsidTr="00350CED">
        <w:tc>
          <w:tcPr>
            <w:tcW w:w="7088" w:type="dxa"/>
            <w:tcBorders>
              <w:top w:val="nil"/>
              <w:left w:val="nil"/>
              <w:bottom w:val="nil"/>
              <w:right w:val="nil"/>
            </w:tcBorders>
            <w:vAlign w:val="center"/>
          </w:tcPr>
          <w:p w14:paraId="09430553"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University</w:t>
            </w:r>
          </w:p>
        </w:tc>
        <w:tc>
          <w:tcPr>
            <w:tcW w:w="1838" w:type="dxa"/>
            <w:tcBorders>
              <w:top w:val="nil"/>
              <w:left w:val="nil"/>
              <w:bottom w:val="nil"/>
              <w:right w:val="nil"/>
            </w:tcBorders>
            <w:vAlign w:val="center"/>
          </w:tcPr>
          <w:p w14:paraId="09430554" w14:textId="1C76AEB9"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w:t>
            </w:r>
            <w:r w:rsidR="00350CED" w:rsidRPr="00FE3F56">
              <w:rPr>
                <w:rFonts w:eastAsia="Calibri" w:cs="Times New Roman"/>
                <w:color w:val="000000" w:themeColor="text1"/>
                <w:lang w:val="en-GB"/>
              </w:rPr>
              <w:t>,</w:t>
            </w:r>
            <w:r w:rsidRPr="00FE3F56">
              <w:rPr>
                <w:rFonts w:eastAsia="Calibri" w:cs="Times New Roman"/>
                <w:color w:val="000000" w:themeColor="text1"/>
                <w:lang w:val="en-GB"/>
              </w:rPr>
              <w:t>379 (6%)</w:t>
            </w:r>
          </w:p>
        </w:tc>
      </w:tr>
      <w:tr w:rsidR="00FE3F56" w:rsidRPr="00FE3F56" w14:paraId="09430558" w14:textId="77777777" w:rsidTr="00350CED">
        <w:tc>
          <w:tcPr>
            <w:tcW w:w="7088" w:type="dxa"/>
            <w:tcBorders>
              <w:top w:val="nil"/>
              <w:left w:val="nil"/>
              <w:bottom w:val="nil"/>
              <w:right w:val="nil"/>
            </w:tcBorders>
            <w:vAlign w:val="center"/>
          </w:tcPr>
          <w:p w14:paraId="09430556"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Paid employment</w:t>
            </w:r>
          </w:p>
        </w:tc>
        <w:tc>
          <w:tcPr>
            <w:tcW w:w="1838" w:type="dxa"/>
            <w:tcBorders>
              <w:top w:val="nil"/>
              <w:left w:val="nil"/>
              <w:bottom w:val="nil"/>
              <w:right w:val="nil"/>
            </w:tcBorders>
            <w:vAlign w:val="center"/>
          </w:tcPr>
          <w:p w14:paraId="09430557"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5B" w14:textId="77777777" w:rsidTr="00350CED">
        <w:tc>
          <w:tcPr>
            <w:tcW w:w="7088" w:type="dxa"/>
            <w:tcBorders>
              <w:top w:val="nil"/>
              <w:left w:val="nil"/>
              <w:bottom w:val="nil"/>
              <w:right w:val="nil"/>
            </w:tcBorders>
            <w:vAlign w:val="center"/>
          </w:tcPr>
          <w:p w14:paraId="09430559"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Yes</w:t>
            </w:r>
          </w:p>
        </w:tc>
        <w:tc>
          <w:tcPr>
            <w:tcW w:w="1838" w:type="dxa"/>
            <w:tcBorders>
              <w:top w:val="nil"/>
              <w:left w:val="nil"/>
              <w:bottom w:val="nil"/>
              <w:right w:val="nil"/>
            </w:tcBorders>
            <w:vAlign w:val="center"/>
          </w:tcPr>
          <w:p w14:paraId="0943055A" w14:textId="10199FB5"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16</w:t>
            </w:r>
            <w:r w:rsidR="00350CED" w:rsidRPr="00FE3F56">
              <w:rPr>
                <w:rFonts w:eastAsia="Calibri" w:cs="Times New Roman"/>
                <w:color w:val="000000" w:themeColor="text1"/>
                <w:lang w:val="en-GB"/>
              </w:rPr>
              <w:t>,</w:t>
            </w:r>
            <w:r w:rsidRPr="00FE3F56">
              <w:rPr>
                <w:rFonts w:eastAsia="Calibri" w:cs="Times New Roman"/>
                <w:color w:val="000000" w:themeColor="text1"/>
                <w:lang w:val="en-GB"/>
              </w:rPr>
              <w:t>396 (71.2%)</w:t>
            </w:r>
          </w:p>
        </w:tc>
      </w:tr>
      <w:tr w:rsidR="00FE3F56" w:rsidRPr="00FE3F56" w14:paraId="0943055E" w14:textId="77777777" w:rsidTr="00350CED">
        <w:tc>
          <w:tcPr>
            <w:tcW w:w="7088" w:type="dxa"/>
            <w:tcBorders>
              <w:top w:val="nil"/>
              <w:left w:val="nil"/>
              <w:bottom w:val="nil"/>
              <w:right w:val="nil"/>
            </w:tcBorders>
            <w:vAlign w:val="center"/>
          </w:tcPr>
          <w:p w14:paraId="0943055C"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No</w:t>
            </w:r>
          </w:p>
        </w:tc>
        <w:tc>
          <w:tcPr>
            <w:tcW w:w="1838" w:type="dxa"/>
            <w:tcBorders>
              <w:top w:val="nil"/>
              <w:left w:val="nil"/>
              <w:bottom w:val="nil"/>
              <w:right w:val="nil"/>
            </w:tcBorders>
            <w:vAlign w:val="center"/>
          </w:tcPr>
          <w:p w14:paraId="0943055D" w14:textId="4210A25E"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6</w:t>
            </w:r>
            <w:r w:rsidR="00350CED" w:rsidRPr="00FE3F56">
              <w:rPr>
                <w:rFonts w:eastAsia="Calibri" w:cs="Times New Roman"/>
                <w:color w:val="000000" w:themeColor="text1"/>
                <w:lang w:val="en-GB"/>
              </w:rPr>
              <w:t>,</w:t>
            </w:r>
            <w:r w:rsidRPr="00FE3F56">
              <w:rPr>
                <w:rFonts w:eastAsia="Calibri" w:cs="Times New Roman"/>
                <w:color w:val="000000" w:themeColor="text1"/>
                <w:lang w:val="en-GB"/>
              </w:rPr>
              <w:t>641 (28.8%)</w:t>
            </w:r>
          </w:p>
        </w:tc>
      </w:tr>
      <w:tr w:rsidR="00FE3F56" w:rsidRPr="00FE3F56" w14:paraId="09430561" w14:textId="77777777" w:rsidTr="00350CED">
        <w:tc>
          <w:tcPr>
            <w:tcW w:w="7088" w:type="dxa"/>
            <w:tcBorders>
              <w:top w:val="nil"/>
              <w:left w:val="nil"/>
              <w:bottom w:val="nil"/>
              <w:right w:val="nil"/>
            </w:tcBorders>
            <w:vAlign w:val="center"/>
          </w:tcPr>
          <w:p w14:paraId="0943055F"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Housing status</w:t>
            </w:r>
          </w:p>
        </w:tc>
        <w:tc>
          <w:tcPr>
            <w:tcW w:w="1838" w:type="dxa"/>
            <w:tcBorders>
              <w:top w:val="nil"/>
              <w:left w:val="nil"/>
              <w:bottom w:val="nil"/>
              <w:right w:val="nil"/>
            </w:tcBorders>
            <w:vAlign w:val="center"/>
          </w:tcPr>
          <w:p w14:paraId="09430560"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64" w14:textId="77777777" w:rsidTr="00350CED">
        <w:tc>
          <w:tcPr>
            <w:tcW w:w="7088" w:type="dxa"/>
            <w:tcBorders>
              <w:top w:val="nil"/>
              <w:left w:val="nil"/>
              <w:bottom w:val="nil"/>
              <w:right w:val="nil"/>
            </w:tcBorders>
            <w:vAlign w:val="center"/>
          </w:tcPr>
          <w:p w14:paraId="09430562"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Homeowner</w:t>
            </w:r>
          </w:p>
        </w:tc>
        <w:tc>
          <w:tcPr>
            <w:tcW w:w="1838" w:type="dxa"/>
            <w:tcBorders>
              <w:top w:val="nil"/>
              <w:left w:val="nil"/>
              <w:bottom w:val="nil"/>
              <w:right w:val="nil"/>
            </w:tcBorders>
            <w:vAlign w:val="center"/>
          </w:tcPr>
          <w:p w14:paraId="09430563" w14:textId="792B3635"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19</w:t>
            </w:r>
            <w:r w:rsidR="00350CED" w:rsidRPr="00FE3F56">
              <w:rPr>
                <w:rFonts w:eastAsia="Calibri" w:cs="Times New Roman"/>
                <w:color w:val="000000" w:themeColor="text1"/>
                <w:lang w:val="en-GB"/>
              </w:rPr>
              <w:t>,</w:t>
            </w:r>
            <w:r w:rsidRPr="00FE3F56">
              <w:rPr>
                <w:rFonts w:eastAsia="Calibri" w:cs="Times New Roman"/>
                <w:color w:val="000000" w:themeColor="text1"/>
                <w:lang w:val="en-GB"/>
              </w:rPr>
              <w:t>624 (85.2%)</w:t>
            </w:r>
          </w:p>
        </w:tc>
      </w:tr>
      <w:tr w:rsidR="00FE3F56" w:rsidRPr="00FE3F56" w14:paraId="09430567" w14:textId="77777777" w:rsidTr="00350CED">
        <w:tc>
          <w:tcPr>
            <w:tcW w:w="7088" w:type="dxa"/>
            <w:tcBorders>
              <w:top w:val="nil"/>
              <w:left w:val="nil"/>
              <w:bottom w:val="nil"/>
              <w:right w:val="nil"/>
            </w:tcBorders>
            <w:vAlign w:val="center"/>
          </w:tcPr>
          <w:p w14:paraId="09430565"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Renting</w:t>
            </w:r>
          </w:p>
        </w:tc>
        <w:tc>
          <w:tcPr>
            <w:tcW w:w="1838" w:type="dxa"/>
            <w:tcBorders>
              <w:top w:val="nil"/>
              <w:left w:val="nil"/>
              <w:bottom w:val="nil"/>
              <w:right w:val="nil"/>
            </w:tcBorders>
            <w:vAlign w:val="center"/>
          </w:tcPr>
          <w:p w14:paraId="09430566" w14:textId="09CB8F63"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3</w:t>
            </w:r>
            <w:r w:rsidR="00350CED" w:rsidRPr="00FE3F56">
              <w:rPr>
                <w:rFonts w:eastAsia="Calibri" w:cs="Times New Roman"/>
                <w:color w:val="000000" w:themeColor="text1"/>
                <w:lang w:val="en-GB"/>
              </w:rPr>
              <w:t>,</w:t>
            </w:r>
            <w:r w:rsidRPr="00FE3F56">
              <w:rPr>
                <w:rFonts w:eastAsia="Calibri" w:cs="Times New Roman"/>
                <w:color w:val="000000" w:themeColor="text1"/>
                <w:lang w:val="en-GB"/>
              </w:rPr>
              <w:t>413 (14.8%)</w:t>
            </w:r>
          </w:p>
        </w:tc>
      </w:tr>
      <w:tr w:rsidR="00FE3F56" w:rsidRPr="00FE3F56" w14:paraId="0943056A" w14:textId="77777777" w:rsidTr="00350CED">
        <w:tc>
          <w:tcPr>
            <w:tcW w:w="7088" w:type="dxa"/>
            <w:tcBorders>
              <w:top w:val="nil"/>
              <w:left w:val="nil"/>
              <w:bottom w:val="nil"/>
              <w:right w:val="nil"/>
            </w:tcBorders>
            <w:vAlign w:val="center"/>
          </w:tcPr>
          <w:p w14:paraId="09430568"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Net monthly income</w:t>
            </w:r>
          </w:p>
        </w:tc>
        <w:tc>
          <w:tcPr>
            <w:tcW w:w="1838" w:type="dxa"/>
            <w:tcBorders>
              <w:top w:val="nil"/>
              <w:left w:val="nil"/>
              <w:bottom w:val="nil"/>
              <w:right w:val="nil"/>
            </w:tcBorders>
            <w:vAlign w:val="center"/>
          </w:tcPr>
          <w:p w14:paraId="09430569"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6D" w14:textId="77777777" w:rsidTr="00350CED">
        <w:tc>
          <w:tcPr>
            <w:tcW w:w="7088" w:type="dxa"/>
            <w:tcBorders>
              <w:top w:val="nil"/>
              <w:left w:val="nil"/>
              <w:bottom w:val="nil"/>
              <w:right w:val="nil"/>
            </w:tcBorders>
            <w:vAlign w:val="center"/>
          </w:tcPr>
          <w:p w14:paraId="0943056B" w14:textId="70A968F8"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less than €500</w:t>
            </w:r>
          </w:p>
        </w:tc>
        <w:tc>
          <w:tcPr>
            <w:tcW w:w="1838" w:type="dxa"/>
            <w:tcBorders>
              <w:top w:val="nil"/>
              <w:left w:val="nil"/>
              <w:bottom w:val="nil"/>
              <w:right w:val="nil"/>
            </w:tcBorders>
            <w:vAlign w:val="center"/>
          </w:tcPr>
          <w:p w14:paraId="0943056C" w14:textId="61486D74"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w:t>
            </w:r>
            <w:r w:rsidR="00350CED" w:rsidRPr="00FE3F56">
              <w:rPr>
                <w:rFonts w:eastAsia="Calibri" w:cs="Times New Roman"/>
                <w:color w:val="000000" w:themeColor="text1"/>
                <w:lang w:val="en-GB"/>
              </w:rPr>
              <w:t>,</w:t>
            </w:r>
            <w:r w:rsidRPr="00FE3F56">
              <w:rPr>
                <w:rFonts w:eastAsia="Calibri" w:cs="Times New Roman"/>
                <w:color w:val="000000" w:themeColor="text1"/>
                <w:lang w:val="en-GB"/>
              </w:rPr>
              <w:t>750 (7.6%)</w:t>
            </w:r>
          </w:p>
        </w:tc>
      </w:tr>
      <w:tr w:rsidR="00FE3F56" w:rsidRPr="00FE3F56" w14:paraId="09430570" w14:textId="77777777" w:rsidTr="00350CED">
        <w:tc>
          <w:tcPr>
            <w:tcW w:w="7088" w:type="dxa"/>
            <w:tcBorders>
              <w:top w:val="nil"/>
              <w:left w:val="nil"/>
              <w:bottom w:val="nil"/>
              <w:right w:val="nil"/>
            </w:tcBorders>
            <w:vAlign w:val="center"/>
          </w:tcPr>
          <w:p w14:paraId="0943056E" w14:textId="0B4CF6E6"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€501 - €1,000</w:t>
            </w:r>
          </w:p>
        </w:tc>
        <w:tc>
          <w:tcPr>
            <w:tcW w:w="1838" w:type="dxa"/>
            <w:tcBorders>
              <w:top w:val="nil"/>
              <w:left w:val="nil"/>
              <w:bottom w:val="nil"/>
              <w:right w:val="nil"/>
            </w:tcBorders>
            <w:vAlign w:val="center"/>
          </w:tcPr>
          <w:p w14:paraId="0943056F" w14:textId="329BE69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3</w:t>
            </w:r>
            <w:r w:rsidR="00350CED" w:rsidRPr="00FE3F56">
              <w:rPr>
                <w:rFonts w:eastAsia="Calibri" w:cs="Times New Roman"/>
                <w:color w:val="000000" w:themeColor="text1"/>
                <w:lang w:val="en-GB"/>
              </w:rPr>
              <w:t>,</w:t>
            </w:r>
            <w:r w:rsidRPr="00FE3F56">
              <w:rPr>
                <w:rFonts w:eastAsia="Calibri" w:cs="Times New Roman"/>
                <w:color w:val="000000" w:themeColor="text1"/>
                <w:lang w:val="en-GB"/>
              </w:rPr>
              <w:t>184 (13.8%)</w:t>
            </w:r>
          </w:p>
        </w:tc>
      </w:tr>
      <w:tr w:rsidR="00FE3F56" w:rsidRPr="00FE3F56" w14:paraId="09430573" w14:textId="77777777" w:rsidTr="00350CED">
        <w:tc>
          <w:tcPr>
            <w:tcW w:w="7088" w:type="dxa"/>
            <w:tcBorders>
              <w:top w:val="nil"/>
              <w:left w:val="nil"/>
              <w:bottom w:val="nil"/>
              <w:right w:val="nil"/>
            </w:tcBorders>
            <w:vAlign w:val="center"/>
          </w:tcPr>
          <w:p w14:paraId="09430571" w14:textId="3502BC13"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€1,001 - €1,500</w:t>
            </w:r>
          </w:p>
        </w:tc>
        <w:tc>
          <w:tcPr>
            <w:tcW w:w="1838" w:type="dxa"/>
            <w:tcBorders>
              <w:top w:val="nil"/>
              <w:left w:val="nil"/>
              <w:bottom w:val="nil"/>
              <w:right w:val="nil"/>
            </w:tcBorders>
            <w:vAlign w:val="center"/>
          </w:tcPr>
          <w:p w14:paraId="09430572" w14:textId="21E9F4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4</w:t>
            </w:r>
            <w:r w:rsidR="00350CED" w:rsidRPr="00FE3F56">
              <w:rPr>
                <w:rFonts w:eastAsia="Calibri" w:cs="Times New Roman"/>
                <w:color w:val="000000" w:themeColor="text1"/>
                <w:lang w:val="en-GB"/>
              </w:rPr>
              <w:t>,</w:t>
            </w:r>
            <w:r w:rsidRPr="00FE3F56">
              <w:rPr>
                <w:rFonts w:eastAsia="Calibri" w:cs="Times New Roman"/>
                <w:color w:val="000000" w:themeColor="text1"/>
                <w:lang w:val="en-GB"/>
              </w:rPr>
              <w:t>165 (18.1%)</w:t>
            </w:r>
          </w:p>
        </w:tc>
      </w:tr>
      <w:tr w:rsidR="00FE3F56" w:rsidRPr="00FE3F56" w14:paraId="09430576" w14:textId="77777777" w:rsidTr="00350CED">
        <w:tc>
          <w:tcPr>
            <w:tcW w:w="7088" w:type="dxa"/>
            <w:tcBorders>
              <w:top w:val="nil"/>
              <w:left w:val="nil"/>
              <w:bottom w:val="nil"/>
              <w:right w:val="nil"/>
            </w:tcBorders>
            <w:vAlign w:val="center"/>
          </w:tcPr>
          <w:p w14:paraId="09430574" w14:textId="287D5BC3"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€1,501 - €2,000</w:t>
            </w:r>
          </w:p>
        </w:tc>
        <w:tc>
          <w:tcPr>
            <w:tcW w:w="1838" w:type="dxa"/>
            <w:tcBorders>
              <w:top w:val="nil"/>
              <w:left w:val="nil"/>
              <w:bottom w:val="nil"/>
              <w:right w:val="nil"/>
            </w:tcBorders>
            <w:vAlign w:val="center"/>
          </w:tcPr>
          <w:p w14:paraId="09430575" w14:textId="27544941"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5</w:t>
            </w:r>
            <w:r w:rsidR="00350CED" w:rsidRPr="00FE3F56">
              <w:rPr>
                <w:rFonts w:eastAsia="Calibri" w:cs="Times New Roman"/>
                <w:color w:val="000000" w:themeColor="text1"/>
                <w:lang w:val="en-GB"/>
              </w:rPr>
              <w:t>,</w:t>
            </w:r>
            <w:r w:rsidRPr="00FE3F56">
              <w:rPr>
                <w:rFonts w:eastAsia="Calibri" w:cs="Times New Roman"/>
                <w:color w:val="000000" w:themeColor="text1"/>
                <w:lang w:val="en-GB"/>
              </w:rPr>
              <w:t>504 (23.9%)</w:t>
            </w:r>
          </w:p>
        </w:tc>
      </w:tr>
      <w:tr w:rsidR="00FE3F56" w:rsidRPr="00FE3F56" w14:paraId="09430579" w14:textId="77777777" w:rsidTr="00350CED">
        <w:tc>
          <w:tcPr>
            <w:tcW w:w="7088" w:type="dxa"/>
            <w:tcBorders>
              <w:top w:val="nil"/>
              <w:left w:val="nil"/>
              <w:bottom w:val="nil"/>
              <w:right w:val="nil"/>
            </w:tcBorders>
            <w:vAlign w:val="center"/>
          </w:tcPr>
          <w:p w14:paraId="09430577" w14:textId="725551CA"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€2,001 - €2,500</w:t>
            </w:r>
          </w:p>
        </w:tc>
        <w:tc>
          <w:tcPr>
            <w:tcW w:w="1838" w:type="dxa"/>
            <w:tcBorders>
              <w:top w:val="nil"/>
              <w:left w:val="nil"/>
              <w:bottom w:val="nil"/>
              <w:right w:val="nil"/>
            </w:tcBorders>
            <w:vAlign w:val="center"/>
          </w:tcPr>
          <w:p w14:paraId="09430578" w14:textId="678B1C2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4</w:t>
            </w:r>
            <w:r w:rsidR="00350CED" w:rsidRPr="00FE3F56">
              <w:rPr>
                <w:rFonts w:eastAsia="Calibri" w:cs="Times New Roman"/>
                <w:color w:val="000000" w:themeColor="text1"/>
                <w:lang w:val="en-GB"/>
              </w:rPr>
              <w:t>,</w:t>
            </w:r>
            <w:r w:rsidRPr="00FE3F56">
              <w:rPr>
                <w:rFonts w:eastAsia="Calibri" w:cs="Times New Roman"/>
                <w:color w:val="000000" w:themeColor="text1"/>
                <w:lang w:val="en-GB"/>
              </w:rPr>
              <w:t>114 (17.9%)</w:t>
            </w:r>
          </w:p>
        </w:tc>
      </w:tr>
      <w:tr w:rsidR="00FE3F56" w:rsidRPr="00FE3F56" w14:paraId="0943057C" w14:textId="77777777" w:rsidTr="00350CED">
        <w:tc>
          <w:tcPr>
            <w:tcW w:w="7088" w:type="dxa"/>
            <w:tcBorders>
              <w:top w:val="nil"/>
              <w:left w:val="nil"/>
              <w:bottom w:val="nil"/>
              <w:right w:val="nil"/>
            </w:tcBorders>
            <w:vAlign w:val="center"/>
          </w:tcPr>
          <w:p w14:paraId="0943057A" w14:textId="124E2B02"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€2,501 - €3,000</w:t>
            </w:r>
          </w:p>
        </w:tc>
        <w:tc>
          <w:tcPr>
            <w:tcW w:w="1838" w:type="dxa"/>
            <w:tcBorders>
              <w:top w:val="nil"/>
              <w:left w:val="nil"/>
              <w:bottom w:val="nil"/>
              <w:right w:val="nil"/>
            </w:tcBorders>
            <w:vAlign w:val="center"/>
          </w:tcPr>
          <w:p w14:paraId="0943057B" w14:textId="5EC3E054"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w:t>
            </w:r>
            <w:r w:rsidR="00350CED" w:rsidRPr="00FE3F56">
              <w:rPr>
                <w:rFonts w:eastAsia="Calibri" w:cs="Times New Roman"/>
                <w:color w:val="000000" w:themeColor="text1"/>
                <w:lang w:val="en-GB"/>
              </w:rPr>
              <w:t>,</w:t>
            </w:r>
            <w:r w:rsidRPr="00FE3F56">
              <w:rPr>
                <w:rFonts w:eastAsia="Calibri" w:cs="Times New Roman"/>
                <w:color w:val="000000" w:themeColor="text1"/>
                <w:lang w:val="en-GB"/>
              </w:rPr>
              <w:t>032 (8.8%)</w:t>
            </w:r>
          </w:p>
        </w:tc>
      </w:tr>
      <w:tr w:rsidR="00FE3F56" w:rsidRPr="00FE3F56" w14:paraId="0943057F" w14:textId="77777777" w:rsidTr="00350CED">
        <w:tc>
          <w:tcPr>
            <w:tcW w:w="7088" w:type="dxa"/>
            <w:tcBorders>
              <w:top w:val="nil"/>
              <w:left w:val="nil"/>
              <w:bottom w:val="nil"/>
              <w:right w:val="nil"/>
            </w:tcBorders>
            <w:vAlign w:val="center"/>
          </w:tcPr>
          <w:p w14:paraId="0943057D" w14:textId="5BD49F20"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more than €3,000</w:t>
            </w:r>
          </w:p>
        </w:tc>
        <w:tc>
          <w:tcPr>
            <w:tcW w:w="1838" w:type="dxa"/>
            <w:tcBorders>
              <w:top w:val="nil"/>
              <w:left w:val="nil"/>
              <w:bottom w:val="nil"/>
              <w:right w:val="nil"/>
            </w:tcBorders>
            <w:vAlign w:val="center"/>
          </w:tcPr>
          <w:p w14:paraId="0943057E" w14:textId="1B81E064"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w:t>
            </w:r>
            <w:r w:rsidR="00350CED" w:rsidRPr="00FE3F56">
              <w:rPr>
                <w:rFonts w:eastAsia="Calibri" w:cs="Times New Roman"/>
                <w:color w:val="000000" w:themeColor="text1"/>
                <w:lang w:val="en-GB"/>
              </w:rPr>
              <w:t>,</w:t>
            </w:r>
            <w:r w:rsidRPr="00FE3F56">
              <w:rPr>
                <w:rFonts w:eastAsia="Calibri" w:cs="Times New Roman"/>
                <w:color w:val="000000" w:themeColor="text1"/>
                <w:lang w:val="en-GB"/>
              </w:rPr>
              <w:t>285 (9.9%)</w:t>
            </w:r>
          </w:p>
        </w:tc>
      </w:tr>
      <w:tr w:rsidR="00FE3F56" w:rsidRPr="00FE3F56" w14:paraId="09430582" w14:textId="77777777" w:rsidTr="00350CED">
        <w:tc>
          <w:tcPr>
            <w:tcW w:w="7088" w:type="dxa"/>
            <w:tcBorders>
              <w:top w:val="nil"/>
              <w:left w:val="nil"/>
              <w:bottom w:val="nil"/>
              <w:right w:val="nil"/>
            </w:tcBorders>
            <w:vAlign w:val="center"/>
          </w:tcPr>
          <w:p w14:paraId="09430580"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Volunteer in an organisation</w:t>
            </w:r>
          </w:p>
        </w:tc>
        <w:tc>
          <w:tcPr>
            <w:tcW w:w="1838" w:type="dxa"/>
            <w:tcBorders>
              <w:top w:val="nil"/>
              <w:left w:val="nil"/>
              <w:bottom w:val="nil"/>
              <w:right w:val="nil"/>
            </w:tcBorders>
            <w:vAlign w:val="center"/>
          </w:tcPr>
          <w:p w14:paraId="09430581"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85" w14:textId="77777777" w:rsidTr="00350CED">
        <w:tc>
          <w:tcPr>
            <w:tcW w:w="7088" w:type="dxa"/>
            <w:tcBorders>
              <w:top w:val="nil"/>
              <w:left w:val="nil"/>
              <w:bottom w:val="nil"/>
              <w:right w:val="nil"/>
            </w:tcBorders>
            <w:vAlign w:val="center"/>
          </w:tcPr>
          <w:p w14:paraId="09430583"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Yes</w:t>
            </w:r>
          </w:p>
        </w:tc>
        <w:tc>
          <w:tcPr>
            <w:tcW w:w="1838" w:type="dxa"/>
            <w:tcBorders>
              <w:top w:val="nil"/>
              <w:left w:val="nil"/>
              <w:bottom w:val="nil"/>
              <w:right w:val="nil"/>
            </w:tcBorders>
            <w:vAlign w:val="center"/>
          </w:tcPr>
          <w:p w14:paraId="09430584" w14:textId="608A290E"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11</w:t>
            </w:r>
            <w:r w:rsidR="00350CED" w:rsidRPr="00FE3F56">
              <w:rPr>
                <w:rFonts w:eastAsia="Calibri" w:cs="Times New Roman"/>
                <w:color w:val="000000" w:themeColor="text1"/>
                <w:lang w:val="en-GB"/>
              </w:rPr>
              <w:t>,</w:t>
            </w:r>
            <w:r w:rsidRPr="00FE3F56">
              <w:rPr>
                <w:rFonts w:eastAsia="Calibri" w:cs="Times New Roman"/>
                <w:color w:val="000000" w:themeColor="text1"/>
                <w:lang w:val="en-GB"/>
              </w:rPr>
              <w:t>042 (47.9%)</w:t>
            </w:r>
          </w:p>
        </w:tc>
      </w:tr>
      <w:tr w:rsidR="00FE3F56" w:rsidRPr="00FE3F56" w14:paraId="09430588" w14:textId="77777777" w:rsidTr="00350CED">
        <w:tc>
          <w:tcPr>
            <w:tcW w:w="7088" w:type="dxa"/>
            <w:tcBorders>
              <w:top w:val="nil"/>
              <w:left w:val="nil"/>
              <w:bottom w:val="nil"/>
              <w:right w:val="nil"/>
            </w:tcBorders>
            <w:vAlign w:val="center"/>
          </w:tcPr>
          <w:p w14:paraId="09430586"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No</w:t>
            </w:r>
          </w:p>
        </w:tc>
        <w:tc>
          <w:tcPr>
            <w:tcW w:w="1838" w:type="dxa"/>
            <w:tcBorders>
              <w:top w:val="nil"/>
              <w:left w:val="nil"/>
              <w:bottom w:val="nil"/>
              <w:right w:val="nil"/>
            </w:tcBorders>
            <w:vAlign w:val="center"/>
          </w:tcPr>
          <w:p w14:paraId="09430587" w14:textId="2F55D7ED"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11</w:t>
            </w:r>
            <w:r w:rsidR="00350CED" w:rsidRPr="00FE3F56">
              <w:rPr>
                <w:rFonts w:eastAsia="Calibri" w:cs="Times New Roman"/>
                <w:color w:val="000000" w:themeColor="text1"/>
                <w:lang w:val="en-GB"/>
              </w:rPr>
              <w:t>,</w:t>
            </w:r>
            <w:r w:rsidRPr="00FE3F56">
              <w:rPr>
                <w:rFonts w:eastAsia="Calibri" w:cs="Times New Roman"/>
                <w:color w:val="000000" w:themeColor="text1"/>
                <w:lang w:val="en-GB"/>
              </w:rPr>
              <w:t>995 (52.1%)</w:t>
            </w:r>
          </w:p>
        </w:tc>
      </w:tr>
      <w:tr w:rsidR="00FE3F56" w:rsidRPr="00FE3F56" w14:paraId="0943058B" w14:textId="77777777" w:rsidTr="00350CED">
        <w:tc>
          <w:tcPr>
            <w:tcW w:w="7088" w:type="dxa"/>
            <w:tcBorders>
              <w:top w:val="nil"/>
              <w:left w:val="nil"/>
              <w:bottom w:val="nil"/>
              <w:right w:val="nil"/>
            </w:tcBorders>
            <w:vAlign w:val="center"/>
          </w:tcPr>
          <w:p w14:paraId="09430589"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Religious denomination</w:t>
            </w:r>
          </w:p>
        </w:tc>
        <w:tc>
          <w:tcPr>
            <w:tcW w:w="1838" w:type="dxa"/>
            <w:tcBorders>
              <w:top w:val="nil"/>
              <w:left w:val="nil"/>
              <w:bottom w:val="nil"/>
              <w:right w:val="nil"/>
            </w:tcBorders>
            <w:vAlign w:val="center"/>
          </w:tcPr>
          <w:p w14:paraId="0943058A"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8E" w14:textId="77777777" w:rsidTr="00350CED">
        <w:tc>
          <w:tcPr>
            <w:tcW w:w="7088" w:type="dxa"/>
            <w:tcBorders>
              <w:top w:val="nil"/>
              <w:left w:val="nil"/>
              <w:bottom w:val="nil"/>
              <w:right w:val="nil"/>
            </w:tcBorders>
            <w:vAlign w:val="center"/>
          </w:tcPr>
          <w:p w14:paraId="0943058C"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lastRenderedPageBreak/>
              <w:t>Roman Catholic</w:t>
            </w:r>
          </w:p>
        </w:tc>
        <w:tc>
          <w:tcPr>
            <w:tcW w:w="1838" w:type="dxa"/>
            <w:tcBorders>
              <w:top w:val="nil"/>
              <w:left w:val="nil"/>
              <w:bottom w:val="nil"/>
              <w:right w:val="nil"/>
            </w:tcBorders>
            <w:vAlign w:val="center"/>
          </w:tcPr>
          <w:p w14:paraId="0943058D" w14:textId="0B4970C6"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7</w:t>
            </w:r>
            <w:r w:rsidR="00350CED" w:rsidRPr="00FE3F56">
              <w:rPr>
                <w:rFonts w:eastAsia="Calibri" w:cs="Times New Roman"/>
                <w:color w:val="000000" w:themeColor="text1"/>
                <w:lang w:val="en-GB"/>
              </w:rPr>
              <w:t>,</w:t>
            </w:r>
            <w:r w:rsidRPr="00FE3F56">
              <w:rPr>
                <w:rFonts w:eastAsia="Calibri" w:cs="Times New Roman"/>
                <w:color w:val="000000" w:themeColor="text1"/>
                <w:lang w:val="en-GB"/>
              </w:rPr>
              <w:t>886 (34.2%)</w:t>
            </w:r>
          </w:p>
        </w:tc>
      </w:tr>
      <w:tr w:rsidR="00FE3F56" w:rsidRPr="00FE3F56" w14:paraId="09430591" w14:textId="77777777" w:rsidTr="00350CED">
        <w:tc>
          <w:tcPr>
            <w:tcW w:w="7088" w:type="dxa"/>
            <w:tcBorders>
              <w:top w:val="nil"/>
              <w:left w:val="nil"/>
              <w:bottom w:val="nil"/>
              <w:right w:val="nil"/>
            </w:tcBorders>
            <w:vAlign w:val="center"/>
          </w:tcPr>
          <w:p w14:paraId="0943058F"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Dutch Reformed</w:t>
            </w:r>
          </w:p>
        </w:tc>
        <w:tc>
          <w:tcPr>
            <w:tcW w:w="1838" w:type="dxa"/>
            <w:tcBorders>
              <w:top w:val="nil"/>
              <w:left w:val="nil"/>
              <w:bottom w:val="nil"/>
              <w:right w:val="nil"/>
            </w:tcBorders>
            <w:vAlign w:val="center"/>
          </w:tcPr>
          <w:p w14:paraId="09430590" w14:textId="1B780EF5"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w:t>
            </w:r>
            <w:r w:rsidR="00350CED" w:rsidRPr="00FE3F56">
              <w:rPr>
                <w:rFonts w:eastAsia="Calibri" w:cs="Times New Roman"/>
                <w:color w:val="000000" w:themeColor="text1"/>
                <w:lang w:val="en-GB"/>
              </w:rPr>
              <w:t>,</w:t>
            </w:r>
            <w:r w:rsidRPr="00FE3F56">
              <w:rPr>
                <w:rFonts w:eastAsia="Calibri" w:cs="Times New Roman"/>
                <w:color w:val="000000" w:themeColor="text1"/>
                <w:lang w:val="en-GB"/>
              </w:rPr>
              <w:t>799 (12.2%)</w:t>
            </w:r>
          </w:p>
        </w:tc>
      </w:tr>
      <w:tr w:rsidR="00FE3F56" w:rsidRPr="00FE3F56" w14:paraId="09430594" w14:textId="77777777" w:rsidTr="00350CED">
        <w:tc>
          <w:tcPr>
            <w:tcW w:w="7088" w:type="dxa"/>
            <w:tcBorders>
              <w:top w:val="nil"/>
              <w:left w:val="nil"/>
              <w:bottom w:val="nil"/>
              <w:right w:val="nil"/>
            </w:tcBorders>
            <w:vAlign w:val="center"/>
          </w:tcPr>
          <w:p w14:paraId="09430592"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Reformed</w:t>
            </w:r>
          </w:p>
        </w:tc>
        <w:tc>
          <w:tcPr>
            <w:tcW w:w="1838" w:type="dxa"/>
            <w:tcBorders>
              <w:top w:val="nil"/>
              <w:left w:val="nil"/>
              <w:bottom w:val="nil"/>
              <w:right w:val="nil"/>
            </w:tcBorders>
            <w:vAlign w:val="center"/>
          </w:tcPr>
          <w:p w14:paraId="09430593" w14:textId="67E29B3A"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w:t>
            </w:r>
            <w:r w:rsidR="00350CED" w:rsidRPr="00FE3F56">
              <w:rPr>
                <w:rFonts w:eastAsia="Calibri" w:cs="Times New Roman"/>
                <w:color w:val="000000" w:themeColor="text1"/>
                <w:lang w:val="en-GB"/>
              </w:rPr>
              <w:t>,</w:t>
            </w:r>
            <w:r w:rsidRPr="00FE3F56">
              <w:rPr>
                <w:rFonts w:eastAsia="Calibri" w:cs="Times New Roman"/>
                <w:color w:val="000000" w:themeColor="text1"/>
                <w:lang w:val="en-GB"/>
              </w:rPr>
              <w:t>946 (8.4%)</w:t>
            </w:r>
          </w:p>
        </w:tc>
      </w:tr>
      <w:tr w:rsidR="00FE3F56" w:rsidRPr="00FE3F56" w14:paraId="09430597" w14:textId="77777777" w:rsidTr="00350CED">
        <w:tc>
          <w:tcPr>
            <w:tcW w:w="7088" w:type="dxa"/>
            <w:tcBorders>
              <w:top w:val="nil"/>
              <w:left w:val="nil"/>
              <w:bottom w:val="nil"/>
              <w:right w:val="nil"/>
            </w:tcBorders>
            <w:vAlign w:val="center"/>
          </w:tcPr>
          <w:p w14:paraId="09430595"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Protestant</w:t>
            </w:r>
          </w:p>
        </w:tc>
        <w:tc>
          <w:tcPr>
            <w:tcW w:w="1838" w:type="dxa"/>
            <w:tcBorders>
              <w:top w:val="nil"/>
              <w:left w:val="nil"/>
              <w:bottom w:val="nil"/>
              <w:right w:val="nil"/>
            </w:tcBorders>
            <w:vAlign w:val="center"/>
          </w:tcPr>
          <w:p w14:paraId="09430596" w14:textId="7B69F22F"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2</w:t>
            </w:r>
            <w:r w:rsidR="00350CED" w:rsidRPr="00FE3F56">
              <w:rPr>
                <w:rFonts w:eastAsia="Calibri" w:cs="Times New Roman"/>
                <w:color w:val="000000" w:themeColor="text1"/>
                <w:lang w:val="en-GB"/>
              </w:rPr>
              <w:t>,</w:t>
            </w:r>
            <w:r w:rsidRPr="00FE3F56">
              <w:rPr>
                <w:rFonts w:eastAsia="Calibri" w:cs="Times New Roman"/>
                <w:color w:val="000000" w:themeColor="text1"/>
                <w:lang w:val="en-GB"/>
              </w:rPr>
              <w:t>063 (9%)</w:t>
            </w:r>
          </w:p>
        </w:tc>
      </w:tr>
      <w:tr w:rsidR="00FE3F56" w:rsidRPr="00FE3F56" w14:paraId="0943059A" w14:textId="77777777" w:rsidTr="00350CED">
        <w:tc>
          <w:tcPr>
            <w:tcW w:w="7088" w:type="dxa"/>
            <w:tcBorders>
              <w:top w:val="nil"/>
              <w:left w:val="nil"/>
              <w:bottom w:val="nil"/>
              <w:right w:val="nil"/>
            </w:tcBorders>
            <w:vAlign w:val="center"/>
          </w:tcPr>
          <w:p w14:paraId="09430598"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Other religious affiliation</w:t>
            </w:r>
          </w:p>
        </w:tc>
        <w:tc>
          <w:tcPr>
            <w:tcW w:w="1838" w:type="dxa"/>
            <w:tcBorders>
              <w:top w:val="nil"/>
              <w:left w:val="nil"/>
              <w:bottom w:val="nil"/>
              <w:right w:val="nil"/>
            </w:tcBorders>
            <w:vAlign w:val="center"/>
          </w:tcPr>
          <w:p w14:paraId="09430599"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927 (4%)</w:t>
            </w:r>
          </w:p>
        </w:tc>
      </w:tr>
      <w:tr w:rsidR="00FE3F56" w:rsidRPr="00FE3F56" w14:paraId="0943059D" w14:textId="77777777" w:rsidTr="00350CED">
        <w:tc>
          <w:tcPr>
            <w:tcW w:w="7088" w:type="dxa"/>
            <w:tcBorders>
              <w:top w:val="nil"/>
              <w:left w:val="nil"/>
              <w:bottom w:val="nil"/>
              <w:right w:val="nil"/>
            </w:tcBorders>
            <w:vAlign w:val="center"/>
          </w:tcPr>
          <w:p w14:paraId="0943059B"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No religious affiliation</w:t>
            </w:r>
          </w:p>
        </w:tc>
        <w:tc>
          <w:tcPr>
            <w:tcW w:w="1838" w:type="dxa"/>
            <w:tcBorders>
              <w:top w:val="nil"/>
              <w:left w:val="nil"/>
              <w:bottom w:val="nil"/>
              <w:right w:val="nil"/>
            </w:tcBorders>
            <w:vAlign w:val="center"/>
          </w:tcPr>
          <w:p w14:paraId="0943059C" w14:textId="2A7CE76B"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7</w:t>
            </w:r>
            <w:r w:rsidR="00350CED" w:rsidRPr="00FE3F56">
              <w:rPr>
                <w:rFonts w:eastAsia="Calibri" w:cs="Times New Roman"/>
                <w:color w:val="000000" w:themeColor="text1"/>
                <w:lang w:val="en-GB"/>
              </w:rPr>
              <w:t>,</w:t>
            </w:r>
            <w:r w:rsidRPr="00FE3F56">
              <w:rPr>
                <w:rFonts w:eastAsia="Calibri" w:cs="Times New Roman"/>
                <w:color w:val="000000" w:themeColor="text1"/>
                <w:lang w:val="en-GB"/>
              </w:rPr>
              <w:t>416 (32.2%)</w:t>
            </w:r>
          </w:p>
        </w:tc>
      </w:tr>
      <w:tr w:rsidR="00FE3F56" w:rsidRPr="00FE3F56" w14:paraId="094305A0" w14:textId="77777777" w:rsidTr="00350CED">
        <w:tc>
          <w:tcPr>
            <w:tcW w:w="7088" w:type="dxa"/>
            <w:tcBorders>
              <w:top w:val="nil"/>
              <w:left w:val="nil"/>
              <w:bottom w:val="nil"/>
              <w:right w:val="nil"/>
            </w:tcBorders>
            <w:vAlign w:val="center"/>
          </w:tcPr>
          <w:p w14:paraId="0943059E"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Gender</w:t>
            </w:r>
          </w:p>
        </w:tc>
        <w:tc>
          <w:tcPr>
            <w:tcW w:w="1838" w:type="dxa"/>
            <w:tcBorders>
              <w:top w:val="nil"/>
              <w:left w:val="nil"/>
              <w:bottom w:val="nil"/>
              <w:right w:val="nil"/>
            </w:tcBorders>
            <w:vAlign w:val="center"/>
          </w:tcPr>
          <w:p w14:paraId="0943059F" w14:textId="77777777" w:rsidR="00901C90" w:rsidRPr="00FE3F56" w:rsidRDefault="00901C90">
            <w:pPr>
              <w:widowControl w:val="0"/>
              <w:suppressAutoHyphens w:val="0"/>
              <w:spacing w:after="0" w:line="276" w:lineRule="auto"/>
              <w:jc w:val="left"/>
              <w:rPr>
                <w:rFonts w:cs="Times New Roman"/>
                <w:color w:val="000000" w:themeColor="text1"/>
                <w:lang w:val="en-GB"/>
              </w:rPr>
            </w:pPr>
          </w:p>
        </w:tc>
      </w:tr>
      <w:tr w:rsidR="00FE3F56" w:rsidRPr="00FE3F56" w14:paraId="094305A3" w14:textId="77777777" w:rsidTr="00350CED">
        <w:tc>
          <w:tcPr>
            <w:tcW w:w="7088" w:type="dxa"/>
            <w:tcBorders>
              <w:top w:val="nil"/>
              <w:left w:val="nil"/>
              <w:bottom w:val="nil"/>
              <w:right w:val="nil"/>
            </w:tcBorders>
            <w:vAlign w:val="center"/>
          </w:tcPr>
          <w:p w14:paraId="094305A1"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Man</w:t>
            </w:r>
          </w:p>
        </w:tc>
        <w:tc>
          <w:tcPr>
            <w:tcW w:w="1838" w:type="dxa"/>
            <w:tcBorders>
              <w:top w:val="nil"/>
              <w:left w:val="nil"/>
              <w:bottom w:val="nil"/>
              <w:right w:val="nil"/>
            </w:tcBorders>
            <w:vAlign w:val="center"/>
          </w:tcPr>
          <w:p w14:paraId="094305A2" w14:textId="14C6AE8B"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13</w:t>
            </w:r>
            <w:r w:rsidR="00350CED" w:rsidRPr="00FE3F56">
              <w:rPr>
                <w:rFonts w:eastAsia="Calibri" w:cs="Times New Roman"/>
                <w:color w:val="000000" w:themeColor="text1"/>
                <w:lang w:val="en-GB"/>
              </w:rPr>
              <w:t>,</w:t>
            </w:r>
            <w:r w:rsidRPr="00FE3F56">
              <w:rPr>
                <w:rFonts w:eastAsia="Calibri" w:cs="Times New Roman"/>
                <w:color w:val="000000" w:themeColor="text1"/>
                <w:lang w:val="en-GB"/>
              </w:rPr>
              <w:t>819 (60%)</w:t>
            </w:r>
          </w:p>
        </w:tc>
      </w:tr>
      <w:tr w:rsidR="00FE3F56" w:rsidRPr="00FE3F56" w14:paraId="094305A6" w14:textId="77777777" w:rsidTr="00945FB8">
        <w:tc>
          <w:tcPr>
            <w:tcW w:w="7088" w:type="dxa"/>
            <w:tcBorders>
              <w:top w:val="nil"/>
              <w:left w:val="nil"/>
              <w:bottom w:val="nil"/>
              <w:right w:val="nil"/>
            </w:tcBorders>
            <w:vAlign w:val="center"/>
          </w:tcPr>
          <w:p w14:paraId="094305A4" w14:textId="7777777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Woman</w:t>
            </w:r>
          </w:p>
        </w:tc>
        <w:tc>
          <w:tcPr>
            <w:tcW w:w="1838" w:type="dxa"/>
            <w:tcBorders>
              <w:top w:val="nil"/>
              <w:left w:val="nil"/>
              <w:bottom w:val="nil"/>
              <w:right w:val="nil"/>
            </w:tcBorders>
            <w:vAlign w:val="center"/>
          </w:tcPr>
          <w:p w14:paraId="094305A5" w14:textId="2522C697" w:rsidR="00901C90" w:rsidRPr="00FE3F56" w:rsidRDefault="00A34875">
            <w:pPr>
              <w:widowControl w:val="0"/>
              <w:suppressAutoHyphens w:val="0"/>
              <w:spacing w:after="0" w:line="276" w:lineRule="auto"/>
              <w:jc w:val="left"/>
              <w:rPr>
                <w:rFonts w:cs="Times New Roman"/>
                <w:color w:val="000000" w:themeColor="text1"/>
                <w:lang w:val="en-GB"/>
              </w:rPr>
            </w:pPr>
            <w:r w:rsidRPr="00FE3F56">
              <w:rPr>
                <w:rFonts w:eastAsia="Calibri" w:cs="Times New Roman"/>
                <w:color w:val="000000" w:themeColor="text1"/>
                <w:lang w:val="en-GB"/>
              </w:rPr>
              <w:t>9</w:t>
            </w:r>
            <w:r w:rsidR="00350CED" w:rsidRPr="00FE3F56">
              <w:rPr>
                <w:rFonts w:eastAsia="Calibri" w:cs="Times New Roman"/>
                <w:color w:val="000000" w:themeColor="text1"/>
                <w:lang w:val="en-GB"/>
              </w:rPr>
              <w:t>,</w:t>
            </w:r>
            <w:r w:rsidRPr="00FE3F56">
              <w:rPr>
                <w:rFonts w:eastAsia="Calibri" w:cs="Times New Roman"/>
                <w:color w:val="000000" w:themeColor="text1"/>
                <w:lang w:val="en-GB"/>
              </w:rPr>
              <w:t>218 (40%)</w:t>
            </w:r>
          </w:p>
        </w:tc>
      </w:tr>
      <w:tr w:rsidR="00FE3F56" w:rsidRPr="00FE3F56" w14:paraId="431DC2F9" w14:textId="77777777" w:rsidTr="00945FB8">
        <w:tc>
          <w:tcPr>
            <w:tcW w:w="7088" w:type="dxa"/>
            <w:tcBorders>
              <w:top w:val="nil"/>
              <w:left w:val="nil"/>
              <w:bottom w:val="nil"/>
              <w:right w:val="nil"/>
            </w:tcBorders>
            <w:vAlign w:val="center"/>
          </w:tcPr>
          <w:p w14:paraId="0003E241" w14:textId="6E7D0AD6"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Blood-donor identity</w:t>
            </w:r>
          </w:p>
        </w:tc>
        <w:tc>
          <w:tcPr>
            <w:tcW w:w="1838" w:type="dxa"/>
            <w:tcBorders>
              <w:top w:val="nil"/>
              <w:left w:val="nil"/>
              <w:bottom w:val="nil"/>
              <w:right w:val="nil"/>
            </w:tcBorders>
            <w:vAlign w:val="center"/>
          </w:tcPr>
          <w:p w14:paraId="300B7895" w14:textId="4E1592FA"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11.48 (± 2.46)</w:t>
            </w:r>
          </w:p>
        </w:tc>
      </w:tr>
      <w:tr w:rsidR="00FE3F56" w:rsidRPr="00FE3F56" w14:paraId="0A70F603" w14:textId="77777777" w:rsidTr="00945FB8">
        <w:tc>
          <w:tcPr>
            <w:tcW w:w="7088" w:type="dxa"/>
            <w:tcBorders>
              <w:top w:val="nil"/>
              <w:left w:val="nil"/>
              <w:bottom w:val="nil"/>
              <w:right w:val="nil"/>
            </w:tcBorders>
            <w:vAlign w:val="center"/>
          </w:tcPr>
          <w:p w14:paraId="4A9378E9" w14:textId="1F2A1621"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Number of donations</w:t>
            </w:r>
          </w:p>
        </w:tc>
        <w:tc>
          <w:tcPr>
            <w:tcW w:w="1838" w:type="dxa"/>
            <w:tcBorders>
              <w:top w:val="nil"/>
              <w:left w:val="nil"/>
              <w:bottom w:val="nil"/>
              <w:right w:val="nil"/>
            </w:tcBorders>
            <w:vAlign w:val="center"/>
          </w:tcPr>
          <w:p w14:paraId="16926D1F" w14:textId="77777777"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p>
        </w:tc>
      </w:tr>
      <w:tr w:rsidR="00FE3F56" w:rsidRPr="00FE3F56" w14:paraId="11C6C715" w14:textId="77777777" w:rsidTr="00945FB8">
        <w:tc>
          <w:tcPr>
            <w:tcW w:w="7088" w:type="dxa"/>
            <w:tcBorders>
              <w:top w:val="nil"/>
              <w:left w:val="nil"/>
              <w:bottom w:val="nil"/>
              <w:right w:val="nil"/>
            </w:tcBorders>
            <w:vAlign w:val="center"/>
          </w:tcPr>
          <w:p w14:paraId="424285C2" w14:textId="2C9FC568"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Whole blood donor</w:t>
            </w:r>
          </w:p>
        </w:tc>
        <w:tc>
          <w:tcPr>
            <w:tcW w:w="1838" w:type="dxa"/>
            <w:tcBorders>
              <w:top w:val="nil"/>
              <w:left w:val="nil"/>
              <w:bottom w:val="nil"/>
              <w:right w:val="nil"/>
            </w:tcBorders>
            <w:vAlign w:val="center"/>
          </w:tcPr>
          <w:p w14:paraId="0D124AA8" w14:textId="08650352"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23.7 (± 14.9)</w:t>
            </w:r>
          </w:p>
        </w:tc>
      </w:tr>
      <w:tr w:rsidR="00FE3F56" w:rsidRPr="00FE3F56" w14:paraId="3FF25085" w14:textId="77777777" w:rsidTr="00945FB8">
        <w:tc>
          <w:tcPr>
            <w:tcW w:w="7088" w:type="dxa"/>
            <w:tcBorders>
              <w:top w:val="nil"/>
              <w:left w:val="nil"/>
              <w:bottom w:val="nil"/>
              <w:right w:val="nil"/>
            </w:tcBorders>
            <w:vAlign w:val="center"/>
          </w:tcPr>
          <w:p w14:paraId="2959B482" w14:textId="263D20C8"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Plasma donor</w:t>
            </w:r>
          </w:p>
        </w:tc>
        <w:tc>
          <w:tcPr>
            <w:tcW w:w="1838" w:type="dxa"/>
            <w:tcBorders>
              <w:top w:val="nil"/>
              <w:left w:val="nil"/>
              <w:bottom w:val="nil"/>
              <w:right w:val="nil"/>
            </w:tcBorders>
            <w:vAlign w:val="center"/>
          </w:tcPr>
          <w:p w14:paraId="716EBA69" w14:textId="121F50C8"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52.1 (± 39.2)</w:t>
            </w:r>
          </w:p>
        </w:tc>
      </w:tr>
      <w:tr w:rsidR="00FE3F56" w:rsidRPr="00FE3F56" w14:paraId="0F4B6DB1" w14:textId="77777777" w:rsidTr="00945FB8">
        <w:tc>
          <w:tcPr>
            <w:tcW w:w="7088" w:type="dxa"/>
            <w:tcBorders>
              <w:top w:val="nil"/>
              <w:left w:val="nil"/>
              <w:bottom w:val="nil"/>
              <w:right w:val="nil"/>
            </w:tcBorders>
            <w:vAlign w:val="center"/>
          </w:tcPr>
          <w:p w14:paraId="021E6139" w14:textId="566ABE01"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Whole-blood &amp; plasma donor</w:t>
            </w:r>
          </w:p>
        </w:tc>
        <w:tc>
          <w:tcPr>
            <w:tcW w:w="1838" w:type="dxa"/>
            <w:tcBorders>
              <w:top w:val="nil"/>
              <w:left w:val="nil"/>
              <w:bottom w:val="nil"/>
              <w:right w:val="nil"/>
            </w:tcBorders>
            <w:vAlign w:val="center"/>
          </w:tcPr>
          <w:p w14:paraId="62847A0F" w14:textId="580812CA"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47.25 (± 27)</w:t>
            </w:r>
          </w:p>
        </w:tc>
      </w:tr>
      <w:tr w:rsidR="00FE3F56" w:rsidRPr="00FE3F56" w14:paraId="3A5AE056" w14:textId="77777777" w:rsidTr="00945FB8">
        <w:tc>
          <w:tcPr>
            <w:tcW w:w="7088" w:type="dxa"/>
            <w:tcBorders>
              <w:top w:val="nil"/>
              <w:left w:val="nil"/>
              <w:bottom w:val="nil"/>
              <w:right w:val="nil"/>
            </w:tcBorders>
            <w:vAlign w:val="center"/>
          </w:tcPr>
          <w:p w14:paraId="0122C6E4" w14:textId="7ED75CC7"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Parent</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active as donor during</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childhood</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of</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child (2y-11y)</w:t>
            </w:r>
          </w:p>
        </w:tc>
        <w:tc>
          <w:tcPr>
            <w:tcW w:w="1838" w:type="dxa"/>
            <w:tcBorders>
              <w:top w:val="nil"/>
              <w:left w:val="nil"/>
              <w:bottom w:val="nil"/>
              <w:right w:val="nil"/>
            </w:tcBorders>
            <w:vAlign w:val="center"/>
          </w:tcPr>
          <w:p w14:paraId="2E34CAF5" w14:textId="009F7807"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6,482 (28.1%)</w:t>
            </w:r>
          </w:p>
        </w:tc>
      </w:tr>
      <w:tr w:rsidR="00FE3F56" w:rsidRPr="00FE3F56" w14:paraId="75222452" w14:textId="77777777" w:rsidTr="00945FB8">
        <w:tc>
          <w:tcPr>
            <w:tcW w:w="7088" w:type="dxa"/>
            <w:tcBorders>
              <w:top w:val="nil"/>
              <w:left w:val="nil"/>
              <w:bottom w:val="nil"/>
              <w:right w:val="nil"/>
            </w:tcBorders>
            <w:vAlign w:val="center"/>
          </w:tcPr>
          <w:p w14:paraId="404D45E3" w14:textId="10144839"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Parent</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active as donor during</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adolescence</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of</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child (12y-18y)</w:t>
            </w:r>
          </w:p>
        </w:tc>
        <w:tc>
          <w:tcPr>
            <w:tcW w:w="1838" w:type="dxa"/>
            <w:tcBorders>
              <w:top w:val="nil"/>
              <w:left w:val="nil"/>
              <w:bottom w:val="nil"/>
              <w:right w:val="nil"/>
            </w:tcBorders>
            <w:vAlign w:val="center"/>
          </w:tcPr>
          <w:p w14:paraId="6F7EF8F8" w14:textId="382622D7"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13,357 (58%)</w:t>
            </w:r>
          </w:p>
        </w:tc>
      </w:tr>
      <w:tr w:rsidR="00945FB8" w:rsidRPr="00FE3F56" w14:paraId="3C8FC25C" w14:textId="77777777" w:rsidTr="00945FB8">
        <w:tc>
          <w:tcPr>
            <w:tcW w:w="7088" w:type="dxa"/>
            <w:tcBorders>
              <w:top w:val="nil"/>
              <w:left w:val="nil"/>
              <w:bottom w:val="single" w:sz="4" w:space="0" w:color="auto"/>
              <w:right w:val="nil"/>
            </w:tcBorders>
            <w:vAlign w:val="center"/>
          </w:tcPr>
          <w:p w14:paraId="5F53DFBD" w14:textId="18C42388"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Parent</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active as donor during</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emerging adulthood of</w:t>
            </w:r>
            <w:r w:rsidR="001E612C" w:rsidRPr="00FE3F56">
              <w:rPr>
                <w:rFonts w:eastAsia="Calibri" w:cs="Times New Roman"/>
                <w:color w:val="000000" w:themeColor="text1"/>
                <w:lang w:val="en-GB"/>
              </w:rPr>
              <w:t xml:space="preserve"> </w:t>
            </w:r>
            <w:r w:rsidRPr="00FE3F56">
              <w:rPr>
                <w:rFonts w:eastAsia="Calibri" w:cs="Times New Roman"/>
                <w:color w:val="000000" w:themeColor="text1"/>
                <w:lang w:val="en-GB"/>
              </w:rPr>
              <w:t>child (19y-22 y)</w:t>
            </w:r>
          </w:p>
        </w:tc>
        <w:tc>
          <w:tcPr>
            <w:tcW w:w="1838" w:type="dxa"/>
            <w:tcBorders>
              <w:top w:val="nil"/>
              <w:left w:val="nil"/>
              <w:bottom w:val="single" w:sz="4" w:space="0" w:color="auto"/>
              <w:right w:val="nil"/>
            </w:tcBorders>
            <w:vAlign w:val="center"/>
          </w:tcPr>
          <w:p w14:paraId="2FBB393E" w14:textId="42599924" w:rsidR="00945FB8" w:rsidRPr="00FE3F56" w:rsidRDefault="00945FB8" w:rsidP="00945FB8">
            <w:pPr>
              <w:widowControl w:val="0"/>
              <w:suppressAutoHyphens w:val="0"/>
              <w:spacing w:after="0" w:line="276" w:lineRule="auto"/>
              <w:jc w:val="left"/>
              <w:rPr>
                <w:rFonts w:eastAsia="Calibri" w:cs="Times New Roman"/>
                <w:color w:val="000000" w:themeColor="text1"/>
                <w:lang w:val="en-GB"/>
              </w:rPr>
            </w:pPr>
            <w:r w:rsidRPr="00FE3F56">
              <w:rPr>
                <w:rFonts w:eastAsia="Calibri" w:cs="Times New Roman"/>
                <w:color w:val="000000" w:themeColor="text1"/>
                <w:lang w:val="en-GB"/>
              </w:rPr>
              <w:t>17,874 (68.9%)</w:t>
            </w:r>
          </w:p>
        </w:tc>
      </w:tr>
    </w:tbl>
    <w:p w14:paraId="094305A7" w14:textId="77777777" w:rsidR="00901C90" w:rsidRPr="00FE3F56" w:rsidRDefault="00901C90">
      <w:pPr>
        <w:rPr>
          <w:rFonts w:cs="Times New Roman"/>
          <w:color w:val="000000" w:themeColor="text1"/>
        </w:rPr>
        <w:sectPr w:rsidR="00901C90" w:rsidRPr="00FE3F56">
          <w:pgSz w:w="11906" w:h="16838"/>
          <w:pgMar w:top="1440" w:right="1440" w:bottom="1440" w:left="1440" w:header="0" w:footer="0" w:gutter="0"/>
          <w:cols w:space="720"/>
          <w:formProt w:val="0"/>
          <w:docGrid w:linePitch="360" w:charSpace="4096"/>
        </w:sectPr>
      </w:pPr>
    </w:p>
    <w:p w14:paraId="094305A9" w14:textId="4A1A0DFC" w:rsidR="00901C90" w:rsidRPr="003457D3" w:rsidRDefault="00A34875" w:rsidP="003457D3">
      <w:pPr>
        <w:spacing w:after="0" w:line="240" w:lineRule="auto"/>
        <w:rPr>
          <w:rFonts w:cs="Times New Roman"/>
          <w:color w:val="000000" w:themeColor="text1"/>
          <w:lang w:val="en-GB"/>
        </w:rPr>
      </w:pPr>
      <w:r w:rsidRPr="003457D3">
        <w:rPr>
          <w:rFonts w:cs="Times New Roman"/>
          <w:color w:val="000000" w:themeColor="text1"/>
          <w:lang w:val="en-GB"/>
        </w:rPr>
        <w:lastRenderedPageBreak/>
        <w:t>Table 2</w:t>
      </w:r>
      <w:r w:rsidR="003457D3" w:rsidRPr="003457D3">
        <w:rPr>
          <w:rFonts w:cs="Times New Roman"/>
          <w:color w:val="000000" w:themeColor="text1"/>
          <w:lang w:val="en-GB"/>
        </w:rPr>
        <w:t xml:space="preserve">. </w:t>
      </w:r>
      <w:r w:rsidRPr="003457D3">
        <w:rPr>
          <w:rFonts w:cs="Times New Roman"/>
          <w:color w:val="000000" w:themeColor="text1"/>
          <w:lang w:val="en-GB"/>
        </w:rPr>
        <w:t>Correlations between the main study variables</w:t>
      </w:r>
    </w:p>
    <w:tbl>
      <w:tblPr>
        <w:tblpPr w:leftFromText="180" w:rightFromText="180" w:vertAnchor="text" w:horzAnchor="margin" w:tblpY="58"/>
        <w:tblW w:w="15038" w:type="dxa"/>
        <w:tblLayout w:type="fixed"/>
        <w:tblCellMar>
          <w:top w:w="15" w:type="dxa"/>
          <w:bottom w:w="15" w:type="dxa"/>
        </w:tblCellMar>
        <w:tblLook w:val="04A0" w:firstRow="1" w:lastRow="0" w:firstColumn="1" w:lastColumn="0" w:noHBand="0" w:noVBand="1"/>
      </w:tblPr>
      <w:tblGrid>
        <w:gridCol w:w="2450"/>
        <w:gridCol w:w="2098"/>
        <w:gridCol w:w="2098"/>
        <w:gridCol w:w="2099"/>
        <w:gridCol w:w="2098"/>
        <w:gridCol w:w="2099"/>
        <w:gridCol w:w="2096"/>
      </w:tblGrid>
      <w:tr w:rsidR="00FE3F56" w:rsidRPr="00FE3F56" w14:paraId="094305B1" w14:textId="77777777">
        <w:trPr>
          <w:trHeight w:val="615"/>
        </w:trPr>
        <w:tc>
          <w:tcPr>
            <w:tcW w:w="2449" w:type="dxa"/>
            <w:tcBorders>
              <w:top w:val="single" w:sz="4" w:space="0" w:color="000000"/>
              <w:bottom w:val="single" w:sz="4" w:space="0" w:color="000000"/>
            </w:tcBorders>
            <w:shd w:val="clear" w:color="auto" w:fill="FFFFFF" w:themeFill="background1"/>
            <w:vAlign w:val="center"/>
          </w:tcPr>
          <w:p w14:paraId="094305AA" w14:textId="77777777" w:rsidR="00901C90" w:rsidRPr="00FE3F56" w:rsidRDefault="00901C90">
            <w:pPr>
              <w:widowControl w:val="0"/>
              <w:spacing w:line="240" w:lineRule="auto"/>
              <w:jc w:val="left"/>
              <w:rPr>
                <w:rFonts w:cs="Times New Roman"/>
                <w:color w:val="000000" w:themeColor="text1"/>
                <w:lang w:val="en-GB"/>
              </w:rPr>
            </w:pPr>
          </w:p>
        </w:tc>
        <w:tc>
          <w:tcPr>
            <w:tcW w:w="2098" w:type="dxa"/>
            <w:tcBorders>
              <w:top w:val="single" w:sz="4" w:space="0" w:color="000000"/>
              <w:bottom w:val="single" w:sz="4" w:space="0" w:color="000000"/>
            </w:tcBorders>
            <w:shd w:val="clear" w:color="auto" w:fill="FFFFFF" w:themeFill="background1"/>
            <w:vAlign w:val="center"/>
          </w:tcPr>
          <w:p w14:paraId="094305AB"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Donor status of the child</w:t>
            </w:r>
          </w:p>
        </w:tc>
        <w:tc>
          <w:tcPr>
            <w:tcW w:w="2098" w:type="dxa"/>
            <w:tcBorders>
              <w:top w:val="single" w:sz="4" w:space="0" w:color="000000"/>
              <w:bottom w:val="single" w:sz="4" w:space="0" w:color="000000"/>
            </w:tcBorders>
            <w:shd w:val="clear" w:color="auto" w:fill="FFFFFF" w:themeFill="background1"/>
            <w:vAlign w:val="center"/>
          </w:tcPr>
          <w:p w14:paraId="094305AC"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Childhood</w:t>
            </w:r>
          </w:p>
        </w:tc>
        <w:tc>
          <w:tcPr>
            <w:tcW w:w="2099" w:type="dxa"/>
            <w:tcBorders>
              <w:top w:val="single" w:sz="4" w:space="0" w:color="000000"/>
              <w:bottom w:val="single" w:sz="4" w:space="0" w:color="000000"/>
            </w:tcBorders>
            <w:shd w:val="clear" w:color="auto" w:fill="FFFFFF" w:themeFill="background1"/>
            <w:vAlign w:val="center"/>
          </w:tcPr>
          <w:p w14:paraId="094305AD"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Adolescence</w:t>
            </w:r>
          </w:p>
        </w:tc>
        <w:tc>
          <w:tcPr>
            <w:tcW w:w="2098" w:type="dxa"/>
            <w:tcBorders>
              <w:top w:val="single" w:sz="4" w:space="0" w:color="000000"/>
              <w:bottom w:val="single" w:sz="4" w:space="0" w:color="000000"/>
            </w:tcBorders>
            <w:shd w:val="clear" w:color="auto" w:fill="FFFFFF" w:themeFill="background1"/>
            <w:vAlign w:val="center"/>
          </w:tcPr>
          <w:p w14:paraId="094305AE"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Emerging adulthood</w:t>
            </w:r>
          </w:p>
        </w:tc>
        <w:tc>
          <w:tcPr>
            <w:tcW w:w="2099" w:type="dxa"/>
            <w:tcBorders>
              <w:top w:val="single" w:sz="4" w:space="0" w:color="000000"/>
              <w:bottom w:val="single" w:sz="4" w:space="0" w:color="000000"/>
            </w:tcBorders>
            <w:shd w:val="clear" w:color="auto" w:fill="FFFFFF" w:themeFill="background1"/>
            <w:vAlign w:val="center"/>
          </w:tcPr>
          <w:p w14:paraId="094305AF"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Blood donor identity</w:t>
            </w:r>
          </w:p>
        </w:tc>
        <w:tc>
          <w:tcPr>
            <w:tcW w:w="2096" w:type="dxa"/>
            <w:tcBorders>
              <w:top w:val="single" w:sz="4" w:space="0" w:color="000000"/>
              <w:bottom w:val="single" w:sz="4" w:space="0" w:color="000000"/>
            </w:tcBorders>
            <w:shd w:val="clear" w:color="auto" w:fill="FFFFFF" w:themeFill="background1"/>
            <w:vAlign w:val="center"/>
          </w:tcPr>
          <w:p w14:paraId="094305B0"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Donation frequency</w:t>
            </w:r>
          </w:p>
        </w:tc>
      </w:tr>
      <w:tr w:rsidR="00FE3F56" w:rsidRPr="00FE3F56" w14:paraId="094305B9" w14:textId="77777777">
        <w:trPr>
          <w:trHeight w:val="360"/>
        </w:trPr>
        <w:tc>
          <w:tcPr>
            <w:tcW w:w="2449" w:type="dxa"/>
            <w:tcBorders>
              <w:top w:val="single" w:sz="4" w:space="0" w:color="000000"/>
            </w:tcBorders>
            <w:shd w:val="clear" w:color="auto" w:fill="FFFFFF" w:themeFill="background1"/>
            <w:vAlign w:val="center"/>
          </w:tcPr>
          <w:p w14:paraId="094305B2" w14:textId="77777777" w:rsidR="00901C90" w:rsidRPr="00FE3F56" w:rsidRDefault="00A34875">
            <w:pPr>
              <w:widowControl w:val="0"/>
              <w:spacing w:line="240" w:lineRule="auto"/>
              <w:jc w:val="left"/>
              <w:rPr>
                <w:rFonts w:cs="Times New Roman"/>
                <w:color w:val="000000" w:themeColor="text1"/>
                <w:lang w:val="en-GB"/>
              </w:rPr>
            </w:pPr>
            <w:r w:rsidRPr="00FE3F56">
              <w:rPr>
                <w:rFonts w:cs="Times New Roman"/>
                <w:color w:val="000000" w:themeColor="text1"/>
                <w:lang w:val="en-GB"/>
              </w:rPr>
              <w:t>Donor status of the child</w:t>
            </w:r>
          </w:p>
        </w:tc>
        <w:tc>
          <w:tcPr>
            <w:tcW w:w="2098" w:type="dxa"/>
            <w:tcBorders>
              <w:top w:val="single" w:sz="4" w:space="0" w:color="000000"/>
            </w:tcBorders>
            <w:shd w:val="clear" w:color="auto" w:fill="FFFFFF" w:themeFill="background1"/>
            <w:vAlign w:val="center"/>
          </w:tcPr>
          <w:p w14:paraId="094305B3"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1</w:t>
            </w:r>
          </w:p>
        </w:tc>
        <w:tc>
          <w:tcPr>
            <w:tcW w:w="2098" w:type="dxa"/>
            <w:tcBorders>
              <w:top w:val="single" w:sz="4" w:space="0" w:color="000000"/>
            </w:tcBorders>
            <w:shd w:val="clear" w:color="auto" w:fill="FFFFFF" w:themeFill="background1"/>
            <w:vAlign w:val="center"/>
          </w:tcPr>
          <w:p w14:paraId="094305B4" w14:textId="3FFBE41A" w:rsidR="00901C90" w:rsidRPr="00FE3F56" w:rsidRDefault="00901C90">
            <w:pPr>
              <w:widowControl w:val="0"/>
              <w:spacing w:line="240" w:lineRule="auto"/>
              <w:jc w:val="center"/>
              <w:rPr>
                <w:rFonts w:cs="Times New Roman"/>
                <w:color w:val="000000" w:themeColor="text1"/>
                <w:lang w:val="en-GB"/>
              </w:rPr>
            </w:pPr>
          </w:p>
        </w:tc>
        <w:tc>
          <w:tcPr>
            <w:tcW w:w="2099" w:type="dxa"/>
            <w:tcBorders>
              <w:top w:val="single" w:sz="4" w:space="0" w:color="000000"/>
            </w:tcBorders>
            <w:shd w:val="clear" w:color="auto" w:fill="FFFFFF" w:themeFill="background1"/>
            <w:vAlign w:val="center"/>
          </w:tcPr>
          <w:p w14:paraId="094305B5" w14:textId="3D6A8473" w:rsidR="00901C90" w:rsidRPr="00FE3F56" w:rsidRDefault="00901C90">
            <w:pPr>
              <w:widowControl w:val="0"/>
              <w:spacing w:line="240" w:lineRule="auto"/>
              <w:jc w:val="center"/>
              <w:rPr>
                <w:rFonts w:cs="Times New Roman"/>
                <w:color w:val="000000" w:themeColor="text1"/>
                <w:lang w:val="en-GB"/>
              </w:rPr>
            </w:pPr>
          </w:p>
        </w:tc>
        <w:tc>
          <w:tcPr>
            <w:tcW w:w="2098" w:type="dxa"/>
            <w:tcBorders>
              <w:top w:val="single" w:sz="4" w:space="0" w:color="000000"/>
            </w:tcBorders>
            <w:shd w:val="clear" w:color="auto" w:fill="FFFFFF" w:themeFill="background1"/>
            <w:vAlign w:val="center"/>
          </w:tcPr>
          <w:p w14:paraId="094305B6" w14:textId="427E7130" w:rsidR="00901C90" w:rsidRPr="00FE3F56" w:rsidRDefault="00901C90">
            <w:pPr>
              <w:widowControl w:val="0"/>
              <w:spacing w:line="240" w:lineRule="auto"/>
              <w:jc w:val="center"/>
              <w:rPr>
                <w:rFonts w:cs="Times New Roman"/>
                <w:color w:val="000000" w:themeColor="text1"/>
                <w:lang w:val="en-GB"/>
              </w:rPr>
            </w:pPr>
          </w:p>
        </w:tc>
        <w:tc>
          <w:tcPr>
            <w:tcW w:w="2099" w:type="dxa"/>
            <w:tcBorders>
              <w:top w:val="single" w:sz="4" w:space="0" w:color="000000"/>
            </w:tcBorders>
            <w:shd w:val="clear" w:color="auto" w:fill="FFFFFF" w:themeFill="background1"/>
            <w:vAlign w:val="center"/>
          </w:tcPr>
          <w:p w14:paraId="094305B7" w14:textId="179C36B1" w:rsidR="00901C90" w:rsidRPr="00FE3F56" w:rsidRDefault="00901C90">
            <w:pPr>
              <w:widowControl w:val="0"/>
              <w:spacing w:line="240" w:lineRule="auto"/>
              <w:jc w:val="center"/>
              <w:rPr>
                <w:rFonts w:cs="Times New Roman"/>
                <w:color w:val="000000" w:themeColor="text1"/>
                <w:lang w:val="en-GB"/>
              </w:rPr>
            </w:pPr>
          </w:p>
        </w:tc>
        <w:tc>
          <w:tcPr>
            <w:tcW w:w="2096" w:type="dxa"/>
            <w:tcBorders>
              <w:top w:val="single" w:sz="4" w:space="0" w:color="000000"/>
            </w:tcBorders>
            <w:shd w:val="clear" w:color="auto" w:fill="FFFFFF" w:themeFill="background1"/>
            <w:vAlign w:val="center"/>
          </w:tcPr>
          <w:p w14:paraId="094305B8" w14:textId="5EEAEC28" w:rsidR="00901C90" w:rsidRPr="00FE3F56" w:rsidRDefault="00901C90">
            <w:pPr>
              <w:widowControl w:val="0"/>
              <w:spacing w:line="240" w:lineRule="auto"/>
              <w:jc w:val="center"/>
              <w:rPr>
                <w:rFonts w:cs="Times New Roman"/>
                <w:color w:val="000000" w:themeColor="text1"/>
                <w:lang w:val="en-GB"/>
              </w:rPr>
            </w:pPr>
          </w:p>
        </w:tc>
      </w:tr>
      <w:tr w:rsidR="00FE3F56" w:rsidRPr="00FE3F56" w14:paraId="094305C1" w14:textId="77777777">
        <w:trPr>
          <w:trHeight w:val="360"/>
        </w:trPr>
        <w:tc>
          <w:tcPr>
            <w:tcW w:w="2449" w:type="dxa"/>
            <w:shd w:val="clear" w:color="auto" w:fill="FFFFFF" w:themeFill="background1"/>
            <w:vAlign w:val="center"/>
          </w:tcPr>
          <w:p w14:paraId="094305BA" w14:textId="77777777" w:rsidR="00901C90" w:rsidRPr="00FE3F56" w:rsidRDefault="00A34875">
            <w:pPr>
              <w:widowControl w:val="0"/>
              <w:spacing w:line="240" w:lineRule="auto"/>
              <w:jc w:val="left"/>
              <w:rPr>
                <w:rFonts w:cs="Times New Roman"/>
                <w:color w:val="000000" w:themeColor="text1"/>
                <w:lang w:val="en-GB"/>
              </w:rPr>
            </w:pPr>
            <w:r w:rsidRPr="00FE3F56">
              <w:rPr>
                <w:rFonts w:cs="Times New Roman"/>
                <w:color w:val="000000" w:themeColor="text1"/>
                <w:lang w:val="en-GB"/>
              </w:rPr>
              <w:t>Childhood</w:t>
            </w:r>
          </w:p>
        </w:tc>
        <w:tc>
          <w:tcPr>
            <w:tcW w:w="2098" w:type="dxa"/>
            <w:shd w:val="clear" w:color="auto" w:fill="FFFFFF" w:themeFill="background1"/>
            <w:vAlign w:val="center"/>
          </w:tcPr>
          <w:p w14:paraId="094305BB" w14:textId="1083FBA5"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0</w:t>
            </w:r>
            <w:r w:rsidR="00002036" w:rsidRPr="00FE3F56">
              <w:rPr>
                <w:rFonts w:cs="Times New Roman"/>
                <w:color w:val="000000" w:themeColor="text1"/>
                <w:lang w:val="en-GB"/>
              </w:rPr>
              <w:t>.</w:t>
            </w:r>
            <w:r w:rsidRPr="00FE3F56">
              <w:rPr>
                <w:rFonts w:cs="Times New Roman"/>
                <w:color w:val="000000" w:themeColor="text1"/>
                <w:lang w:val="en-GB"/>
              </w:rPr>
              <w:t>009</w:t>
            </w:r>
          </w:p>
        </w:tc>
        <w:tc>
          <w:tcPr>
            <w:tcW w:w="2098" w:type="dxa"/>
            <w:shd w:val="clear" w:color="auto" w:fill="FFFFFF" w:themeFill="background1"/>
            <w:vAlign w:val="center"/>
          </w:tcPr>
          <w:p w14:paraId="094305BC"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1</w:t>
            </w:r>
          </w:p>
        </w:tc>
        <w:tc>
          <w:tcPr>
            <w:tcW w:w="2099" w:type="dxa"/>
            <w:shd w:val="clear" w:color="auto" w:fill="FFFFFF" w:themeFill="background1"/>
            <w:vAlign w:val="center"/>
          </w:tcPr>
          <w:p w14:paraId="094305BD" w14:textId="3A6802CC" w:rsidR="00901C90" w:rsidRPr="00FE3F56" w:rsidRDefault="00901C90">
            <w:pPr>
              <w:widowControl w:val="0"/>
              <w:spacing w:line="240" w:lineRule="auto"/>
              <w:jc w:val="center"/>
              <w:rPr>
                <w:rFonts w:cs="Times New Roman"/>
                <w:color w:val="000000" w:themeColor="text1"/>
                <w:lang w:val="en-GB"/>
              </w:rPr>
            </w:pPr>
          </w:p>
        </w:tc>
        <w:tc>
          <w:tcPr>
            <w:tcW w:w="2098" w:type="dxa"/>
            <w:shd w:val="clear" w:color="auto" w:fill="FFFFFF" w:themeFill="background1"/>
            <w:vAlign w:val="center"/>
          </w:tcPr>
          <w:p w14:paraId="094305BE" w14:textId="07C92791" w:rsidR="00901C90" w:rsidRPr="00FE3F56" w:rsidRDefault="00901C90">
            <w:pPr>
              <w:widowControl w:val="0"/>
              <w:spacing w:line="240" w:lineRule="auto"/>
              <w:jc w:val="center"/>
              <w:rPr>
                <w:rFonts w:cs="Times New Roman"/>
                <w:color w:val="000000" w:themeColor="text1"/>
                <w:lang w:val="en-GB"/>
              </w:rPr>
            </w:pPr>
          </w:p>
        </w:tc>
        <w:tc>
          <w:tcPr>
            <w:tcW w:w="2099" w:type="dxa"/>
            <w:shd w:val="clear" w:color="auto" w:fill="FFFFFF" w:themeFill="background1"/>
            <w:vAlign w:val="center"/>
          </w:tcPr>
          <w:p w14:paraId="094305BF" w14:textId="791AE3A5" w:rsidR="00901C90" w:rsidRPr="00FE3F56" w:rsidRDefault="00901C90">
            <w:pPr>
              <w:widowControl w:val="0"/>
              <w:spacing w:line="240" w:lineRule="auto"/>
              <w:jc w:val="center"/>
              <w:rPr>
                <w:rFonts w:cs="Times New Roman"/>
                <w:color w:val="000000" w:themeColor="text1"/>
                <w:lang w:val="en-GB"/>
              </w:rPr>
            </w:pPr>
          </w:p>
        </w:tc>
        <w:tc>
          <w:tcPr>
            <w:tcW w:w="2096" w:type="dxa"/>
            <w:shd w:val="clear" w:color="auto" w:fill="FFFFFF" w:themeFill="background1"/>
            <w:vAlign w:val="center"/>
          </w:tcPr>
          <w:p w14:paraId="094305C0" w14:textId="75729BC9" w:rsidR="00901C90" w:rsidRPr="00FE3F56" w:rsidRDefault="00901C90">
            <w:pPr>
              <w:widowControl w:val="0"/>
              <w:spacing w:line="240" w:lineRule="auto"/>
              <w:jc w:val="center"/>
              <w:rPr>
                <w:rFonts w:cs="Times New Roman"/>
                <w:color w:val="000000" w:themeColor="text1"/>
                <w:lang w:val="en-GB"/>
              </w:rPr>
            </w:pPr>
          </w:p>
        </w:tc>
      </w:tr>
      <w:tr w:rsidR="00FE3F56" w:rsidRPr="00FE3F56" w14:paraId="094305C9" w14:textId="77777777">
        <w:trPr>
          <w:trHeight w:val="360"/>
        </w:trPr>
        <w:tc>
          <w:tcPr>
            <w:tcW w:w="2449" w:type="dxa"/>
            <w:shd w:val="clear" w:color="auto" w:fill="FFFFFF" w:themeFill="background1"/>
            <w:vAlign w:val="center"/>
          </w:tcPr>
          <w:p w14:paraId="094305C2" w14:textId="77777777" w:rsidR="00901C90" w:rsidRPr="00FE3F56" w:rsidRDefault="00A34875">
            <w:pPr>
              <w:widowControl w:val="0"/>
              <w:spacing w:line="240" w:lineRule="auto"/>
              <w:jc w:val="left"/>
              <w:rPr>
                <w:rFonts w:cs="Times New Roman"/>
                <w:color w:val="000000" w:themeColor="text1"/>
                <w:lang w:val="en-GB"/>
              </w:rPr>
            </w:pPr>
            <w:r w:rsidRPr="00FE3F56">
              <w:rPr>
                <w:rFonts w:cs="Times New Roman"/>
                <w:color w:val="000000" w:themeColor="text1"/>
                <w:lang w:val="en-GB"/>
              </w:rPr>
              <w:t>Adolescence</w:t>
            </w:r>
          </w:p>
        </w:tc>
        <w:tc>
          <w:tcPr>
            <w:tcW w:w="2098" w:type="dxa"/>
            <w:shd w:val="clear" w:color="auto" w:fill="FFFFFF" w:themeFill="background1"/>
            <w:vAlign w:val="center"/>
          </w:tcPr>
          <w:p w14:paraId="094305C3" w14:textId="32A4889D"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017</w:t>
            </w:r>
            <w:r w:rsidR="00A34875" w:rsidRPr="00FE3F56">
              <w:rPr>
                <w:rFonts w:cs="Times New Roman"/>
                <w:color w:val="000000" w:themeColor="text1"/>
                <w:vertAlign w:val="superscript"/>
                <w:lang w:val="en-GB"/>
              </w:rPr>
              <w:t>*</w:t>
            </w:r>
          </w:p>
        </w:tc>
        <w:tc>
          <w:tcPr>
            <w:tcW w:w="2098" w:type="dxa"/>
            <w:shd w:val="clear" w:color="auto" w:fill="FFFFFF" w:themeFill="background1"/>
            <w:vAlign w:val="center"/>
          </w:tcPr>
          <w:p w14:paraId="094305C4" w14:textId="16DB7551"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531</w:t>
            </w:r>
            <w:r w:rsidR="00A34875" w:rsidRPr="00FE3F56">
              <w:rPr>
                <w:rFonts w:cs="Times New Roman"/>
                <w:color w:val="000000" w:themeColor="text1"/>
                <w:vertAlign w:val="superscript"/>
                <w:lang w:val="en-GB"/>
              </w:rPr>
              <w:t>**</w:t>
            </w:r>
          </w:p>
        </w:tc>
        <w:tc>
          <w:tcPr>
            <w:tcW w:w="2099" w:type="dxa"/>
            <w:shd w:val="clear" w:color="auto" w:fill="FFFFFF" w:themeFill="background1"/>
            <w:vAlign w:val="center"/>
          </w:tcPr>
          <w:p w14:paraId="094305C5"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1</w:t>
            </w:r>
          </w:p>
        </w:tc>
        <w:tc>
          <w:tcPr>
            <w:tcW w:w="2098" w:type="dxa"/>
            <w:shd w:val="clear" w:color="auto" w:fill="FFFFFF" w:themeFill="background1"/>
            <w:vAlign w:val="center"/>
          </w:tcPr>
          <w:p w14:paraId="094305C6" w14:textId="49BA6951" w:rsidR="00901C90" w:rsidRPr="00FE3F56" w:rsidRDefault="00901C90">
            <w:pPr>
              <w:widowControl w:val="0"/>
              <w:spacing w:line="240" w:lineRule="auto"/>
              <w:jc w:val="center"/>
              <w:rPr>
                <w:rFonts w:cs="Times New Roman"/>
                <w:color w:val="000000" w:themeColor="text1"/>
                <w:lang w:val="en-GB"/>
              </w:rPr>
            </w:pPr>
          </w:p>
        </w:tc>
        <w:tc>
          <w:tcPr>
            <w:tcW w:w="2099" w:type="dxa"/>
            <w:shd w:val="clear" w:color="auto" w:fill="FFFFFF" w:themeFill="background1"/>
            <w:vAlign w:val="center"/>
          </w:tcPr>
          <w:p w14:paraId="094305C7" w14:textId="00D150F1" w:rsidR="00901C90" w:rsidRPr="00FE3F56" w:rsidRDefault="00901C90">
            <w:pPr>
              <w:widowControl w:val="0"/>
              <w:spacing w:line="240" w:lineRule="auto"/>
              <w:jc w:val="center"/>
              <w:rPr>
                <w:rFonts w:cs="Times New Roman"/>
                <w:color w:val="000000" w:themeColor="text1"/>
                <w:lang w:val="en-GB"/>
              </w:rPr>
            </w:pPr>
          </w:p>
        </w:tc>
        <w:tc>
          <w:tcPr>
            <w:tcW w:w="2096" w:type="dxa"/>
            <w:shd w:val="clear" w:color="auto" w:fill="FFFFFF" w:themeFill="background1"/>
            <w:vAlign w:val="center"/>
          </w:tcPr>
          <w:p w14:paraId="094305C8" w14:textId="48CF6561" w:rsidR="00901C90" w:rsidRPr="00FE3F56" w:rsidRDefault="00901C90">
            <w:pPr>
              <w:widowControl w:val="0"/>
              <w:spacing w:line="240" w:lineRule="auto"/>
              <w:jc w:val="center"/>
              <w:rPr>
                <w:rFonts w:cs="Times New Roman"/>
                <w:color w:val="000000" w:themeColor="text1"/>
                <w:lang w:val="en-GB"/>
              </w:rPr>
            </w:pPr>
          </w:p>
        </w:tc>
      </w:tr>
      <w:tr w:rsidR="00FE3F56" w:rsidRPr="00FE3F56" w14:paraId="094305D1" w14:textId="77777777">
        <w:trPr>
          <w:trHeight w:val="360"/>
        </w:trPr>
        <w:tc>
          <w:tcPr>
            <w:tcW w:w="2449" w:type="dxa"/>
            <w:shd w:val="clear" w:color="auto" w:fill="FFFFFF" w:themeFill="background1"/>
            <w:vAlign w:val="center"/>
          </w:tcPr>
          <w:p w14:paraId="094305CA" w14:textId="77777777" w:rsidR="00901C90" w:rsidRPr="00FE3F56" w:rsidRDefault="00A34875">
            <w:pPr>
              <w:widowControl w:val="0"/>
              <w:spacing w:line="240" w:lineRule="auto"/>
              <w:jc w:val="left"/>
              <w:rPr>
                <w:rFonts w:cs="Times New Roman"/>
                <w:color w:val="000000" w:themeColor="text1"/>
                <w:lang w:val="en-GB"/>
              </w:rPr>
            </w:pPr>
            <w:r w:rsidRPr="00FE3F56">
              <w:rPr>
                <w:rFonts w:cs="Times New Roman"/>
                <w:color w:val="000000" w:themeColor="text1"/>
                <w:lang w:val="en-GB"/>
              </w:rPr>
              <w:t>Emerging adulthood</w:t>
            </w:r>
          </w:p>
        </w:tc>
        <w:tc>
          <w:tcPr>
            <w:tcW w:w="2098" w:type="dxa"/>
            <w:shd w:val="clear" w:color="auto" w:fill="FFFFFF" w:themeFill="background1"/>
            <w:vAlign w:val="center"/>
          </w:tcPr>
          <w:p w14:paraId="094305CB" w14:textId="0F8CDE73"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002036" w:rsidRPr="00FE3F56">
              <w:rPr>
                <w:rFonts w:cs="Times New Roman"/>
                <w:color w:val="000000" w:themeColor="text1"/>
                <w:lang w:val="en-GB"/>
              </w:rPr>
              <w:t>.</w:t>
            </w:r>
            <w:r w:rsidRPr="00FE3F56">
              <w:rPr>
                <w:rFonts w:cs="Times New Roman"/>
                <w:color w:val="000000" w:themeColor="text1"/>
                <w:lang w:val="en-GB"/>
              </w:rPr>
              <w:t>022</w:t>
            </w:r>
            <w:r w:rsidRPr="00FE3F56">
              <w:rPr>
                <w:rFonts w:cs="Times New Roman"/>
                <w:color w:val="000000" w:themeColor="text1"/>
                <w:vertAlign w:val="superscript"/>
                <w:lang w:val="en-GB"/>
              </w:rPr>
              <w:t>**</w:t>
            </w:r>
          </w:p>
        </w:tc>
        <w:tc>
          <w:tcPr>
            <w:tcW w:w="2098" w:type="dxa"/>
            <w:shd w:val="clear" w:color="auto" w:fill="FFFFFF" w:themeFill="background1"/>
            <w:vAlign w:val="center"/>
          </w:tcPr>
          <w:p w14:paraId="094305CC" w14:textId="69D09ABD"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233</w:t>
            </w:r>
            <w:r w:rsidR="00A34875" w:rsidRPr="00FE3F56">
              <w:rPr>
                <w:rFonts w:cs="Times New Roman"/>
                <w:color w:val="000000" w:themeColor="text1"/>
                <w:vertAlign w:val="superscript"/>
                <w:lang w:val="en-GB"/>
              </w:rPr>
              <w:t>**</w:t>
            </w:r>
          </w:p>
        </w:tc>
        <w:tc>
          <w:tcPr>
            <w:tcW w:w="2099" w:type="dxa"/>
            <w:shd w:val="clear" w:color="auto" w:fill="FFFFFF" w:themeFill="background1"/>
            <w:vAlign w:val="center"/>
          </w:tcPr>
          <w:p w14:paraId="094305CD" w14:textId="22A09657"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562</w:t>
            </w:r>
            <w:r w:rsidR="00A34875" w:rsidRPr="00FE3F56">
              <w:rPr>
                <w:rFonts w:cs="Times New Roman"/>
                <w:color w:val="000000" w:themeColor="text1"/>
                <w:vertAlign w:val="superscript"/>
                <w:lang w:val="en-GB"/>
              </w:rPr>
              <w:t>**</w:t>
            </w:r>
          </w:p>
        </w:tc>
        <w:tc>
          <w:tcPr>
            <w:tcW w:w="2098" w:type="dxa"/>
            <w:shd w:val="clear" w:color="auto" w:fill="FFFFFF" w:themeFill="background1"/>
            <w:vAlign w:val="center"/>
          </w:tcPr>
          <w:p w14:paraId="094305CE"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1</w:t>
            </w:r>
          </w:p>
        </w:tc>
        <w:tc>
          <w:tcPr>
            <w:tcW w:w="2099" w:type="dxa"/>
            <w:shd w:val="clear" w:color="auto" w:fill="FFFFFF" w:themeFill="background1"/>
            <w:vAlign w:val="center"/>
          </w:tcPr>
          <w:p w14:paraId="094305CF" w14:textId="0F67165B" w:rsidR="00901C90" w:rsidRPr="00FE3F56" w:rsidRDefault="00901C90">
            <w:pPr>
              <w:widowControl w:val="0"/>
              <w:spacing w:line="240" w:lineRule="auto"/>
              <w:jc w:val="center"/>
              <w:rPr>
                <w:rFonts w:cs="Times New Roman"/>
                <w:color w:val="000000" w:themeColor="text1"/>
                <w:lang w:val="en-GB"/>
              </w:rPr>
            </w:pPr>
          </w:p>
        </w:tc>
        <w:tc>
          <w:tcPr>
            <w:tcW w:w="2096" w:type="dxa"/>
            <w:shd w:val="clear" w:color="auto" w:fill="FFFFFF" w:themeFill="background1"/>
            <w:vAlign w:val="center"/>
          </w:tcPr>
          <w:p w14:paraId="094305D0" w14:textId="577121B7" w:rsidR="00901C90" w:rsidRPr="00FE3F56" w:rsidRDefault="00901C90">
            <w:pPr>
              <w:widowControl w:val="0"/>
              <w:spacing w:line="240" w:lineRule="auto"/>
              <w:jc w:val="center"/>
              <w:rPr>
                <w:rFonts w:cs="Times New Roman"/>
                <w:color w:val="000000" w:themeColor="text1"/>
                <w:lang w:val="en-GB"/>
              </w:rPr>
            </w:pPr>
          </w:p>
        </w:tc>
      </w:tr>
      <w:tr w:rsidR="00FE3F56" w:rsidRPr="00FE3F56" w14:paraId="094305D9" w14:textId="77777777">
        <w:trPr>
          <w:trHeight w:val="360"/>
        </w:trPr>
        <w:tc>
          <w:tcPr>
            <w:tcW w:w="2449" w:type="dxa"/>
            <w:shd w:val="clear" w:color="auto" w:fill="FFFFFF" w:themeFill="background1"/>
            <w:vAlign w:val="center"/>
          </w:tcPr>
          <w:p w14:paraId="094305D2" w14:textId="77777777" w:rsidR="00901C90" w:rsidRPr="00FE3F56" w:rsidRDefault="00A34875">
            <w:pPr>
              <w:widowControl w:val="0"/>
              <w:spacing w:line="240" w:lineRule="auto"/>
              <w:jc w:val="left"/>
              <w:rPr>
                <w:rFonts w:cs="Times New Roman"/>
                <w:color w:val="000000" w:themeColor="text1"/>
                <w:lang w:val="en-GB"/>
              </w:rPr>
            </w:pPr>
            <w:r w:rsidRPr="00FE3F56">
              <w:rPr>
                <w:rFonts w:cs="Times New Roman"/>
                <w:color w:val="000000" w:themeColor="text1"/>
                <w:lang w:val="en-GB"/>
              </w:rPr>
              <w:t>Blood donor identity</w:t>
            </w:r>
          </w:p>
        </w:tc>
        <w:tc>
          <w:tcPr>
            <w:tcW w:w="2098" w:type="dxa"/>
            <w:shd w:val="clear" w:color="auto" w:fill="FFFFFF" w:themeFill="background1"/>
            <w:vAlign w:val="center"/>
          </w:tcPr>
          <w:p w14:paraId="094305D3" w14:textId="3E862990"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048</w:t>
            </w:r>
            <w:r w:rsidR="00A34875" w:rsidRPr="00FE3F56">
              <w:rPr>
                <w:rFonts w:cs="Times New Roman"/>
                <w:color w:val="000000" w:themeColor="text1"/>
                <w:vertAlign w:val="superscript"/>
                <w:lang w:val="en-GB"/>
              </w:rPr>
              <w:t>**</w:t>
            </w:r>
          </w:p>
        </w:tc>
        <w:tc>
          <w:tcPr>
            <w:tcW w:w="2098" w:type="dxa"/>
            <w:shd w:val="clear" w:color="auto" w:fill="FFFFFF" w:themeFill="background1"/>
            <w:vAlign w:val="center"/>
          </w:tcPr>
          <w:p w14:paraId="094305D4" w14:textId="137C5623"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087</w:t>
            </w:r>
            <w:r w:rsidR="00A34875" w:rsidRPr="00FE3F56">
              <w:rPr>
                <w:rFonts w:cs="Times New Roman"/>
                <w:color w:val="000000" w:themeColor="text1"/>
                <w:vertAlign w:val="superscript"/>
                <w:lang w:val="en-GB"/>
              </w:rPr>
              <w:t>**</w:t>
            </w:r>
          </w:p>
        </w:tc>
        <w:tc>
          <w:tcPr>
            <w:tcW w:w="2099" w:type="dxa"/>
            <w:shd w:val="clear" w:color="auto" w:fill="FFFFFF" w:themeFill="background1"/>
            <w:vAlign w:val="center"/>
          </w:tcPr>
          <w:p w14:paraId="094305D5" w14:textId="6FA736A6"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081</w:t>
            </w:r>
            <w:r w:rsidR="00A34875" w:rsidRPr="00FE3F56">
              <w:rPr>
                <w:rFonts w:cs="Times New Roman"/>
                <w:color w:val="000000" w:themeColor="text1"/>
                <w:vertAlign w:val="superscript"/>
                <w:lang w:val="en-GB"/>
              </w:rPr>
              <w:t>**</w:t>
            </w:r>
          </w:p>
        </w:tc>
        <w:tc>
          <w:tcPr>
            <w:tcW w:w="2098" w:type="dxa"/>
            <w:shd w:val="clear" w:color="auto" w:fill="FFFFFF" w:themeFill="background1"/>
            <w:vAlign w:val="center"/>
          </w:tcPr>
          <w:p w14:paraId="094305D6" w14:textId="12C566DB"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049</w:t>
            </w:r>
            <w:r w:rsidR="00A34875" w:rsidRPr="00FE3F56">
              <w:rPr>
                <w:rFonts w:cs="Times New Roman"/>
                <w:color w:val="000000" w:themeColor="text1"/>
                <w:vertAlign w:val="superscript"/>
                <w:lang w:val="en-GB"/>
              </w:rPr>
              <w:t>**</w:t>
            </w:r>
          </w:p>
        </w:tc>
        <w:tc>
          <w:tcPr>
            <w:tcW w:w="2099" w:type="dxa"/>
            <w:shd w:val="clear" w:color="auto" w:fill="FFFFFF" w:themeFill="background1"/>
            <w:vAlign w:val="center"/>
          </w:tcPr>
          <w:p w14:paraId="094305D7"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1</w:t>
            </w:r>
          </w:p>
        </w:tc>
        <w:tc>
          <w:tcPr>
            <w:tcW w:w="2096" w:type="dxa"/>
            <w:shd w:val="clear" w:color="auto" w:fill="FFFFFF" w:themeFill="background1"/>
            <w:vAlign w:val="center"/>
          </w:tcPr>
          <w:p w14:paraId="094305D8" w14:textId="2A273D67" w:rsidR="00901C90" w:rsidRPr="00FE3F56" w:rsidRDefault="00901C90">
            <w:pPr>
              <w:widowControl w:val="0"/>
              <w:spacing w:line="240" w:lineRule="auto"/>
              <w:jc w:val="center"/>
              <w:rPr>
                <w:rFonts w:cs="Times New Roman"/>
                <w:color w:val="000000" w:themeColor="text1"/>
                <w:lang w:val="en-GB"/>
              </w:rPr>
            </w:pPr>
          </w:p>
        </w:tc>
      </w:tr>
      <w:tr w:rsidR="00FE3F56" w:rsidRPr="00FE3F56" w14:paraId="094305E1" w14:textId="77777777">
        <w:trPr>
          <w:trHeight w:val="360"/>
        </w:trPr>
        <w:tc>
          <w:tcPr>
            <w:tcW w:w="2449" w:type="dxa"/>
            <w:tcBorders>
              <w:bottom w:val="single" w:sz="4" w:space="0" w:color="000000"/>
            </w:tcBorders>
            <w:shd w:val="clear" w:color="auto" w:fill="FFFFFF" w:themeFill="background1"/>
            <w:vAlign w:val="center"/>
          </w:tcPr>
          <w:p w14:paraId="094305DA" w14:textId="77777777" w:rsidR="00901C90" w:rsidRPr="00FE3F56" w:rsidRDefault="00A34875">
            <w:pPr>
              <w:widowControl w:val="0"/>
              <w:spacing w:line="240" w:lineRule="auto"/>
              <w:jc w:val="left"/>
              <w:rPr>
                <w:rFonts w:cs="Times New Roman"/>
                <w:color w:val="000000" w:themeColor="text1"/>
                <w:lang w:val="en-GB"/>
              </w:rPr>
            </w:pPr>
            <w:r w:rsidRPr="00FE3F56">
              <w:rPr>
                <w:rFonts w:cs="Times New Roman"/>
                <w:color w:val="000000" w:themeColor="text1"/>
                <w:lang w:val="en-GB"/>
              </w:rPr>
              <w:t>Donation frequency</w:t>
            </w:r>
          </w:p>
        </w:tc>
        <w:tc>
          <w:tcPr>
            <w:tcW w:w="2098" w:type="dxa"/>
            <w:tcBorders>
              <w:bottom w:val="single" w:sz="4" w:space="0" w:color="000000"/>
            </w:tcBorders>
            <w:shd w:val="clear" w:color="auto" w:fill="FFFFFF" w:themeFill="background1"/>
            <w:vAlign w:val="center"/>
          </w:tcPr>
          <w:p w14:paraId="094305DB" w14:textId="4A14386A"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032</w:t>
            </w:r>
            <w:r w:rsidR="00A34875" w:rsidRPr="00FE3F56">
              <w:rPr>
                <w:rFonts w:cs="Times New Roman"/>
                <w:color w:val="000000" w:themeColor="text1"/>
                <w:vertAlign w:val="superscript"/>
                <w:lang w:val="en-GB"/>
              </w:rPr>
              <w:t>**</w:t>
            </w:r>
          </w:p>
        </w:tc>
        <w:tc>
          <w:tcPr>
            <w:tcW w:w="2098" w:type="dxa"/>
            <w:tcBorders>
              <w:bottom w:val="single" w:sz="4" w:space="0" w:color="000000"/>
            </w:tcBorders>
            <w:shd w:val="clear" w:color="auto" w:fill="FFFFFF" w:themeFill="background1"/>
            <w:vAlign w:val="center"/>
          </w:tcPr>
          <w:p w14:paraId="094305DC" w14:textId="6079C43F"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002036" w:rsidRPr="00FE3F56">
              <w:rPr>
                <w:rFonts w:cs="Times New Roman"/>
                <w:color w:val="000000" w:themeColor="text1"/>
                <w:lang w:val="en-GB"/>
              </w:rPr>
              <w:t>.</w:t>
            </w:r>
            <w:r w:rsidRPr="00FE3F56">
              <w:rPr>
                <w:rFonts w:cs="Times New Roman"/>
                <w:color w:val="000000" w:themeColor="text1"/>
                <w:lang w:val="en-GB"/>
              </w:rPr>
              <w:t>253</w:t>
            </w:r>
            <w:r w:rsidRPr="00FE3F56">
              <w:rPr>
                <w:rFonts w:cs="Times New Roman"/>
                <w:color w:val="000000" w:themeColor="text1"/>
                <w:vertAlign w:val="superscript"/>
                <w:lang w:val="en-GB"/>
              </w:rPr>
              <w:t>**</w:t>
            </w:r>
          </w:p>
        </w:tc>
        <w:tc>
          <w:tcPr>
            <w:tcW w:w="2099" w:type="dxa"/>
            <w:tcBorders>
              <w:bottom w:val="single" w:sz="4" w:space="0" w:color="000000"/>
            </w:tcBorders>
            <w:shd w:val="clear" w:color="auto" w:fill="FFFFFF" w:themeFill="background1"/>
            <w:vAlign w:val="center"/>
          </w:tcPr>
          <w:p w14:paraId="094305DD" w14:textId="7E3BB3B1"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002036" w:rsidRPr="00FE3F56">
              <w:rPr>
                <w:rFonts w:cs="Times New Roman"/>
                <w:color w:val="000000" w:themeColor="text1"/>
                <w:lang w:val="en-GB"/>
              </w:rPr>
              <w:t>.</w:t>
            </w:r>
            <w:r w:rsidRPr="00FE3F56">
              <w:rPr>
                <w:rFonts w:cs="Times New Roman"/>
                <w:color w:val="000000" w:themeColor="text1"/>
                <w:lang w:val="en-GB"/>
              </w:rPr>
              <w:t>251</w:t>
            </w:r>
            <w:r w:rsidRPr="00FE3F56">
              <w:rPr>
                <w:rFonts w:cs="Times New Roman"/>
                <w:color w:val="000000" w:themeColor="text1"/>
                <w:vertAlign w:val="superscript"/>
                <w:lang w:val="en-GB"/>
              </w:rPr>
              <w:t>**</w:t>
            </w:r>
          </w:p>
        </w:tc>
        <w:tc>
          <w:tcPr>
            <w:tcW w:w="2098" w:type="dxa"/>
            <w:tcBorders>
              <w:bottom w:val="single" w:sz="4" w:space="0" w:color="000000"/>
            </w:tcBorders>
            <w:shd w:val="clear" w:color="auto" w:fill="FFFFFF" w:themeFill="background1"/>
            <w:vAlign w:val="center"/>
          </w:tcPr>
          <w:p w14:paraId="094305DE" w14:textId="50B1A5A8"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002036" w:rsidRPr="00FE3F56">
              <w:rPr>
                <w:rFonts w:cs="Times New Roman"/>
                <w:color w:val="000000" w:themeColor="text1"/>
                <w:lang w:val="en-GB"/>
              </w:rPr>
              <w:t>.</w:t>
            </w:r>
            <w:r w:rsidRPr="00FE3F56">
              <w:rPr>
                <w:rFonts w:cs="Times New Roman"/>
                <w:color w:val="000000" w:themeColor="text1"/>
                <w:lang w:val="en-GB"/>
              </w:rPr>
              <w:t>243</w:t>
            </w:r>
            <w:r w:rsidRPr="00FE3F56">
              <w:rPr>
                <w:rFonts w:cs="Times New Roman"/>
                <w:color w:val="000000" w:themeColor="text1"/>
                <w:vertAlign w:val="superscript"/>
                <w:lang w:val="en-GB"/>
              </w:rPr>
              <w:t>**</w:t>
            </w:r>
          </w:p>
        </w:tc>
        <w:tc>
          <w:tcPr>
            <w:tcW w:w="2099" w:type="dxa"/>
            <w:tcBorders>
              <w:bottom w:val="single" w:sz="4" w:space="0" w:color="000000"/>
            </w:tcBorders>
            <w:shd w:val="clear" w:color="auto" w:fill="FFFFFF" w:themeFill="background1"/>
            <w:vAlign w:val="center"/>
          </w:tcPr>
          <w:p w14:paraId="094305DF" w14:textId="38EEE60A" w:rsidR="00901C90" w:rsidRPr="00FE3F56" w:rsidRDefault="00002036">
            <w:pPr>
              <w:widowControl w:val="0"/>
              <w:spacing w:line="240" w:lineRule="auto"/>
              <w:jc w:val="center"/>
              <w:rPr>
                <w:rFonts w:cs="Times New Roman"/>
                <w:color w:val="000000" w:themeColor="text1"/>
                <w:lang w:val="en-GB"/>
              </w:rPr>
            </w:pPr>
            <w:r w:rsidRPr="00FE3F56">
              <w:rPr>
                <w:rFonts w:cs="Times New Roman"/>
                <w:color w:val="000000" w:themeColor="text1"/>
                <w:lang w:val="en-GB"/>
              </w:rPr>
              <w:t>.</w:t>
            </w:r>
            <w:r w:rsidR="00A34875" w:rsidRPr="00FE3F56">
              <w:rPr>
                <w:rFonts w:cs="Times New Roman"/>
                <w:color w:val="000000" w:themeColor="text1"/>
                <w:lang w:val="en-GB"/>
              </w:rPr>
              <w:t>082</w:t>
            </w:r>
            <w:r w:rsidR="00A34875" w:rsidRPr="00FE3F56">
              <w:rPr>
                <w:rFonts w:cs="Times New Roman"/>
                <w:color w:val="000000" w:themeColor="text1"/>
                <w:vertAlign w:val="superscript"/>
                <w:lang w:val="en-GB"/>
              </w:rPr>
              <w:t>**</w:t>
            </w:r>
          </w:p>
        </w:tc>
        <w:tc>
          <w:tcPr>
            <w:tcW w:w="2096" w:type="dxa"/>
            <w:tcBorders>
              <w:bottom w:val="single" w:sz="4" w:space="0" w:color="000000"/>
            </w:tcBorders>
            <w:shd w:val="clear" w:color="auto" w:fill="FFFFFF" w:themeFill="background1"/>
            <w:vAlign w:val="center"/>
          </w:tcPr>
          <w:p w14:paraId="094305E0" w14:textId="77777777" w:rsidR="00901C90" w:rsidRPr="00FE3F56" w:rsidRDefault="00A34875">
            <w:pPr>
              <w:widowControl w:val="0"/>
              <w:spacing w:line="240" w:lineRule="auto"/>
              <w:jc w:val="center"/>
              <w:rPr>
                <w:rFonts w:cs="Times New Roman"/>
                <w:color w:val="000000" w:themeColor="text1"/>
                <w:lang w:val="en-GB"/>
              </w:rPr>
            </w:pPr>
            <w:r w:rsidRPr="00FE3F56">
              <w:rPr>
                <w:rFonts w:cs="Times New Roman"/>
                <w:color w:val="000000" w:themeColor="text1"/>
                <w:lang w:val="en-GB"/>
              </w:rPr>
              <w:t>1</w:t>
            </w:r>
          </w:p>
        </w:tc>
      </w:tr>
    </w:tbl>
    <w:p w14:paraId="094305E2" w14:textId="77777777" w:rsidR="00901C90" w:rsidRPr="00FE3F56" w:rsidRDefault="00A34875">
      <w:pPr>
        <w:spacing w:after="0" w:line="240" w:lineRule="auto"/>
        <w:rPr>
          <w:rFonts w:cs="Times New Roman"/>
          <w:i/>
          <w:iCs/>
          <w:color w:val="000000" w:themeColor="text1"/>
          <w:lang w:val="en-GB"/>
        </w:rPr>
      </w:pPr>
      <w:r w:rsidRPr="00FE3F56">
        <w:rPr>
          <w:rFonts w:cs="Times New Roman"/>
          <w:i/>
          <w:iCs/>
          <w:color w:val="000000" w:themeColor="text1"/>
          <w:lang w:val="en-GB"/>
        </w:rPr>
        <w:t>**. Correlation is significant at the 0.01 level (2-tailed).</w:t>
      </w:r>
      <w:r w:rsidRPr="00FE3F56">
        <w:rPr>
          <w:rFonts w:cs="Times New Roman"/>
          <w:i/>
          <w:iCs/>
          <w:color w:val="000000" w:themeColor="text1"/>
          <w:lang w:val="en-GB"/>
        </w:rPr>
        <w:tab/>
      </w:r>
      <w:r w:rsidRPr="00FE3F56">
        <w:rPr>
          <w:rFonts w:cs="Times New Roman"/>
          <w:i/>
          <w:iCs/>
          <w:color w:val="000000" w:themeColor="text1"/>
          <w:lang w:val="en-GB"/>
        </w:rPr>
        <w:tab/>
      </w:r>
      <w:r w:rsidRPr="00FE3F56">
        <w:rPr>
          <w:rFonts w:cs="Times New Roman"/>
          <w:i/>
          <w:iCs/>
          <w:color w:val="000000" w:themeColor="text1"/>
          <w:lang w:val="en-GB"/>
        </w:rPr>
        <w:tab/>
      </w:r>
      <w:r w:rsidRPr="00FE3F56">
        <w:rPr>
          <w:rFonts w:cs="Times New Roman"/>
          <w:i/>
          <w:iCs/>
          <w:color w:val="000000" w:themeColor="text1"/>
          <w:lang w:val="en-GB"/>
        </w:rPr>
        <w:tab/>
      </w:r>
      <w:r w:rsidRPr="00FE3F56">
        <w:rPr>
          <w:rFonts w:cs="Times New Roman"/>
          <w:i/>
          <w:iCs/>
          <w:color w:val="000000" w:themeColor="text1"/>
          <w:lang w:val="en-GB"/>
        </w:rPr>
        <w:tab/>
      </w:r>
      <w:r w:rsidRPr="00FE3F56">
        <w:rPr>
          <w:rFonts w:cs="Times New Roman"/>
          <w:i/>
          <w:iCs/>
          <w:color w:val="000000" w:themeColor="text1"/>
          <w:lang w:val="en-GB"/>
        </w:rPr>
        <w:tab/>
      </w:r>
    </w:p>
    <w:p w14:paraId="094305E3" w14:textId="77777777" w:rsidR="00901C90" w:rsidRPr="00FE3F56" w:rsidRDefault="00A34875">
      <w:pPr>
        <w:spacing w:after="0" w:line="240" w:lineRule="auto"/>
        <w:rPr>
          <w:rFonts w:cs="Times New Roman"/>
          <w:b/>
          <w:bCs/>
          <w:color w:val="000000" w:themeColor="text1"/>
          <w:lang w:val="en-GB"/>
        </w:rPr>
        <w:sectPr w:rsidR="00901C90" w:rsidRPr="00FE3F56">
          <w:pgSz w:w="16838" w:h="11906" w:orient="landscape"/>
          <w:pgMar w:top="1440" w:right="1440" w:bottom="1440" w:left="1440" w:header="0" w:footer="0" w:gutter="0"/>
          <w:cols w:space="720"/>
          <w:formProt w:val="0"/>
          <w:docGrid w:linePitch="360" w:charSpace="4096"/>
        </w:sectPr>
      </w:pPr>
      <w:r w:rsidRPr="00FE3F56">
        <w:rPr>
          <w:rFonts w:cs="Times New Roman"/>
          <w:i/>
          <w:iCs/>
          <w:color w:val="000000" w:themeColor="text1"/>
          <w:lang w:val="en-GB"/>
        </w:rPr>
        <w:t>*. Correlation is significant at the 0.05 level (2-tailed).</w:t>
      </w:r>
      <w:r w:rsidRPr="00FE3F56">
        <w:rPr>
          <w:rFonts w:cs="Times New Roman"/>
          <w:i/>
          <w:iCs/>
          <w:color w:val="000000" w:themeColor="text1"/>
          <w:lang w:val="en-GB"/>
        </w:rPr>
        <w:tab/>
      </w:r>
      <w:r w:rsidRPr="00FE3F56">
        <w:rPr>
          <w:rFonts w:cs="Times New Roman"/>
          <w:i/>
          <w:iCs/>
          <w:color w:val="000000" w:themeColor="text1"/>
          <w:lang w:val="en-GB"/>
        </w:rPr>
        <w:tab/>
      </w:r>
      <w:r w:rsidRPr="00FE3F56">
        <w:rPr>
          <w:rFonts w:cs="Times New Roman"/>
          <w:b/>
          <w:bCs/>
          <w:color w:val="000000" w:themeColor="text1"/>
          <w:lang w:val="en-GB"/>
        </w:rPr>
        <w:tab/>
      </w:r>
      <w:r w:rsidRPr="00FE3F56">
        <w:rPr>
          <w:rFonts w:cs="Times New Roman"/>
          <w:b/>
          <w:bCs/>
          <w:color w:val="000000" w:themeColor="text1"/>
          <w:lang w:val="en-GB"/>
        </w:rPr>
        <w:tab/>
      </w:r>
      <w:r w:rsidRPr="00FE3F56">
        <w:rPr>
          <w:rFonts w:cs="Times New Roman"/>
          <w:b/>
          <w:bCs/>
          <w:color w:val="000000" w:themeColor="text1"/>
          <w:lang w:val="en-GB"/>
        </w:rPr>
        <w:tab/>
      </w:r>
    </w:p>
    <w:p w14:paraId="094305E4" w14:textId="5CEBF354" w:rsidR="00901C90" w:rsidRPr="003457D3" w:rsidRDefault="003457D3">
      <w:pPr>
        <w:pStyle w:val="Heading2"/>
        <w:rPr>
          <w:rFonts w:cs="Times New Roman"/>
          <w:b w:val="0"/>
          <w:bCs/>
          <w:i/>
          <w:iCs/>
          <w:lang w:val="en-GB"/>
        </w:rPr>
      </w:pPr>
      <w:r w:rsidRPr="003457D3">
        <w:rPr>
          <w:rFonts w:cs="Times New Roman"/>
          <w:b w:val="0"/>
          <w:bCs/>
          <w:i/>
          <w:iCs/>
          <w:lang w:val="en-GB"/>
        </w:rPr>
        <w:lastRenderedPageBreak/>
        <w:t>3.2.</w:t>
      </w:r>
      <w:r w:rsidR="00A34875" w:rsidRPr="003457D3">
        <w:rPr>
          <w:rFonts w:cs="Times New Roman"/>
          <w:b w:val="0"/>
          <w:bCs/>
          <w:i/>
          <w:iCs/>
          <w:lang w:val="en-GB"/>
        </w:rPr>
        <w:t>Control variables</w:t>
      </w:r>
    </w:p>
    <w:p w14:paraId="094305E6" w14:textId="4138EFD6" w:rsidR="00901C90" w:rsidRPr="00FE3F56" w:rsidRDefault="00A34875">
      <w:pPr>
        <w:rPr>
          <w:rFonts w:cs="Times New Roman"/>
          <w:color w:val="000000" w:themeColor="text1"/>
          <w:lang w:val="en-GB"/>
        </w:rPr>
      </w:pPr>
      <w:r w:rsidRPr="00FE3F56">
        <w:rPr>
          <w:rFonts w:cs="Times New Roman"/>
          <w:color w:val="000000" w:themeColor="text1"/>
          <w:lang w:val="en-GB"/>
        </w:rPr>
        <w:t>We began our analysis with model 1 where we included the sociodemographic and donor characteristics control variables. We maintained these variables in all subsequent models. The model results for the sociodemographic and donor characteristics control variables, included in models 1-4, can be seen in the Appendix.</w:t>
      </w:r>
    </w:p>
    <w:p w14:paraId="094305E8" w14:textId="6754C3EA" w:rsidR="00901C90" w:rsidRPr="003457D3" w:rsidRDefault="00A34875" w:rsidP="003457D3">
      <w:pPr>
        <w:spacing w:after="0"/>
        <w:rPr>
          <w:rFonts w:cs="Times New Roman"/>
          <w:color w:val="000000" w:themeColor="text1"/>
          <w:lang w:val="en-GB"/>
        </w:rPr>
      </w:pPr>
      <w:r w:rsidRPr="003457D3">
        <w:rPr>
          <w:rFonts w:cs="Times New Roman"/>
          <w:color w:val="000000" w:themeColor="text1"/>
          <w:lang w:val="en-GB"/>
        </w:rPr>
        <w:t>Table 3</w:t>
      </w:r>
      <w:r w:rsidR="003457D3" w:rsidRPr="003457D3">
        <w:rPr>
          <w:rFonts w:cs="Times New Roman"/>
          <w:color w:val="000000" w:themeColor="text1"/>
          <w:lang w:val="en-GB"/>
        </w:rPr>
        <w:t xml:space="preserve">. </w:t>
      </w:r>
      <w:r w:rsidRPr="003457D3">
        <w:rPr>
          <w:rFonts w:cs="Times New Roman"/>
          <w:color w:val="000000" w:themeColor="text1"/>
          <w:lang w:val="en-GB"/>
        </w:rPr>
        <w:t>Model Results Summary</w:t>
      </w:r>
    </w:p>
    <w:tbl>
      <w:tblPr>
        <w:tblW w:w="10765" w:type="dxa"/>
        <w:jc w:val="center"/>
        <w:tblLayout w:type="fixed"/>
        <w:tblLook w:val="04A0" w:firstRow="1" w:lastRow="0" w:firstColumn="1" w:lastColumn="0" w:noHBand="0" w:noVBand="1"/>
      </w:tblPr>
      <w:tblGrid>
        <w:gridCol w:w="2483"/>
        <w:gridCol w:w="971"/>
        <w:gridCol w:w="839"/>
        <w:gridCol w:w="831"/>
        <w:gridCol w:w="926"/>
        <w:gridCol w:w="972"/>
        <w:gridCol w:w="782"/>
        <w:gridCol w:w="930"/>
        <w:gridCol w:w="932"/>
        <w:gridCol w:w="863"/>
        <w:gridCol w:w="236"/>
      </w:tblGrid>
      <w:tr w:rsidR="00FE3F56" w:rsidRPr="00FE3F56" w14:paraId="094305EE" w14:textId="77777777">
        <w:trPr>
          <w:trHeight w:val="300"/>
          <w:jc w:val="center"/>
        </w:trPr>
        <w:tc>
          <w:tcPr>
            <w:tcW w:w="2486" w:type="dxa"/>
            <w:tcBorders>
              <w:top w:val="single" w:sz="8" w:space="0" w:color="000000"/>
            </w:tcBorders>
            <w:shd w:val="clear" w:color="auto" w:fill="auto"/>
            <w:vAlign w:val="center"/>
          </w:tcPr>
          <w:p w14:paraId="094305E9"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2639" w:type="dxa"/>
            <w:gridSpan w:val="3"/>
            <w:tcBorders>
              <w:top w:val="single" w:sz="8" w:space="0" w:color="000000"/>
              <w:bottom w:val="single" w:sz="8" w:space="0" w:color="000000"/>
            </w:tcBorders>
            <w:shd w:val="clear" w:color="auto" w:fill="auto"/>
            <w:vAlign w:val="center"/>
          </w:tcPr>
          <w:p w14:paraId="094305E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Model 2</w:t>
            </w:r>
          </w:p>
        </w:tc>
        <w:tc>
          <w:tcPr>
            <w:tcW w:w="2678" w:type="dxa"/>
            <w:gridSpan w:val="3"/>
            <w:tcBorders>
              <w:top w:val="single" w:sz="8" w:space="0" w:color="000000"/>
              <w:bottom w:val="single" w:sz="8" w:space="0" w:color="000000"/>
            </w:tcBorders>
            <w:shd w:val="clear" w:color="auto" w:fill="auto"/>
            <w:vAlign w:val="center"/>
          </w:tcPr>
          <w:p w14:paraId="094305E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Model 3</w:t>
            </w:r>
          </w:p>
        </w:tc>
        <w:tc>
          <w:tcPr>
            <w:tcW w:w="2728" w:type="dxa"/>
            <w:gridSpan w:val="3"/>
            <w:tcBorders>
              <w:top w:val="single" w:sz="8" w:space="0" w:color="000000"/>
              <w:bottom w:val="single" w:sz="8" w:space="0" w:color="000000"/>
            </w:tcBorders>
            <w:shd w:val="clear" w:color="auto" w:fill="auto"/>
            <w:vAlign w:val="center"/>
          </w:tcPr>
          <w:p w14:paraId="094305E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Model 4</w:t>
            </w:r>
          </w:p>
        </w:tc>
        <w:tc>
          <w:tcPr>
            <w:tcW w:w="233" w:type="dxa"/>
          </w:tcPr>
          <w:p w14:paraId="094305ED" w14:textId="77777777" w:rsidR="00901C90" w:rsidRPr="00FE3F56" w:rsidRDefault="00901C90">
            <w:pPr>
              <w:widowControl w:val="0"/>
              <w:rPr>
                <w:rFonts w:cs="Times New Roman"/>
                <w:color w:val="000000" w:themeColor="text1"/>
              </w:rPr>
            </w:pPr>
          </w:p>
        </w:tc>
      </w:tr>
      <w:tr w:rsidR="00FE3F56" w:rsidRPr="00FE3F56" w14:paraId="094305F9" w14:textId="77777777">
        <w:trPr>
          <w:trHeight w:val="300"/>
          <w:jc w:val="center"/>
        </w:trPr>
        <w:tc>
          <w:tcPr>
            <w:tcW w:w="2486" w:type="dxa"/>
            <w:shd w:val="clear" w:color="auto" w:fill="auto"/>
            <w:vAlign w:val="center"/>
          </w:tcPr>
          <w:p w14:paraId="094305EF"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72" w:type="dxa"/>
            <w:tcBorders>
              <w:bottom w:val="single" w:sz="8" w:space="0" w:color="000000"/>
            </w:tcBorders>
            <w:shd w:val="clear" w:color="auto" w:fill="auto"/>
            <w:vAlign w:val="center"/>
          </w:tcPr>
          <w:p w14:paraId="094305F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B</w:t>
            </w:r>
          </w:p>
        </w:tc>
        <w:tc>
          <w:tcPr>
            <w:tcW w:w="840" w:type="dxa"/>
            <w:tcBorders>
              <w:bottom w:val="single" w:sz="8" w:space="0" w:color="000000"/>
            </w:tcBorders>
            <w:shd w:val="clear" w:color="auto" w:fill="auto"/>
            <w:vAlign w:val="center"/>
          </w:tcPr>
          <w:p w14:paraId="094305F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SE</w:t>
            </w:r>
          </w:p>
        </w:tc>
        <w:tc>
          <w:tcPr>
            <w:tcW w:w="832" w:type="dxa"/>
            <w:tcBorders>
              <w:bottom w:val="single" w:sz="8" w:space="0" w:color="000000"/>
            </w:tcBorders>
            <w:shd w:val="clear" w:color="auto" w:fill="auto"/>
            <w:vAlign w:val="center"/>
          </w:tcPr>
          <w:p w14:paraId="094305F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Sig.</w:t>
            </w:r>
          </w:p>
        </w:tc>
        <w:tc>
          <w:tcPr>
            <w:tcW w:w="927" w:type="dxa"/>
            <w:tcBorders>
              <w:bottom w:val="single" w:sz="8" w:space="0" w:color="000000"/>
            </w:tcBorders>
            <w:shd w:val="clear" w:color="auto" w:fill="auto"/>
            <w:vAlign w:val="center"/>
          </w:tcPr>
          <w:p w14:paraId="094305F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B</w:t>
            </w:r>
          </w:p>
        </w:tc>
        <w:tc>
          <w:tcPr>
            <w:tcW w:w="973" w:type="dxa"/>
            <w:tcBorders>
              <w:bottom w:val="single" w:sz="8" w:space="0" w:color="000000"/>
            </w:tcBorders>
            <w:shd w:val="clear" w:color="auto" w:fill="auto"/>
            <w:vAlign w:val="center"/>
          </w:tcPr>
          <w:p w14:paraId="094305F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SE</w:t>
            </w:r>
          </w:p>
        </w:tc>
        <w:tc>
          <w:tcPr>
            <w:tcW w:w="783" w:type="dxa"/>
            <w:tcBorders>
              <w:bottom w:val="single" w:sz="8" w:space="0" w:color="000000"/>
            </w:tcBorders>
            <w:shd w:val="clear" w:color="auto" w:fill="auto"/>
            <w:vAlign w:val="center"/>
          </w:tcPr>
          <w:p w14:paraId="094305F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Sig.</w:t>
            </w:r>
          </w:p>
        </w:tc>
        <w:tc>
          <w:tcPr>
            <w:tcW w:w="931" w:type="dxa"/>
            <w:tcBorders>
              <w:bottom w:val="single" w:sz="8" w:space="0" w:color="000000"/>
            </w:tcBorders>
            <w:shd w:val="clear" w:color="auto" w:fill="auto"/>
            <w:vAlign w:val="center"/>
          </w:tcPr>
          <w:p w14:paraId="094305F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B</w:t>
            </w:r>
          </w:p>
        </w:tc>
        <w:tc>
          <w:tcPr>
            <w:tcW w:w="933" w:type="dxa"/>
            <w:tcBorders>
              <w:bottom w:val="single" w:sz="8" w:space="0" w:color="000000"/>
            </w:tcBorders>
            <w:shd w:val="clear" w:color="auto" w:fill="auto"/>
            <w:vAlign w:val="center"/>
          </w:tcPr>
          <w:p w14:paraId="094305F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SE</w:t>
            </w:r>
          </w:p>
        </w:tc>
        <w:tc>
          <w:tcPr>
            <w:tcW w:w="1087" w:type="dxa"/>
            <w:gridSpan w:val="2"/>
            <w:tcBorders>
              <w:bottom w:val="single" w:sz="8" w:space="0" w:color="000000"/>
            </w:tcBorders>
            <w:shd w:val="clear" w:color="auto" w:fill="auto"/>
            <w:vAlign w:val="center"/>
          </w:tcPr>
          <w:p w14:paraId="094305F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Sig.</w:t>
            </w:r>
          </w:p>
        </w:tc>
      </w:tr>
      <w:tr w:rsidR="00FE3F56" w:rsidRPr="00FE3F56" w14:paraId="09430604" w14:textId="77777777">
        <w:trPr>
          <w:trHeight w:val="290"/>
          <w:jc w:val="center"/>
        </w:trPr>
        <w:tc>
          <w:tcPr>
            <w:tcW w:w="2486" w:type="dxa"/>
            <w:shd w:val="clear" w:color="auto" w:fill="auto"/>
            <w:vAlign w:val="center"/>
          </w:tcPr>
          <w:p w14:paraId="094305FA" w14:textId="77777777" w:rsidR="00901C90" w:rsidRPr="00FE3F56" w:rsidRDefault="00A34875">
            <w:pPr>
              <w:widowControl w:val="0"/>
              <w:spacing w:after="0" w:line="240" w:lineRule="auto"/>
              <w:jc w:val="left"/>
              <w:rPr>
                <w:rFonts w:eastAsia="Times New Roman" w:cs="Times New Roman"/>
                <w:color w:val="000000" w:themeColor="text1"/>
                <w:lang w:val="en-GB"/>
              </w:rPr>
            </w:pPr>
            <w:r w:rsidRPr="00FE3F56">
              <w:rPr>
                <w:rFonts w:eastAsia="Times New Roman" w:cs="Times New Roman"/>
                <w:color w:val="000000" w:themeColor="text1"/>
                <w:lang w:val="en-GB"/>
              </w:rPr>
              <w:t>Parent's Donor Identity</w:t>
            </w:r>
          </w:p>
        </w:tc>
        <w:tc>
          <w:tcPr>
            <w:tcW w:w="972" w:type="dxa"/>
            <w:shd w:val="clear" w:color="auto" w:fill="auto"/>
            <w:vAlign w:val="center"/>
          </w:tcPr>
          <w:p w14:paraId="094305F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0.056</w:t>
            </w:r>
          </w:p>
        </w:tc>
        <w:tc>
          <w:tcPr>
            <w:tcW w:w="840" w:type="dxa"/>
            <w:shd w:val="clear" w:color="auto" w:fill="auto"/>
            <w:vAlign w:val="center"/>
          </w:tcPr>
          <w:p w14:paraId="094305F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0.010</w:t>
            </w:r>
          </w:p>
        </w:tc>
        <w:tc>
          <w:tcPr>
            <w:tcW w:w="832" w:type="dxa"/>
            <w:shd w:val="clear" w:color="auto" w:fill="auto"/>
            <w:vAlign w:val="center"/>
          </w:tcPr>
          <w:p w14:paraId="094305F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c>
          <w:tcPr>
            <w:tcW w:w="927" w:type="dxa"/>
            <w:shd w:val="clear" w:color="auto" w:fill="auto"/>
            <w:vAlign w:val="center"/>
          </w:tcPr>
          <w:p w14:paraId="094305F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0.051</w:t>
            </w:r>
          </w:p>
        </w:tc>
        <w:tc>
          <w:tcPr>
            <w:tcW w:w="973" w:type="dxa"/>
            <w:shd w:val="clear" w:color="auto" w:fill="auto"/>
            <w:vAlign w:val="center"/>
          </w:tcPr>
          <w:p w14:paraId="094305F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0.010</w:t>
            </w:r>
          </w:p>
        </w:tc>
        <w:tc>
          <w:tcPr>
            <w:tcW w:w="783" w:type="dxa"/>
            <w:shd w:val="clear" w:color="auto" w:fill="auto"/>
            <w:vAlign w:val="center"/>
          </w:tcPr>
          <w:p w14:paraId="0943060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c>
          <w:tcPr>
            <w:tcW w:w="931" w:type="dxa"/>
            <w:shd w:val="clear" w:color="auto" w:fill="auto"/>
            <w:vAlign w:val="center"/>
          </w:tcPr>
          <w:p w14:paraId="0943060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0.051</w:t>
            </w:r>
          </w:p>
        </w:tc>
        <w:tc>
          <w:tcPr>
            <w:tcW w:w="933" w:type="dxa"/>
            <w:shd w:val="clear" w:color="auto" w:fill="auto"/>
            <w:vAlign w:val="center"/>
          </w:tcPr>
          <w:p w14:paraId="0943060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0.010</w:t>
            </w:r>
          </w:p>
        </w:tc>
        <w:tc>
          <w:tcPr>
            <w:tcW w:w="1087" w:type="dxa"/>
            <w:gridSpan w:val="2"/>
            <w:shd w:val="clear" w:color="auto" w:fill="auto"/>
            <w:vAlign w:val="center"/>
          </w:tcPr>
          <w:p w14:paraId="0943060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&lt;.001</w:t>
            </w:r>
          </w:p>
        </w:tc>
      </w:tr>
      <w:tr w:rsidR="00FE3F56" w:rsidRPr="00FE3F56" w14:paraId="0943060F" w14:textId="77777777">
        <w:trPr>
          <w:trHeight w:val="290"/>
          <w:jc w:val="center"/>
        </w:trPr>
        <w:tc>
          <w:tcPr>
            <w:tcW w:w="2486" w:type="dxa"/>
            <w:shd w:val="clear" w:color="auto" w:fill="auto"/>
            <w:vAlign w:val="center"/>
          </w:tcPr>
          <w:p w14:paraId="09430605" w14:textId="77777777" w:rsidR="00901C90" w:rsidRPr="00FE3F56" w:rsidRDefault="00A34875">
            <w:pPr>
              <w:widowControl w:val="0"/>
              <w:spacing w:after="0" w:line="240" w:lineRule="auto"/>
              <w:jc w:val="left"/>
              <w:rPr>
                <w:rFonts w:eastAsia="Times New Roman" w:cs="Times New Roman"/>
                <w:color w:val="000000" w:themeColor="text1"/>
                <w:lang w:val="en-GB"/>
              </w:rPr>
            </w:pPr>
            <w:r w:rsidRPr="00FE3F56">
              <w:rPr>
                <w:rFonts w:eastAsia="Times New Roman" w:cs="Times New Roman"/>
                <w:color w:val="000000" w:themeColor="text1"/>
                <w:lang w:val="en-GB"/>
              </w:rPr>
              <w:t>Frequency of blood donation</w:t>
            </w:r>
          </w:p>
        </w:tc>
        <w:tc>
          <w:tcPr>
            <w:tcW w:w="972" w:type="dxa"/>
            <w:shd w:val="clear" w:color="auto" w:fill="auto"/>
            <w:vAlign w:val="center"/>
          </w:tcPr>
          <w:p w14:paraId="09430606"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840" w:type="dxa"/>
            <w:shd w:val="clear" w:color="auto" w:fill="auto"/>
            <w:vAlign w:val="center"/>
          </w:tcPr>
          <w:p w14:paraId="09430607"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832" w:type="dxa"/>
            <w:shd w:val="clear" w:color="auto" w:fill="auto"/>
            <w:vAlign w:val="center"/>
          </w:tcPr>
          <w:p w14:paraId="09430608"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27" w:type="dxa"/>
            <w:shd w:val="clear" w:color="auto" w:fill="auto"/>
            <w:vAlign w:val="center"/>
          </w:tcPr>
          <w:p w14:paraId="0943060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0.008</w:t>
            </w:r>
          </w:p>
        </w:tc>
        <w:tc>
          <w:tcPr>
            <w:tcW w:w="973" w:type="dxa"/>
            <w:shd w:val="clear" w:color="auto" w:fill="auto"/>
            <w:vAlign w:val="center"/>
          </w:tcPr>
          <w:p w14:paraId="0943060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0.001</w:t>
            </w:r>
          </w:p>
        </w:tc>
        <w:tc>
          <w:tcPr>
            <w:tcW w:w="783" w:type="dxa"/>
            <w:shd w:val="clear" w:color="auto" w:fill="auto"/>
            <w:vAlign w:val="center"/>
          </w:tcPr>
          <w:p w14:paraId="0943060B" w14:textId="77777777" w:rsidR="00901C90" w:rsidRPr="00FE3F56" w:rsidRDefault="00A34875">
            <w:pPr>
              <w:widowControl w:val="0"/>
              <w:spacing w:after="0" w:line="240" w:lineRule="auto"/>
              <w:jc w:val="center"/>
              <w:rPr>
                <w:rFonts w:eastAsia="Times New Roman" w:cs="Times New Roman"/>
                <w:color w:val="000000" w:themeColor="text1"/>
                <w:highlight w:val="yellow"/>
                <w:lang w:val="en-GB"/>
              </w:rPr>
            </w:pPr>
            <w:r w:rsidRPr="00FE3F56">
              <w:rPr>
                <w:rFonts w:eastAsia="Times New Roman" w:cs="Times New Roman"/>
                <w:color w:val="000000" w:themeColor="text1"/>
                <w:lang w:val="en-GB"/>
              </w:rPr>
              <w:t>&lt;.001</w:t>
            </w:r>
          </w:p>
        </w:tc>
        <w:tc>
          <w:tcPr>
            <w:tcW w:w="931" w:type="dxa"/>
            <w:shd w:val="clear" w:color="auto" w:fill="auto"/>
            <w:vAlign w:val="center"/>
          </w:tcPr>
          <w:p w14:paraId="0943060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0.007</w:t>
            </w:r>
          </w:p>
        </w:tc>
        <w:tc>
          <w:tcPr>
            <w:tcW w:w="933" w:type="dxa"/>
            <w:shd w:val="clear" w:color="auto" w:fill="auto"/>
            <w:vAlign w:val="center"/>
          </w:tcPr>
          <w:p w14:paraId="0943060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0.001</w:t>
            </w:r>
          </w:p>
        </w:tc>
        <w:tc>
          <w:tcPr>
            <w:tcW w:w="1087" w:type="dxa"/>
            <w:gridSpan w:val="2"/>
            <w:shd w:val="clear" w:color="auto" w:fill="auto"/>
            <w:vAlign w:val="center"/>
          </w:tcPr>
          <w:p w14:paraId="0943060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&lt;.001</w:t>
            </w:r>
          </w:p>
        </w:tc>
      </w:tr>
      <w:tr w:rsidR="00FE3F56" w:rsidRPr="00FE3F56" w14:paraId="0943061A" w14:textId="77777777">
        <w:trPr>
          <w:trHeight w:val="290"/>
          <w:jc w:val="center"/>
        </w:trPr>
        <w:tc>
          <w:tcPr>
            <w:tcW w:w="2486" w:type="dxa"/>
            <w:shd w:val="clear" w:color="auto" w:fill="auto"/>
            <w:vAlign w:val="center"/>
          </w:tcPr>
          <w:p w14:paraId="09430610" w14:textId="77777777" w:rsidR="00901C90" w:rsidRPr="00FE3F56" w:rsidRDefault="00A34875">
            <w:pPr>
              <w:widowControl w:val="0"/>
              <w:spacing w:after="0" w:line="240" w:lineRule="auto"/>
              <w:jc w:val="left"/>
              <w:rPr>
                <w:rFonts w:eastAsia="Times New Roman" w:cs="Times New Roman"/>
                <w:color w:val="000000" w:themeColor="text1"/>
                <w:lang w:val="en-GB"/>
              </w:rPr>
            </w:pPr>
            <w:r w:rsidRPr="00FE3F56">
              <w:rPr>
                <w:rFonts w:eastAsia="Times New Roman" w:cs="Times New Roman"/>
                <w:color w:val="000000" w:themeColor="text1"/>
                <w:lang w:val="en-GB"/>
              </w:rPr>
              <w:t>The parent donated during the child’s childhood period (3y-11y)</w:t>
            </w:r>
          </w:p>
        </w:tc>
        <w:tc>
          <w:tcPr>
            <w:tcW w:w="972" w:type="dxa"/>
            <w:shd w:val="clear" w:color="auto" w:fill="auto"/>
            <w:vAlign w:val="center"/>
          </w:tcPr>
          <w:p w14:paraId="09430611"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840" w:type="dxa"/>
            <w:shd w:val="clear" w:color="auto" w:fill="auto"/>
            <w:vAlign w:val="center"/>
          </w:tcPr>
          <w:p w14:paraId="09430612"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832" w:type="dxa"/>
            <w:shd w:val="clear" w:color="auto" w:fill="auto"/>
            <w:vAlign w:val="center"/>
          </w:tcPr>
          <w:p w14:paraId="09430613"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27" w:type="dxa"/>
            <w:shd w:val="clear" w:color="auto" w:fill="auto"/>
            <w:vAlign w:val="center"/>
          </w:tcPr>
          <w:p w14:paraId="09430614"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73" w:type="dxa"/>
            <w:shd w:val="clear" w:color="auto" w:fill="auto"/>
            <w:vAlign w:val="center"/>
          </w:tcPr>
          <w:p w14:paraId="09430615"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783" w:type="dxa"/>
            <w:shd w:val="clear" w:color="auto" w:fill="auto"/>
            <w:vAlign w:val="center"/>
          </w:tcPr>
          <w:p w14:paraId="09430616"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31" w:type="dxa"/>
            <w:shd w:val="clear" w:color="auto" w:fill="auto"/>
            <w:vAlign w:val="center"/>
          </w:tcPr>
          <w:p w14:paraId="0943061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0.049</w:t>
            </w:r>
          </w:p>
        </w:tc>
        <w:tc>
          <w:tcPr>
            <w:tcW w:w="933" w:type="dxa"/>
            <w:shd w:val="clear" w:color="auto" w:fill="auto"/>
            <w:vAlign w:val="center"/>
          </w:tcPr>
          <w:p w14:paraId="0943061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0.065</w:t>
            </w:r>
          </w:p>
        </w:tc>
        <w:tc>
          <w:tcPr>
            <w:tcW w:w="1087" w:type="dxa"/>
            <w:gridSpan w:val="2"/>
            <w:shd w:val="clear" w:color="auto" w:fill="auto"/>
            <w:vAlign w:val="center"/>
          </w:tcPr>
          <w:p w14:paraId="0943061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0.448</w:t>
            </w:r>
          </w:p>
        </w:tc>
      </w:tr>
      <w:tr w:rsidR="00FE3F56" w:rsidRPr="00FE3F56" w14:paraId="09430625" w14:textId="77777777">
        <w:trPr>
          <w:trHeight w:val="290"/>
          <w:jc w:val="center"/>
        </w:trPr>
        <w:tc>
          <w:tcPr>
            <w:tcW w:w="2486" w:type="dxa"/>
            <w:shd w:val="clear" w:color="auto" w:fill="auto"/>
            <w:vAlign w:val="center"/>
          </w:tcPr>
          <w:p w14:paraId="0943061B" w14:textId="77777777" w:rsidR="00901C90" w:rsidRPr="00FE3F56" w:rsidRDefault="00A34875">
            <w:pPr>
              <w:widowControl w:val="0"/>
              <w:spacing w:after="0" w:line="240" w:lineRule="auto"/>
              <w:jc w:val="left"/>
              <w:rPr>
                <w:rFonts w:eastAsia="Times New Roman" w:cs="Times New Roman"/>
                <w:color w:val="000000" w:themeColor="text1"/>
                <w:lang w:val="en-GB"/>
              </w:rPr>
            </w:pPr>
            <w:r w:rsidRPr="00FE3F56">
              <w:rPr>
                <w:rFonts w:eastAsia="Times New Roman" w:cs="Times New Roman"/>
                <w:color w:val="000000" w:themeColor="text1"/>
                <w:lang w:val="en-GB"/>
              </w:rPr>
              <w:t>The parent donated during the child’s adolescence period (12y-18y)</w:t>
            </w:r>
          </w:p>
        </w:tc>
        <w:tc>
          <w:tcPr>
            <w:tcW w:w="972" w:type="dxa"/>
            <w:shd w:val="clear" w:color="auto" w:fill="auto"/>
            <w:vAlign w:val="center"/>
          </w:tcPr>
          <w:p w14:paraId="0943061C"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840" w:type="dxa"/>
            <w:shd w:val="clear" w:color="auto" w:fill="auto"/>
            <w:vAlign w:val="center"/>
          </w:tcPr>
          <w:p w14:paraId="0943061D"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832" w:type="dxa"/>
            <w:shd w:val="clear" w:color="auto" w:fill="auto"/>
            <w:vAlign w:val="center"/>
          </w:tcPr>
          <w:p w14:paraId="0943061E"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27" w:type="dxa"/>
            <w:shd w:val="clear" w:color="auto" w:fill="auto"/>
            <w:vAlign w:val="center"/>
          </w:tcPr>
          <w:p w14:paraId="0943061F"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73" w:type="dxa"/>
            <w:shd w:val="clear" w:color="auto" w:fill="auto"/>
            <w:vAlign w:val="center"/>
          </w:tcPr>
          <w:p w14:paraId="09430620"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783" w:type="dxa"/>
            <w:shd w:val="clear" w:color="auto" w:fill="auto"/>
            <w:vAlign w:val="center"/>
          </w:tcPr>
          <w:p w14:paraId="09430621"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31" w:type="dxa"/>
            <w:shd w:val="clear" w:color="auto" w:fill="auto"/>
            <w:vAlign w:val="center"/>
          </w:tcPr>
          <w:p w14:paraId="0943062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-0.226</w:t>
            </w:r>
          </w:p>
        </w:tc>
        <w:tc>
          <w:tcPr>
            <w:tcW w:w="933" w:type="dxa"/>
            <w:shd w:val="clear" w:color="auto" w:fill="auto"/>
            <w:vAlign w:val="center"/>
          </w:tcPr>
          <w:p w14:paraId="0943062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0.065</w:t>
            </w:r>
          </w:p>
        </w:tc>
        <w:tc>
          <w:tcPr>
            <w:tcW w:w="1087" w:type="dxa"/>
            <w:gridSpan w:val="2"/>
            <w:shd w:val="clear" w:color="auto" w:fill="auto"/>
            <w:vAlign w:val="center"/>
          </w:tcPr>
          <w:p w14:paraId="0943062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0.001</w:t>
            </w:r>
          </w:p>
        </w:tc>
      </w:tr>
      <w:tr w:rsidR="00FE3F56" w:rsidRPr="00FE3F56" w14:paraId="09430630" w14:textId="77777777">
        <w:trPr>
          <w:trHeight w:val="290"/>
          <w:jc w:val="center"/>
        </w:trPr>
        <w:tc>
          <w:tcPr>
            <w:tcW w:w="2486" w:type="dxa"/>
            <w:shd w:val="clear" w:color="auto" w:fill="auto"/>
            <w:vAlign w:val="center"/>
          </w:tcPr>
          <w:p w14:paraId="09430626" w14:textId="77777777" w:rsidR="00901C90" w:rsidRPr="00FE3F56" w:rsidRDefault="00A34875">
            <w:pPr>
              <w:widowControl w:val="0"/>
              <w:spacing w:after="0" w:line="240" w:lineRule="auto"/>
              <w:jc w:val="left"/>
              <w:rPr>
                <w:rFonts w:eastAsia="Times New Roman" w:cs="Times New Roman"/>
                <w:color w:val="000000" w:themeColor="text1"/>
                <w:lang w:val="en-GB"/>
              </w:rPr>
            </w:pPr>
            <w:r w:rsidRPr="00FE3F56">
              <w:rPr>
                <w:rFonts w:eastAsia="Times New Roman" w:cs="Times New Roman"/>
                <w:color w:val="000000" w:themeColor="text1"/>
                <w:lang w:val="en-GB"/>
              </w:rPr>
              <w:t>The parent donated during the child’s emerging adulthood period (19y-22y)</w:t>
            </w:r>
          </w:p>
        </w:tc>
        <w:tc>
          <w:tcPr>
            <w:tcW w:w="972" w:type="dxa"/>
            <w:shd w:val="clear" w:color="auto" w:fill="auto"/>
            <w:vAlign w:val="center"/>
          </w:tcPr>
          <w:p w14:paraId="09430627"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840" w:type="dxa"/>
            <w:shd w:val="clear" w:color="auto" w:fill="auto"/>
            <w:vAlign w:val="center"/>
          </w:tcPr>
          <w:p w14:paraId="09430628"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832" w:type="dxa"/>
            <w:shd w:val="clear" w:color="auto" w:fill="auto"/>
            <w:vAlign w:val="center"/>
          </w:tcPr>
          <w:p w14:paraId="09430629"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27" w:type="dxa"/>
            <w:shd w:val="clear" w:color="auto" w:fill="auto"/>
            <w:vAlign w:val="center"/>
          </w:tcPr>
          <w:p w14:paraId="0943062A"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73" w:type="dxa"/>
            <w:shd w:val="clear" w:color="auto" w:fill="auto"/>
            <w:vAlign w:val="center"/>
          </w:tcPr>
          <w:p w14:paraId="0943062B"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783" w:type="dxa"/>
            <w:shd w:val="clear" w:color="auto" w:fill="auto"/>
            <w:vAlign w:val="center"/>
          </w:tcPr>
          <w:p w14:paraId="0943062C"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31" w:type="dxa"/>
            <w:shd w:val="clear" w:color="auto" w:fill="auto"/>
            <w:vAlign w:val="center"/>
          </w:tcPr>
          <w:p w14:paraId="0943062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0.316</w:t>
            </w:r>
          </w:p>
        </w:tc>
        <w:tc>
          <w:tcPr>
            <w:tcW w:w="933" w:type="dxa"/>
            <w:shd w:val="clear" w:color="auto" w:fill="auto"/>
            <w:vAlign w:val="center"/>
          </w:tcPr>
          <w:p w14:paraId="0943062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0.061</w:t>
            </w:r>
          </w:p>
        </w:tc>
        <w:tc>
          <w:tcPr>
            <w:tcW w:w="1087" w:type="dxa"/>
            <w:gridSpan w:val="2"/>
            <w:shd w:val="clear" w:color="auto" w:fill="auto"/>
            <w:vAlign w:val="center"/>
          </w:tcPr>
          <w:p w14:paraId="0943062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r>
      <w:tr w:rsidR="00FE3F56" w:rsidRPr="00FE3F56" w14:paraId="0943063B" w14:textId="77777777">
        <w:trPr>
          <w:trHeight w:val="300"/>
          <w:jc w:val="center"/>
        </w:trPr>
        <w:tc>
          <w:tcPr>
            <w:tcW w:w="2486" w:type="dxa"/>
            <w:tcBorders>
              <w:bottom w:val="single" w:sz="8" w:space="0" w:color="000000"/>
            </w:tcBorders>
            <w:shd w:val="clear" w:color="auto" w:fill="auto"/>
            <w:vAlign w:val="center"/>
          </w:tcPr>
          <w:p w14:paraId="09430631" w14:textId="77777777" w:rsidR="00901C90" w:rsidRPr="00FE3F56" w:rsidRDefault="00A34875">
            <w:pPr>
              <w:widowControl w:val="0"/>
              <w:spacing w:after="0" w:line="240" w:lineRule="auto"/>
              <w:jc w:val="left"/>
              <w:rPr>
                <w:rFonts w:eastAsia="Times New Roman" w:cs="Times New Roman"/>
                <w:color w:val="000000" w:themeColor="text1"/>
                <w:lang w:val="en-GB"/>
              </w:rPr>
            </w:pPr>
            <w:r w:rsidRPr="00FE3F56">
              <w:rPr>
                <w:rFonts w:eastAsia="Times New Roman" w:cs="Times New Roman"/>
                <w:color w:val="000000" w:themeColor="text1"/>
                <w:lang w:val="en-GB"/>
              </w:rPr>
              <w:t>Constant</w:t>
            </w:r>
          </w:p>
        </w:tc>
        <w:tc>
          <w:tcPr>
            <w:tcW w:w="972" w:type="dxa"/>
            <w:tcBorders>
              <w:bottom w:val="single" w:sz="8" w:space="0" w:color="000000"/>
            </w:tcBorders>
            <w:shd w:val="clear" w:color="auto" w:fill="auto"/>
            <w:vAlign w:val="center"/>
          </w:tcPr>
          <w:p w14:paraId="0943063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-3.627</w:t>
            </w:r>
          </w:p>
        </w:tc>
        <w:tc>
          <w:tcPr>
            <w:tcW w:w="840" w:type="dxa"/>
            <w:tcBorders>
              <w:bottom w:val="single" w:sz="8" w:space="0" w:color="000000"/>
            </w:tcBorders>
            <w:shd w:val="clear" w:color="auto" w:fill="auto"/>
            <w:vAlign w:val="center"/>
          </w:tcPr>
          <w:p w14:paraId="0943063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0.376</w:t>
            </w:r>
          </w:p>
        </w:tc>
        <w:tc>
          <w:tcPr>
            <w:tcW w:w="832" w:type="dxa"/>
            <w:tcBorders>
              <w:bottom w:val="single" w:sz="8" w:space="0" w:color="000000"/>
            </w:tcBorders>
            <w:shd w:val="clear" w:color="auto" w:fill="auto"/>
            <w:vAlign w:val="center"/>
          </w:tcPr>
          <w:p w14:paraId="0943063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c>
          <w:tcPr>
            <w:tcW w:w="927" w:type="dxa"/>
            <w:tcBorders>
              <w:bottom w:val="single" w:sz="8" w:space="0" w:color="000000"/>
            </w:tcBorders>
            <w:shd w:val="clear" w:color="auto" w:fill="auto"/>
            <w:vAlign w:val="center"/>
          </w:tcPr>
          <w:p w14:paraId="0943063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-3.565</w:t>
            </w:r>
          </w:p>
        </w:tc>
        <w:tc>
          <w:tcPr>
            <w:tcW w:w="973" w:type="dxa"/>
            <w:tcBorders>
              <w:bottom w:val="single" w:sz="8" w:space="0" w:color="000000"/>
            </w:tcBorders>
            <w:shd w:val="clear" w:color="auto" w:fill="auto"/>
            <w:vAlign w:val="center"/>
          </w:tcPr>
          <w:p w14:paraId="0943063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0.3761</w:t>
            </w:r>
          </w:p>
        </w:tc>
        <w:tc>
          <w:tcPr>
            <w:tcW w:w="783" w:type="dxa"/>
            <w:tcBorders>
              <w:bottom w:val="single" w:sz="8" w:space="0" w:color="000000"/>
            </w:tcBorders>
            <w:shd w:val="clear" w:color="auto" w:fill="auto"/>
            <w:vAlign w:val="center"/>
          </w:tcPr>
          <w:p w14:paraId="0943063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c>
          <w:tcPr>
            <w:tcW w:w="931" w:type="dxa"/>
            <w:tcBorders>
              <w:bottom w:val="single" w:sz="8" w:space="0" w:color="000000"/>
            </w:tcBorders>
            <w:shd w:val="clear" w:color="auto" w:fill="auto"/>
            <w:vAlign w:val="center"/>
          </w:tcPr>
          <w:p w14:paraId="0943063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-3.650</w:t>
            </w:r>
          </w:p>
        </w:tc>
        <w:tc>
          <w:tcPr>
            <w:tcW w:w="933" w:type="dxa"/>
            <w:tcBorders>
              <w:bottom w:val="single" w:sz="8" w:space="0" w:color="000000"/>
            </w:tcBorders>
            <w:shd w:val="clear" w:color="auto" w:fill="auto"/>
            <w:vAlign w:val="center"/>
          </w:tcPr>
          <w:p w14:paraId="0943063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0.411</w:t>
            </w:r>
          </w:p>
        </w:tc>
        <w:tc>
          <w:tcPr>
            <w:tcW w:w="1087" w:type="dxa"/>
            <w:gridSpan w:val="2"/>
            <w:tcBorders>
              <w:bottom w:val="single" w:sz="8" w:space="0" w:color="000000"/>
            </w:tcBorders>
            <w:shd w:val="clear" w:color="auto" w:fill="auto"/>
            <w:vAlign w:val="center"/>
          </w:tcPr>
          <w:p w14:paraId="0943063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r>
    </w:tbl>
    <w:p w14:paraId="0943063D" w14:textId="5353B7B7" w:rsidR="00901C90" w:rsidRPr="003457D3" w:rsidRDefault="00A34875">
      <w:pPr>
        <w:rPr>
          <w:rFonts w:cs="Times New Roman"/>
          <w:color w:val="000000" w:themeColor="text1"/>
          <w:lang w:val="en-GB"/>
        </w:rPr>
      </w:pPr>
      <w:r w:rsidRPr="00FE3F56">
        <w:rPr>
          <w:rFonts w:cs="Times New Roman"/>
          <w:color w:val="000000" w:themeColor="text1"/>
          <w:lang w:val="en-GB"/>
        </w:rPr>
        <w:t>* the models include the control variables, for the coefficients and significance levels of the control variables see the Appendix</w:t>
      </w:r>
    </w:p>
    <w:p w14:paraId="0943063E" w14:textId="238CF7D2" w:rsidR="00901C90" w:rsidRPr="003457D3" w:rsidRDefault="003457D3">
      <w:pPr>
        <w:pStyle w:val="Heading2"/>
        <w:rPr>
          <w:rFonts w:cs="Times New Roman"/>
          <w:b w:val="0"/>
          <w:bCs/>
          <w:i/>
          <w:iCs/>
          <w:lang w:val="en-GB"/>
        </w:rPr>
      </w:pPr>
      <w:r w:rsidRPr="003457D3">
        <w:rPr>
          <w:rFonts w:cs="Times New Roman"/>
          <w:b w:val="0"/>
          <w:bCs/>
          <w:i/>
          <w:iCs/>
          <w:lang w:val="en-GB"/>
        </w:rPr>
        <w:t xml:space="preserve">3.3. </w:t>
      </w:r>
      <w:r w:rsidR="00A34875" w:rsidRPr="003457D3">
        <w:rPr>
          <w:rFonts w:cs="Times New Roman"/>
          <w:b w:val="0"/>
          <w:bCs/>
          <w:i/>
          <w:iCs/>
          <w:lang w:val="en-GB"/>
        </w:rPr>
        <w:t>Parent’s donor identity</w:t>
      </w:r>
    </w:p>
    <w:p w14:paraId="0943063F" w14:textId="4084FAC9" w:rsidR="00901C90" w:rsidRPr="00FE3F56" w:rsidRDefault="00A34875">
      <w:pPr>
        <w:rPr>
          <w:rFonts w:cs="Times New Roman"/>
          <w:color w:val="000000" w:themeColor="text1"/>
          <w:lang w:val="en-GB"/>
        </w:rPr>
      </w:pPr>
      <w:r w:rsidRPr="00FE3F56">
        <w:rPr>
          <w:rFonts w:cs="Times New Roman"/>
          <w:color w:val="000000" w:themeColor="text1"/>
          <w:lang w:val="en-GB"/>
        </w:rPr>
        <w:t xml:space="preserve">In model 2, in addition to the control variables from model 1 (sociodemographic and donor characteristics of the parent), we included the parent’s donor identity in order to test for its association with the likelihood of the child to be a blood donor. As depicted in Table 3 we found a positive statistical effect of parent donor identity on the donor status of the child, with </w:t>
      </w:r>
      <w:r w:rsidRPr="00FE3F56">
        <w:rPr>
          <w:rFonts w:cs="Times New Roman"/>
          <w:color w:val="000000" w:themeColor="text1"/>
          <w:lang w:val="en-GB"/>
        </w:rPr>
        <w:lastRenderedPageBreak/>
        <w:t>B=0.056 (SE=0.01) and p&lt;0.001.</w:t>
      </w:r>
      <w:r w:rsidR="001E612C" w:rsidRPr="00FE3F56">
        <w:rPr>
          <w:rFonts w:cs="Times New Roman"/>
          <w:color w:val="000000" w:themeColor="text1"/>
          <w:lang w:val="en-GB"/>
        </w:rPr>
        <w:t xml:space="preserve"> </w:t>
      </w:r>
      <w:r w:rsidRPr="00FE3F56">
        <w:rPr>
          <w:rFonts w:cs="Times New Roman"/>
          <w:color w:val="000000" w:themeColor="text1"/>
          <w:lang w:val="en-GB"/>
        </w:rPr>
        <w:t xml:space="preserve">Thus, </w:t>
      </w:r>
      <w:bookmarkStart w:id="0" w:name="_Hlk103838204"/>
      <w:r w:rsidRPr="00FE3F56">
        <w:rPr>
          <w:rFonts w:cs="Times New Roman"/>
          <w:color w:val="000000" w:themeColor="text1"/>
          <w:lang w:val="en-GB"/>
        </w:rPr>
        <w:t xml:space="preserve">for every </w:t>
      </w:r>
      <w:r w:rsidR="00BD78E8" w:rsidRPr="00FE3F56">
        <w:rPr>
          <w:rFonts w:cs="Times New Roman"/>
          <w:color w:val="000000" w:themeColor="text1"/>
          <w:lang w:val="en-GB"/>
        </w:rPr>
        <w:t>1-point</w:t>
      </w:r>
      <w:r w:rsidRPr="00FE3F56">
        <w:rPr>
          <w:rFonts w:cs="Times New Roman"/>
          <w:color w:val="000000" w:themeColor="text1"/>
          <w:lang w:val="en-GB"/>
        </w:rPr>
        <w:t xml:space="preserve"> increase in the score of the blood-donor identity</w:t>
      </w:r>
      <w:r w:rsidR="00BD78E8" w:rsidRPr="00FE3F56">
        <w:rPr>
          <w:rFonts w:cs="Times New Roman"/>
          <w:color w:val="000000" w:themeColor="text1"/>
          <w:lang w:val="en-GB"/>
        </w:rPr>
        <w:t xml:space="preserve"> </w:t>
      </w:r>
      <w:r w:rsidRPr="00FE3F56">
        <w:rPr>
          <w:rFonts w:cs="Times New Roman"/>
          <w:color w:val="000000" w:themeColor="text1"/>
          <w:lang w:val="en-GB"/>
        </w:rPr>
        <w:t xml:space="preserve">of the parent </w:t>
      </w:r>
      <w:bookmarkEnd w:id="0"/>
      <w:r w:rsidR="00BD78E8" w:rsidRPr="00FE3F56">
        <w:rPr>
          <w:rFonts w:cs="Times New Roman"/>
          <w:color w:val="000000" w:themeColor="text1"/>
          <w:lang w:val="en-GB"/>
        </w:rPr>
        <w:t>,</w:t>
      </w:r>
      <w:r w:rsidRPr="00FE3F56">
        <w:rPr>
          <w:rFonts w:cs="Times New Roman"/>
          <w:color w:val="000000" w:themeColor="text1"/>
          <w:lang w:val="en-GB"/>
        </w:rPr>
        <w:t>the probability of the child to be a donor increases by 5.1%</w:t>
      </w:r>
      <w:r w:rsidR="00FA06DA" w:rsidRPr="00FE3F56">
        <w:rPr>
          <w:rFonts w:cs="Times New Roman"/>
          <w:color w:val="000000" w:themeColor="text1"/>
          <w:lang w:val="en-GB"/>
        </w:rPr>
        <w:t xml:space="preserve"> points</w:t>
      </w:r>
      <w:r w:rsidRPr="00FE3F56">
        <w:rPr>
          <w:rFonts w:cs="Times New Roman"/>
          <w:color w:val="000000" w:themeColor="text1"/>
          <w:lang w:val="en-GB"/>
        </w:rPr>
        <w:t>.</w:t>
      </w:r>
      <w:r w:rsidR="001E612C" w:rsidRPr="00FE3F56">
        <w:rPr>
          <w:rFonts w:cs="Times New Roman"/>
          <w:color w:val="000000" w:themeColor="text1"/>
          <w:lang w:val="en-GB"/>
        </w:rPr>
        <w:t xml:space="preserve"> </w:t>
      </w:r>
    </w:p>
    <w:p w14:paraId="09430641" w14:textId="34877D56" w:rsidR="00901C90" w:rsidRPr="00FE3F56" w:rsidRDefault="00A34875">
      <w:pPr>
        <w:rPr>
          <w:rFonts w:cs="Times New Roman"/>
          <w:color w:val="000000" w:themeColor="text1"/>
          <w:lang w:val="en-GB"/>
        </w:rPr>
      </w:pPr>
      <w:r w:rsidRPr="00FE3F56">
        <w:rPr>
          <w:rFonts w:cs="Times New Roman"/>
          <w:color w:val="000000" w:themeColor="text1"/>
          <w:lang w:val="en-GB"/>
        </w:rPr>
        <w:t xml:space="preserve">Additionally, when </w:t>
      </w:r>
      <w:r w:rsidR="00945FB8" w:rsidRPr="00FE3F56">
        <w:rPr>
          <w:rFonts w:cs="Times New Roman"/>
          <w:color w:val="000000" w:themeColor="text1"/>
          <w:lang w:val="en-GB"/>
        </w:rPr>
        <w:t>controlled</w:t>
      </w:r>
      <w:r w:rsidRPr="00FE3F56">
        <w:rPr>
          <w:rFonts w:cs="Times New Roman"/>
          <w:color w:val="000000" w:themeColor="text1"/>
          <w:lang w:val="en-GB"/>
        </w:rPr>
        <w:t xml:space="preserve"> for the number of blood donations, the regression coefficient lowered, B=0.051 (SE=0.01 ; p&lt;0.001), indicating a possible mediation between the 2 variables. The coefficient remained stable when inserting the developmental period of the child variable in the last model. </w:t>
      </w:r>
    </w:p>
    <w:p w14:paraId="09430642" w14:textId="7BF40DF2" w:rsidR="00901C90" w:rsidRPr="003457D3" w:rsidRDefault="003457D3">
      <w:pPr>
        <w:pStyle w:val="Heading2"/>
        <w:rPr>
          <w:rFonts w:cs="Times New Roman"/>
          <w:b w:val="0"/>
          <w:bCs/>
          <w:i/>
          <w:iCs/>
          <w:lang w:val="en-GB"/>
        </w:rPr>
      </w:pPr>
      <w:r w:rsidRPr="003457D3">
        <w:rPr>
          <w:rFonts w:cs="Times New Roman"/>
          <w:b w:val="0"/>
          <w:bCs/>
          <w:i/>
          <w:iCs/>
          <w:lang w:val="en-GB"/>
        </w:rPr>
        <w:t xml:space="preserve">3.4. </w:t>
      </w:r>
      <w:r w:rsidR="00A34875" w:rsidRPr="003457D3">
        <w:rPr>
          <w:rFonts w:cs="Times New Roman"/>
          <w:b w:val="0"/>
          <w:bCs/>
          <w:i/>
          <w:iCs/>
          <w:lang w:val="en-GB"/>
        </w:rPr>
        <w:t>Number of blood donations</w:t>
      </w:r>
    </w:p>
    <w:p w14:paraId="09430644" w14:textId="2478EB36" w:rsidR="00901C90" w:rsidRPr="00FE3F56" w:rsidRDefault="00A34875">
      <w:pPr>
        <w:rPr>
          <w:rFonts w:cs="Times New Roman"/>
          <w:color w:val="000000" w:themeColor="text1"/>
          <w:lang w:val="en-GB"/>
        </w:rPr>
      </w:pPr>
      <w:r w:rsidRPr="00FE3F56">
        <w:rPr>
          <w:rFonts w:cs="Times New Roman"/>
          <w:color w:val="000000" w:themeColor="text1"/>
          <w:lang w:val="en-GB"/>
        </w:rPr>
        <w:t xml:space="preserve">In the third model, we inserted the number of blood or plasma donations made by the parent. Our prediction, as described in H2, was that this association will be positive. The obtained coefficient for this variable was B=0.007 (SE=0.001) with a p&lt;0.001. The values of the coefficient did not modify in the fourth model. Thus, </w:t>
      </w:r>
      <w:bookmarkStart w:id="1" w:name="_Hlk103838251"/>
      <w:r w:rsidRPr="00FE3F56">
        <w:rPr>
          <w:rFonts w:cs="Times New Roman"/>
          <w:color w:val="000000" w:themeColor="text1"/>
          <w:lang w:val="en-GB"/>
        </w:rPr>
        <w:t>for every new blood or plasma donation by the parent, the probability of the child to be a blood donor raise by 0.7%</w:t>
      </w:r>
      <w:r w:rsidR="00FA06DA" w:rsidRPr="00FE3F56">
        <w:rPr>
          <w:rFonts w:cs="Times New Roman"/>
          <w:color w:val="000000" w:themeColor="text1"/>
          <w:lang w:val="en-GB"/>
        </w:rPr>
        <w:t xml:space="preserve"> </w:t>
      </w:r>
      <w:r w:rsidRPr="00FE3F56">
        <w:rPr>
          <w:rFonts w:cs="Times New Roman"/>
          <w:color w:val="000000" w:themeColor="text1"/>
          <w:lang w:val="en-GB"/>
        </w:rPr>
        <w:t xml:space="preserve">points. </w:t>
      </w:r>
      <w:bookmarkEnd w:id="1"/>
    </w:p>
    <w:p w14:paraId="09430645" w14:textId="58D845A1" w:rsidR="00901C90" w:rsidRPr="003457D3" w:rsidRDefault="003457D3">
      <w:pPr>
        <w:pStyle w:val="Heading2"/>
        <w:rPr>
          <w:rFonts w:cs="Times New Roman"/>
          <w:b w:val="0"/>
          <w:bCs/>
          <w:i/>
          <w:iCs/>
          <w:lang w:val="en-GB"/>
        </w:rPr>
      </w:pPr>
      <w:r w:rsidRPr="003457D3">
        <w:rPr>
          <w:rFonts w:cs="Times New Roman"/>
          <w:b w:val="0"/>
          <w:bCs/>
          <w:i/>
          <w:iCs/>
          <w:lang w:val="en-GB"/>
        </w:rPr>
        <w:t xml:space="preserve">3.5. </w:t>
      </w:r>
      <w:r w:rsidR="00A34875" w:rsidRPr="003457D3">
        <w:rPr>
          <w:rFonts w:cs="Times New Roman"/>
          <w:b w:val="0"/>
          <w:bCs/>
          <w:i/>
          <w:iCs/>
          <w:lang w:val="en-GB"/>
        </w:rPr>
        <w:t>Developmental stage of the child</w:t>
      </w:r>
    </w:p>
    <w:p w14:paraId="09430647" w14:textId="3F1F6765" w:rsidR="00901C90" w:rsidRPr="00FE3F56" w:rsidRDefault="00A34875">
      <w:pPr>
        <w:rPr>
          <w:rFonts w:cs="Times New Roman"/>
          <w:color w:val="000000" w:themeColor="text1"/>
          <w:lang w:val="en-GB"/>
        </w:rPr>
      </w:pPr>
      <w:r w:rsidRPr="00FE3F56">
        <w:rPr>
          <w:rFonts w:cs="Times New Roman"/>
          <w:color w:val="000000" w:themeColor="text1"/>
          <w:lang w:val="en-GB"/>
        </w:rPr>
        <w:t>In the fourth model, we added the developmental stage of the child in which the parent was active as a blood donor. A significant negative association was found when parents</w:t>
      </w:r>
      <w:r w:rsidR="001E612C" w:rsidRPr="00FE3F56">
        <w:rPr>
          <w:rFonts w:cs="Times New Roman"/>
          <w:color w:val="000000" w:themeColor="text1"/>
          <w:lang w:val="en-GB"/>
        </w:rPr>
        <w:t xml:space="preserve"> </w:t>
      </w:r>
      <w:r w:rsidRPr="00FE3F56">
        <w:rPr>
          <w:rFonts w:cs="Times New Roman"/>
          <w:color w:val="000000" w:themeColor="text1"/>
          <w:lang w:val="en-GB"/>
        </w:rPr>
        <w:t xml:space="preserve">donated blood during the child’s adolescence compared to those parents who donated when the child was not in one of the three developmental periods considered in the study (childhood, adolescence and emerging adulthood), B=-0.226 (SE=0.065, p=0.001). Thus, </w:t>
      </w:r>
      <w:bookmarkStart w:id="2" w:name="_Hlk103838290"/>
      <w:r w:rsidRPr="00FE3F56">
        <w:rPr>
          <w:rFonts w:cs="Times New Roman"/>
          <w:color w:val="000000" w:themeColor="text1"/>
          <w:lang w:val="en-GB"/>
        </w:rPr>
        <w:t xml:space="preserve">children whose parents donated during their adolescence compared to those whose parents donated when their children were younger than 3 or older than 22 had 22.6% lower probability of being blood donors. </w:t>
      </w:r>
      <w:bookmarkEnd w:id="2"/>
      <w:r w:rsidRPr="00FE3F56">
        <w:rPr>
          <w:rFonts w:cs="Times New Roman"/>
          <w:color w:val="000000" w:themeColor="text1"/>
          <w:lang w:val="en-GB"/>
        </w:rPr>
        <w:t>Moreover, we found a positive association in the case of parents who donated during the child’s emerging adulthood compared to the parents who donated when the child was not in one of the three developmental periods, B=0</w:t>
      </w:r>
      <w:r w:rsidR="00FA06DA" w:rsidRPr="00FE3F56">
        <w:rPr>
          <w:rFonts w:cs="Times New Roman"/>
          <w:color w:val="000000" w:themeColor="text1"/>
          <w:lang w:val="en-GB"/>
        </w:rPr>
        <w:t>.</w:t>
      </w:r>
      <w:r w:rsidRPr="00FE3F56">
        <w:rPr>
          <w:rFonts w:cs="Times New Roman"/>
          <w:color w:val="000000" w:themeColor="text1"/>
          <w:lang w:val="en-GB"/>
        </w:rPr>
        <w:t>316 (SE=0</w:t>
      </w:r>
      <w:r w:rsidR="00FA06DA" w:rsidRPr="00FE3F56">
        <w:rPr>
          <w:rFonts w:cs="Times New Roman"/>
          <w:color w:val="000000" w:themeColor="text1"/>
          <w:lang w:val="en-GB"/>
        </w:rPr>
        <w:t>.</w:t>
      </w:r>
      <w:r w:rsidRPr="00FE3F56">
        <w:rPr>
          <w:rFonts w:cs="Times New Roman"/>
          <w:color w:val="000000" w:themeColor="text1"/>
          <w:lang w:val="en-GB"/>
        </w:rPr>
        <w:t>061</w:t>
      </w:r>
      <w:r w:rsidR="00FA06DA" w:rsidRPr="00FE3F56">
        <w:rPr>
          <w:rFonts w:cs="Times New Roman"/>
          <w:color w:val="000000" w:themeColor="text1"/>
          <w:lang w:val="en-GB"/>
        </w:rPr>
        <w:t>;</w:t>
      </w:r>
      <w:r w:rsidRPr="00FE3F56">
        <w:rPr>
          <w:rFonts w:cs="Times New Roman"/>
          <w:color w:val="000000" w:themeColor="text1"/>
          <w:lang w:val="en-GB"/>
        </w:rPr>
        <w:t xml:space="preserve"> p&lt;0.001). This means that, children whose parents donated during their emerging adulthood compared to those whose </w:t>
      </w:r>
      <w:r w:rsidRPr="00FE3F56">
        <w:rPr>
          <w:rFonts w:cs="Times New Roman"/>
          <w:color w:val="000000" w:themeColor="text1"/>
          <w:lang w:val="en-GB"/>
        </w:rPr>
        <w:lastRenderedPageBreak/>
        <w:t>parents donated when their children were younger than 3 or older than 22 had 31.6% higher probability of being blood donors.</w:t>
      </w:r>
    </w:p>
    <w:p w14:paraId="09430648" w14:textId="6F50759F" w:rsidR="00901C90" w:rsidRPr="003457D3" w:rsidRDefault="003457D3">
      <w:pPr>
        <w:pStyle w:val="Heading2"/>
        <w:rPr>
          <w:rFonts w:cs="Times New Roman"/>
          <w:b w:val="0"/>
          <w:bCs/>
          <w:i/>
          <w:iCs/>
          <w:lang w:val="en-GB"/>
        </w:rPr>
      </w:pPr>
      <w:r w:rsidRPr="003457D3">
        <w:rPr>
          <w:rFonts w:cs="Times New Roman"/>
          <w:b w:val="0"/>
          <w:bCs/>
          <w:i/>
          <w:iCs/>
          <w:lang w:val="en-GB"/>
        </w:rPr>
        <w:t>3.6.</w:t>
      </w:r>
      <w:r>
        <w:rPr>
          <w:rFonts w:cs="Times New Roman"/>
          <w:b w:val="0"/>
          <w:bCs/>
          <w:i/>
          <w:iCs/>
          <w:lang w:val="en-GB"/>
        </w:rPr>
        <w:t xml:space="preserve"> </w:t>
      </w:r>
      <w:r w:rsidR="00A34875" w:rsidRPr="003457D3">
        <w:rPr>
          <w:rFonts w:cs="Times New Roman"/>
          <w:b w:val="0"/>
          <w:bCs/>
          <w:i/>
          <w:iCs/>
          <w:lang w:val="en-GB"/>
        </w:rPr>
        <w:t>Robustness analyses</w:t>
      </w:r>
    </w:p>
    <w:p w14:paraId="09430649" w14:textId="16AE1E74" w:rsidR="00901C90" w:rsidRPr="00FE3F56" w:rsidRDefault="00A34875">
      <w:pPr>
        <w:rPr>
          <w:rFonts w:cs="Times New Roman"/>
          <w:color w:val="000000" w:themeColor="text1"/>
          <w:lang w:val="en-GB"/>
        </w:rPr>
      </w:pPr>
      <w:r w:rsidRPr="00FE3F56">
        <w:rPr>
          <w:rFonts w:cs="Times New Roman"/>
          <w:color w:val="000000" w:themeColor="text1"/>
          <w:lang w:val="en-GB"/>
        </w:rPr>
        <w:t xml:space="preserve">To check the robustness of the results we developed different additional analyses. First, we re-ran model four with a mixed linear regression model, which has been argued to better perform than logistic regression (see Gomila, 2021). In this model, all the previously mentioned variables are significant, and the coefficients maintain their direction. Second, </w:t>
      </w:r>
      <w:r w:rsidR="00F752C4" w:rsidRPr="00FE3F56">
        <w:rPr>
          <w:rFonts w:cs="Times New Roman"/>
          <w:color w:val="000000" w:themeColor="text1"/>
          <w:lang w:val="en-GB"/>
        </w:rPr>
        <w:t xml:space="preserve">we used the method of subsampling and </w:t>
      </w:r>
      <w:r w:rsidRPr="00FE3F56">
        <w:rPr>
          <w:rFonts w:cs="Times New Roman"/>
          <w:color w:val="000000" w:themeColor="text1"/>
          <w:lang w:val="en-GB"/>
        </w:rPr>
        <w:t xml:space="preserve">we randomly selected a subsample of the original data set (50%) and run the statistical analysis once again. All the variables previously declared significant remained significant and kept their direction of influence (positive or negative). Third, approximately 70% of the participants that participated in the first wave (DIS-I: 2007-2009) of the DIS survey, answered the same questions a few years later in the second wave (DIS-II: 2012-2013). Thus, we measured the robustness of parent's donor identity as a predictor for the likelihood of the child to be a blood donor by assessing the association between the parent's blood-donor identity score at the time of DIS-I and the likelihood of the child to be a blood donor at the time of the DIS-II. The analysis rendered that the variable remained a significant predictor having a B=0.040, SE=0.009 and p&lt;.001. Finally, in the list of best practices aimed at preventing false-positive results described by Simmons, Nelson and Simons (2011), it is advised to report the results of the statistical analysis without the covariates. As it can be observed in Table 4, the coefficients maintained their direction and significance with small variations in their value. </w:t>
      </w:r>
    </w:p>
    <w:p w14:paraId="0943064B" w14:textId="3A447C00" w:rsidR="00901C90" w:rsidRPr="003457D3" w:rsidRDefault="00A34875" w:rsidP="003457D3">
      <w:pPr>
        <w:spacing w:after="0"/>
        <w:rPr>
          <w:rFonts w:cs="Times New Roman"/>
          <w:color w:val="000000" w:themeColor="text1"/>
          <w:lang w:val="en-GB"/>
        </w:rPr>
      </w:pPr>
      <w:r w:rsidRPr="003457D3">
        <w:rPr>
          <w:rFonts w:cs="Times New Roman"/>
          <w:color w:val="000000" w:themeColor="text1"/>
          <w:lang w:val="en-GB"/>
        </w:rPr>
        <w:t>Table 4</w:t>
      </w:r>
      <w:r w:rsidR="003457D3" w:rsidRPr="003457D3">
        <w:rPr>
          <w:rFonts w:cs="Times New Roman"/>
          <w:color w:val="000000" w:themeColor="text1"/>
          <w:lang w:val="en-GB"/>
        </w:rPr>
        <w:t xml:space="preserve">. </w:t>
      </w:r>
      <w:r w:rsidRPr="003457D3">
        <w:rPr>
          <w:rFonts w:cs="Times New Roman"/>
          <w:color w:val="000000" w:themeColor="text1"/>
          <w:lang w:val="en-GB"/>
        </w:rPr>
        <w:t>Statistics results analysis without control variables</w:t>
      </w:r>
    </w:p>
    <w:tbl>
      <w:tblPr>
        <w:tblW w:w="8113" w:type="dxa"/>
        <w:jc w:val="center"/>
        <w:tblLayout w:type="fixed"/>
        <w:tblLook w:val="04A0" w:firstRow="1" w:lastRow="0" w:firstColumn="1" w:lastColumn="0" w:noHBand="0" w:noVBand="1"/>
      </w:tblPr>
      <w:tblGrid>
        <w:gridCol w:w="5401"/>
        <w:gridCol w:w="980"/>
        <w:gridCol w:w="851"/>
        <w:gridCol w:w="881"/>
      </w:tblGrid>
      <w:tr w:rsidR="00FE3F56" w:rsidRPr="00FE3F56" w14:paraId="09430650" w14:textId="77777777">
        <w:trPr>
          <w:trHeight w:val="300"/>
          <w:jc w:val="center"/>
        </w:trPr>
        <w:tc>
          <w:tcPr>
            <w:tcW w:w="5400" w:type="dxa"/>
            <w:shd w:val="clear" w:color="auto" w:fill="auto"/>
            <w:vAlign w:val="bottom"/>
          </w:tcPr>
          <w:p w14:paraId="0943064C" w14:textId="77777777" w:rsidR="00901C90" w:rsidRPr="00FE3F56" w:rsidRDefault="00901C90">
            <w:pPr>
              <w:widowControl w:val="0"/>
              <w:spacing w:after="0" w:line="240" w:lineRule="auto"/>
              <w:rPr>
                <w:rFonts w:eastAsia="Times New Roman" w:cs="Times New Roman"/>
                <w:color w:val="000000" w:themeColor="text1"/>
                <w:lang w:val="en-GB"/>
              </w:rPr>
            </w:pPr>
          </w:p>
        </w:tc>
        <w:tc>
          <w:tcPr>
            <w:tcW w:w="980" w:type="dxa"/>
            <w:tcBorders>
              <w:bottom w:val="single" w:sz="8" w:space="0" w:color="000000"/>
            </w:tcBorders>
            <w:shd w:val="clear" w:color="auto" w:fill="auto"/>
            <w:vAlign w:val="center"/>
          </w:tcPr>
          <w:p w14:paraId="0943064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B</w:t>
            </w:r>
          </w:p>
        </w:tc>
        <w:tc>
          <w:tcPr>
            <w:tcW w:w="851" w:type="dxa"/>
            <w:tcBorders>
              <w:bottom w:val="single" w:sz="8" w:space="0" w:color="000000"/>
            </w:tcBorders>
            <w:shd w:val="clear" w:color="auto" w:fill="auto"/>
            <w:vAlign w:val="center"/>
          </w:tcPr>
          <w:p w14:paraId="0943064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SE</w:t>
            </w:r>
          </w:p>
        </w:tc>
        <w:tc>
          <w:tcPr>
            <w:tcW w:w="881" w:type="dxa"/>
            <w:tcBorders>
              <w:bottom w:val="single" w:sz="8" w:space="0" w:color="000000"/>
            </w:tcBorders>
            <w:shd w:val="clear" w:color="auto" w:fill="auto"/>
            <w:vAlign w:val="center"/>
          </w:tcPr>
          <w:p w14:paraId="0943064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Sig</w:t>
            </w:r>
          </w:p>
        </w:tc>
      </w:tr>
      <w:tr w:rsidR="00FE3F56" w:rsidRPr="00FE3F56" w14:paraId="09430655" w14:textId="77777777">
        <w:trPr>
          <w:trHeight w:val="290"/>
          <w:jc w:val="center"/>
        </w:trPr>
        <w:tc>
          <w:tcPr>
            <w:tcW w:w="5400" w:type="dxa"/>
            <w:shd w:val="clear" w:color="auto" w:fill="auto"/>
            <w:vAlign w:val="center"/>
          </w:tcPr>
          <w:p w14:paraId="09430651"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Parent's Donor Identity</w:t>
            </w:r>
          </w:p>
        </w:tc>
        <w:tc>
          <w:tcPr>
            <w:tcW w:w="980" w:type="dxa"/>
            <w:shd w:val="clear" w:color="auto" w:fill="auto"/>
            <w:vAlign w:val="center"/>
          </w:tcPr>
          <w:p w14:paraId="0943065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0.056</w:t>
            </w:r>
          </w:p>
        </w:tc>
        <w:tc>
          <w:tcPr>
            <w:tcW w:w="851" w:type="dxa"/>
            <w:shd w:val="clear" w:color="auto" w:fill="auto"/>
            <w:vAlign w:val="center"/>
          </w:tcPr>
          <w:p w14:paraId="0943065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0.001</w:t>
            </w:r>
          </w:p>
        </w:tc>
        <w:tc>
          <w:tcPr>
            <w:tcW w:w="881" w:type="dxa"/>
            <w:shd w:val="clear" w:color="auto" w:fill="auto"/>
            <w:vAlign w:val="center"/>
          </w:tcPr>
          <w:p w14:paraId="0943065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r>
      <w:tr w:rsidR="00FE3F56" w:rsidRPr="00FE3F56" w14:paraId="0943065A" w14:textId="77777777">
        <w:trPr>
          <w:trHeight w:val="290"/>
          <w:jc w:val="center"/>
        </w:trPr>
        <w:tc>
          <w:tcPr>
            <w:tcW w:w="5400" w:type="dxa"/>
            <w:shd w:val="clear" w:color="auto" w:fill="auto"/>
            <w:vAlign w:val="center"/>
          </w:tcPr>
          <w:p w14:paraId="09430656"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Frequency of blood donation</w:t>
            </w:r>
          </w:p>
        </w:tc>
        <w:tc>
          <w:tcPr>
            <w:tcW w:w="980" w:type="dxa"/>
            <w:shd w:val="clear" w:color="auto" w:fill="auto"/>
            <w:vAlign w:val="center"/>
          </w:tcPr>
          <w:p w14:paraId="0943065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0.004</w:t>
            </w:r>
          </w:p>
        </w:tc>
        <w:tc>
          <w:tcPr>
            <w:tcW w:w="851" w:type="dxa"/>
            <w:shd w:val="clear" w:color="auto" w:fill="auto"/>
            <w:vAlign w:val="center"/>
          </w:tcPr>
          <w:p w14:paraId="0943065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0.001</w:t>
            </w:r>
          </w:p>
        </w:tc>
        <w:tc>
          <w:tcPr>
            <w:tcW w:w="881" w:type="dxa"/>
            <w:shd w:val="clear" w:color="auto" w:fill="auto"/>
            <w:vAlign w:val="center"/>
          </w:tcPr>
          <w:p w14:paraId="0943065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.001</w:t>
            </w:r>
          </w:p>
        </w:tc>
      </w:tr>
      <w:tr w:rsidR="00FE3F56" w:rsidRPr="00FE3F56" w14:paraId="0943065F" w14:textId="77777777">
        <w:trPr>
          <w:trHeight w:val="290"/>
          <w:jc w:val="center"/>
        </w:trPr>
        <w:tc>
          <w:tcPr>
            <w:tcW w:w="5400" w:type="dxa"/>
            <w:shd w:val="clear" w:color="auto" w:fill="auto"/>
            <w:vAlign w:val="center"/>
          </w:tcPr>
          <w:p w14:paraId="0943065B"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 xml:space="preserve">The parent donated during the child’s childhood </w:t>
            </w:r>
            <w:r w:rsidRPr="00FE3F56">
              <w:rPr>
                <w:rFonts w:eastAsia="Times New Roman" w:cs="Times New Roman"/>
                <w:color w:val="000000" w:themeColor="text1"/>
                <w:lang w:val="en-GB"/>
              </w:rPr>
              <w:lastRenderedPageBreak/>
              <w:t>period (3y-11y)</w:t>
            </w:r>
          </w:p>
        </w:tc>
        <w:tc>
          <w:tcPr>
            <w:tcW w:w="980" w:type="dxa"/>
            <w:shd w:val="clear" w:color="auto" w:fill="auto"/>
            <w:vAlign w:val="center"/>
          </w:tcPr>
          <w:p w14:paraId="0943065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lastRenderedPageBreak/>
              <w:t>0.001</w:t>
            </w:r>
          </w:p>
        </w:tc>
        <w:tc>
          <w:tcPr>
            <w:tcW w:w="851" w:type="dxa"/>
            <w:shd w:val="clear" w:color="auto" w:fill="auto"/>
            <w:vAlign w:val="center"/>
          </w:tcPr>
          <w:p w14:paraId="0943065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0.061</w:t>
            </w:r>
          </w:p>
        </w:tc>
        <w:tc>
          <w:tcPr>
            <w:tcW w:w="881" w:type="dxa"/>
            <w:shd w:val="clear" w:color="auto" w:fill="auto"/>
            <w:vAlign w:val="center"/>
          </w:tcPr>
          <w:p w14:paraId="0943065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.984</w:t>
            </w:r>
          </w:p>
        </w:tc>
      </w:tr>
      <w:tr w:rsidR="00FE3F56" w:rsidRPr="00FE3F56" w14:paraId="09430664" w14:textId="77777777">
        <w:trPr>
          <w:trHeight w:val="290"/>
          <w:jc w:val="center"/>
        </w:trPr>
        <w:tc>
          <w:tcPr>
            <w:tcW w:w="5400" w:type="dxa"/>
            <w:shd w:val="clear" w:color="auto" w:fill="auto"/>
            <w:vAlign w:val="center"/>
          </w:tcPr>
          <w:p w14:paraId="09430660"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The parent donated during the child’s adolescence period (12y-18y)</w:t>
            </w:r>
          </w:p>
        </w:tc>
        <w:tc>
          <w:tcPr>
            <w:tcW w:w="980" w:type="dxa"/>
            <w:shd w:val="clear" w:color="auto" w:fill="auto"/>
            <w:vAlign w:val="center"/>
          </w:tcPr>
          <w:p w14:paraId="0943066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-0.277</w:t>
            </w:r>
          </w:p>
        </w:tc>
        <w:tc>
          <w:tcPr>
            <w:tcW w:w="851" w:type="dxa"/>
            <w:shd w:val="clear" w:color="auto" w:fill="auto"/>
            <w:vAlign w:val="center"/>
          </w:tcPr>
          <w:p w14:paraId="0943066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0.062</w:t>
            </w:r>
          </w:p>
        </w:tc>
        <w:tc>
          <w:tcPr>
            <w:tcW w:w="881" w:type="dxa"/>
            <w:shd w:val="clear" w:color="auto" w:fill="auto"/>
            <w:vAlign w:val="center"/>
          </w:tcPr>
          <w:p w14:paraId="0943066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r>
      <w:tr w:rsidR="00FE3F56" w:rsidRPr="00FE3F56" w14:paraId="09430669" w14:textId="77777777">
        <w:trPr>
          <w:trHeight w:val="290"/>
          <w:jc w:val="center"/>
        </w:trPr>
        <w:tc>
          <w:tcPr>
            <w:tcW w:w="5400" w:type="dxa"/>
            <w:shd w:val="clear" w:color="auto" w:fill="auto"/>
            <w:vAlign w:val="center"/>
          </w:tcPr>
          <w:p w14:paraId="09430665"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The parent donated during the child’s emerging adulthood period (19y-22y)</w:t>
            </w:r>
          </w:p>
        </w:tc>
        <w:tc>
          <w:tcPr>
            <w:tcW w:w="980" w:type="dxa"/>
            <w:shd w:val="clear" w:color="auto" w:fill="auto"/>
            <w:vAlign w:val="center"/>
          </w:tcPr>
          <w:p w14:paraId="0943066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0.304</w:t>
            </w:r>
          </w:p>
        </w:tc>
        <w:tc>
          <w:tcPr>
            <w:tcW w:w="851" w:type="dxa"/>
            <w:shd w:val="clear" w:color="auto" w:fill="auto"/>
            <w:vAlign w:val="center"/>
          </w:tcPr>
          <w:p w14:paraId="0943066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0.059</w:t>
            </w:r>
          </w:p>
        </w:tc>
        <w:tc>
          <w:tcPr>
            <w:tcW w:w="881" w:type="dxa"/>
            <w:shd w:val="clear" w:color="auto" w:fill="auto"/>
            <w:vAlign w:val="center"/>
          </w:tcPr>
          <w:p w14:paraId="0943066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r>
      <w:tr w:rsidR="00901C90" w:rsidRPr="00FE3F56" w14:paraId="0943066E" w14:textId="77777777">
        <w:trPr>
          <w:trHeight w:val="300"/>
          <w:jc w:val="center"/>
        </w:trPr>
        <w:tc>
          <w:tcPr>
            <w:tcW w:w="5400" w:type="dxa"/>
            <w:tcBorders>
              <w:bottom w:val="single" w:sz="8" w:space="0" w:color="000000"/>
            </w:tcBorders>
            <w:shd w:val="clear" w:color="auto" w:fill="auto"/>
            <w:vAlign w:val="center"/>
          </w:tcPr>
          <w:p w14:paraId="0943066A"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Constant</w:t>
            </w:r>
          </w:p>
        </w:tc>
        <w:tc>
          <w:tcPr>
            <w:tcW w:w="980" w:type="dxa"/>
            <w:tcBorders>
              <w:bottom w:val="single" w:sz="8" w:space="0" w:color="000000"/>
            </w:tcBorders>
            <w:shd w:val="clear" w:color="auto" w:fill="auto"/>
            <w:vAlign w:val="center"/>
          </w:tcPr>
          <w:p w14:paraId="0943066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-2.881</w:t>
            </w:r>
          </w:p>
        </w:tc>
        <w:tc>
          <w:tcPr>
            <w:tcW w:w="851" w:type="dxa"/>
            <w:tcBorders>
              <w:bottom w:val="single" w:sz="8" w:space="0" w:color="000000"/>
            </w:tcBorders>
            <w:shd w:val="clear" w:color="auto" w:fill="auto"/>
            <w:vAlign w:val="center"/>
          </w:tcPr>
          <w:p w14:paraId="0943066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0.127</w:t>
            </w:r>
          </w:p>
        </w:tc>
        <w:tc>
          <w:tcPr>
            <w:tcW w:w="881" w:type="dxa"/>
            <w:tcBorders>
              <w:bottom w:val="single" w:sz="8" w:space="0" w:color="000000"/>
            </w:tcBorders>
            <w:shd w:val="clear" w:color="auto" w:fill="auto"/>
            <w:vAlign w:val="center"/>
          </w:tcPr>
          <w:p w14:paraId="0943066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r>
    </w:tbl>
    <w:p w14:paraId="0943066F" w14:textId="77777777" w:rsidR="00901C90" w:rsidRPr="00FE3F56" w:rsidRDefault="00901C90">
      <w:pPr>
        <w:rPr>
          <w:rFonts w:cs="Times New Roman"/>
          <w:color w:val="000000" w:themeColor="text1"/>
          <w:lang w:val="en-GB"/>
        </w:rPr>
      </w:pPr>
    </w:p>
    <w:p w14:paraId="09430671" w14:textId="10696FCC" w:rsidR="00901C90" w:rsidRPr="003457D3" w:rsidRDefault="003457D3" w:rsidP="003457D3">
      <w:pPr>
        <w:pStyle w:val="Heading1"/>
        <w:spacing w:line="240" w:lineRule="auto"/>
        <w:jc w:val="both"/>
        <w:rPr>
          <w:b/>
          <w:bCs/>
          <w:lang w:val="en-GB"/>
        </w:rPr>
      </w:pPr>
      <w:r w:rsidRPr="003457D3">
        <w:rPr>
          <w:b/>
          <w:bCs/>
          <w:lang w:val="en-GB"/>
        </w:rPr>
        <w:t>4.</w:t>
      </w:r>
      <w:r>
        <w:rPr>
          <w:b/>
          <w:bCs/>
          <w:lang w:val="en-GB"/>
        </w:rPr>
        <w:t xml:space="preserve"> </w:t>
      </w:r>
      <w:r w:rsidR="00A34875" w:rsidRPr="003457D3">
        <w:rPr>
          <w:b/>
          <w:bCs/>
          <w:lang w:val="en-GB"/>
        </w:rPr>
        <w:t>Discussions</w:t>
      </w:r>
    </w:p>
    <w:p w14:paraId="09430672" w14:textId="37F28E78" w:rsidR="00901C90" w:rsidRPr="003457D3" w:rsidRDefault="003457D3">
      <w:pPr>
        <w:pStyle w:val="Heading2"/>
        <w:rPr>
          <w:rFonts w:cs="Times New Roman"/>
          <w:b w:val="0"/>
          <w:bCs/>
          <w:i/>
          <w:iCs/>
          <w:lang w:val="en-GB"/>
        </w:rPr>
      </w:pPr>
      <w:r w:rsidRPr="003457D3">
        <w:rPr>
          <w:rFonts w:cs="Times New Roman"/>
          <w:b w:val="0"/>
          <w:bCs/>
          <w:i/>
          <w:iCs/>
          <w:lang w:val="en-GB"/>
        </w:rPr>
        <w:t>4.1.</w:t>
      </w:r>
      <w:r>
        <w:rPr>
          <w:rFonts w:cs="Times New Roman"/>
          <w:b w:val="0"/>
          <w:bCs/>
          <w:i/>
          <w:iCs/>
          <w:lang w:val="en-GB"/>
        </w:rPr>
        <w:t xml:space="preserve"> </w:t>
      </w:r>
      <w:r w:rsidR="00A34875" w:rsidRPr="003457D3">
        <w:rPr>
          <w:rFonts w:cs="Times New Roman"/>
          <w:b w:val="0"/>
          <w:bCs/>
          <w:i/>
          <w:iCs/>
          <w:lang w:val="en-GB"/>
        </w:rPr>
        <w:t>Findings</w:t>
      </w:r>
    </w:p>
    <w:p w14:paraId="09430673" w14:textId="3474B887" w:rsidR="00901C90" w:rsidRPr="00FE3F56" w:rsidRDefault="00A34875">
      <w:pPr>
        <w:rPr>
          <w:rFonts w:cs="Times New Roman"/>
          <w:color w:val="000000" w:themeColor="text1"/>
          <w:lang w:val="en-GB"/>
        </w:rPr>
      </w:pPr>
      <w:r w:rsidRPr="00FE3F56">
        <w:rPr>
          <w:rFonts w:cs="Times New Roman"/>
          <w:color w:val="000000" w:themeColor="text1"/>
          <w:lang w:val="en-GB"/>
        </w:rPr>
        <w:t>Previous research has revealed significant relations between a child’s current prosocial behaviour and their parent’s past prosocial behaviour (Bekkers, 2007; Clary &amp; Miller, 1986; Mustillo et al.,</w:t>
      </w:r>
      <w:r w:rsidR="001E612C" w:rsidRPr="00FE3F56">
        <w:rPr>
          <w:rFonts w:cs="Times New Roman"/>
          <w:color w:val="000000" w:themeColor="text1"/>
          <w:lang w:val="en-GB"/>
        </w:rPr>
        <w:t xml:space="preserve"> </w:t>
      </w:r>
      <w:r w:rsidRPr="00FE3F56">
        <w:rPr>
          <w:rFonts w:cs="Times New Roman"/>
          <w:color w:val="000000" w:themeColor="text1"/>
          <w:lang w:val="en-GB"/>
        </w:rPr>
        <w:t>2004). However, in the field of blood donation, only one quantitative study has been conducted on intergenerational transmission, focusing on genetic and environmental factors in the case of Danish twins (Pedersen et</w:t>
      </w:r>
      <w:r w:rsidR="001E612C" w:rsidRPr="00FE3F56">
        <w:rPr>
          <w:rFonts w:cs="Times New Roman"/>
          <w:color w:val="000000" w:themeColor="text1"/>
          <w:lang w:val="en-GB"/>
        </w:rPr>
        <w:t xml:space="preserve"> A</w:t>
      </w:r>
      <w:r w:rsidRPr="00FE3F56">
        <w:rPr>
          <w:rFonts w:cs="Times New Roman"/>
          <w:color w:val="000000" w:themeColor="text1"/>
          <w:lang w:val="en-GB"/>
        </w:rPr>
        <w:t>l</w:t>
      </w:r>
      <w:r w:rsidR="001E612C" w:rsidRPr="00FE3F56">
        <w:rPr>
          <w:rFonts w:cs="Times New Roman"/>
          <w:color w:val="000000" w:themeColor="text1"/>
          <w:lang w:val="en-GB"/>
        </w:rPr>
        <w:t>.,</w:t>
      </w:r>
      <w:r w:rsidRPr="00FE3F56">
        <w:rPr>
          <w:rFonts w:cs="Times New Roman"/>
          <w:color w:val="000000" w:themeColor="text1"/>
          <w:lang w:val="en-GB"/>
        </w:rPr>
        <w:t xml:space="preserve"> 2015). There has been a qualitative study by Quéniart (2013) however due to methodological reasons, the findings cannot be generalized. Our study extends this line of research by determining intergenerational transmission and by exploring three psycho-social mechanisms that may facilitate this process in a large representative sample of Dutch blood donors. We uncovered that 37.7% of the Dutch blood donor population is part of a blood donor family, indicating that intergenerational transmission of blood-donor behaviour is an important phenomenon in the Netherlands. Moreover, the results suggest that a parent’s donor identity, the parent’s number of donations and the developmental stage of the child in which the parent was active as a blood donor play a role in determining intergenerational transmission and the likelihood of the child to be a blood donor themselves.</w:t>
      </w:r>
    </w:p>
    <w:p w14:paraId="09430674" w14:textId="77777777" w:rsidR="00901C90" w:rsidRPr="00FE3F56" w:rsidRDefault="00A34875">
      <w:pPr>
        <w:rPr>
          <w:rFonts w:cs="Times New Roman"/>
          <w:color w:val="000000" w:themeColor="text1"/>
          <w:lang w:val="en-GB"/>
        </w:rPr>
      </w:pPr>
      <w:r w:rsidRPr="00FE3F56">
        <w:rPr>
          <w:rFonts w:cs="Times New Roman"/>
          <w:color w:val="000000" w:themeColor="text1"/>
          <w:lang w:val="en-GB"/>
        </w:rPr>
        <w:t xml:space="preserve">Our analyses revealed that the stronger the blood-donor identity of the parent the higher the probability of the child to be a blood donor. We hypothesized that parents having a stronger blood-donor identity would be more likely to talk to their children about blood donation compared to parents with weaker blood-donor identities. As a result of these family </w:t>
      </w:r>
      <w:r w:rsidRPr="00FE3F56">
        <w:rPr>
          <w:rFonts w:cs="Times New Roman"/>
          <w:color w:val="000000" w:themeColor="text1"/>
          <w:lang w:val="en-GB"/>
        </w:rPr>
        <w:lastRenderedPageBreak/>
        <w:t xml:space="preserve">discussions, the children might internalize values and attitudes related to blood donation that might influence their behaviour in the future. Regarding the number of donations, we uncovered a positive, statistically significant, association between the number of donations and the donor status of the child. We speculated that as the child is more exposed to successful donations by the parent through observations or hearing about it from the parent, the offspring may become acquainted with the behaviour. </w:t>
      </w:r>
    </w:p>
    <w:p w14:paraId="09430675" w14:textId="77777777" w:rsidR="00901C90" w:rsidRPr="00FE3F56" w:rsidRDefault="00A34875">
      <w:pPr>
        <w:spacing w:beforeAutospacing="1" w:after="159"/>
        <w:rPr>
          <w:rFonts w:eastAsia="Times New Roman" w:cs="Times New Roman"/>
          <w:color w:val="000000" w:themeColor="text1"/>
          <w:lang w:val="en-GB"/>
        </w:rPr>
      </w:pPr>
      <w:r w:rsidRPr="00FE3F56">
        <w:rPr>
          <w:rFonts w:eastAsia="Times New Roman" w:cs="Times New Roman"/>
          <w:color w:val="000000" w:themeColor="text1"/>
          <w:lang w:val="en-GB"/>
        </w:rPr>
        <w:t xml:space="preserve">Concerning the age of the child at which the parent was active as a blood donor, the periods of adolescence and emerging adulthood proved to be significant. The results indicate that the probability of the child to be a blood donor decrease if the parent was donating during the child’s adolescence and increases if one was donating during the child’s emerging adulthood. A possible explanation for this dynamic is the change in the relationship between children and parents during adolescence, when the influence of the family diminishes in favour of peers (Smetana et al., 2015). </w:t>
      </w:r>
      <w:r w:rsidRPr="00FE3F56">
        <w:rPr>
          <w:rFonts w:eastAsia="Times New Roman" w:cs="Times New Roman"/>
          <w:color w:val="000000" w:themeColor="text1"/>
          <w:lang w:val="en-US"/>
        </w:rPr>
        <w:t>Numerous previous studies report a decline in the quality of the relationship between children and parents during this period, a trend that tends to stabilize during young adulthood (see Tsai et al., 2013) and thus the positive association that corresponds to the later developmental period</w:t>
      </w:r>
      <w:r w:rsidRPr="00FE3F56">
        <w:rPr>
          <w:rFonts w:eastAsia="Times New Roman" w:cs="Times New Roman"/>
          <w:color w:val="000000" w:themeColor="text1"/>
          <w:lang w:val="en-GB"/>
        </w:rPr>
        <w:t>. Additionally, McCombie (1991) concludes in his study that a suggestion by another to donate might be more influential for non-donors compared to merely knowing about others’ donation behaviour. Thus, given that the minimum age of donation in the Netherlands is 18, it is possible that for children at younger ages, the process of transmission is rather indirect: with parent-child discussions centring on altruistic practices and values, rather than directly endorsing blood donation (Quéniart, 2013).</w:t>
      </w:r>
    </w:p>
    <w:p w14:paraId="09430676" w14:textId="19598457" w:rsidR="00901C90" w:rsidRPr="00C44E29" w:rsidRDefault="003457D3">
      <w:pPr>
        <w:pStyle w:val="Heading2"/>
        <w:rPr>
          <w:rFonts w:cs="Times New Roman"/>
          <w:b w:val="0"/>
          <w:bCs/>
          <w:i/>
          <w:iCs/>
          <w:lang w:val="en-GB"/>
        </w:rPr>
      </w:pPr>
      <w:r w:rsidRPr="00C44E29">
        <w:rPr>
          <w:rFonts w:cs="Times New Roman"/>
          <w:b w:val="0"/>
          <w:bCs/>
          <w:i/>
          <w:iCs/>
          <w:lang w:val="en-GB"/>
        </w:rPr>
        <w:t xml:space="preserve">4.2. </w:t>
      </w:r>
      <w:r w:rsidR="00A34875" w:rsidRPr="00C44E29">
        <w:rPr>
          <w:rFonts w:cs="Times New Roman"/>
          <w:b w:val="0"/>
          <w:bCs/>
          <w:i/>
          <w:iCs/>
          <w:lang w:val="en-GB"/>
        </w:rPr>
        <w:t>Limitations &amp; Implications</w:t>
      </w:r>
    </w:p>
    <w:p w14:paraId="09430677" w14:textId="2AB193B2" w:rsidR="00901C90" w:rsidRPr="00FE3F56" w:rsidRDefault="00A34875">
      <w:pPr>
        <w:rPr>
          <w:rFonts w:cs="Times New Roman"/>
          <w:color w:val="000000" w:themeColor="text1"/>
          <w:lang w:val="en-GB"/>
        </w:rPr>
      </w:pPr>
      <w:r w:rsidRPr="00FE3F56">
        <w:rPr>
          <w:rFonts w:cs="Times New Roman"/>
          <w:color w:val="000000" w:themeColor="text1"/>
          <w:lang w:val="en-GB"/>
        </w:rPr>
        <w:t xml:space="preserve">Although the DIS-I sample proved to be representative of the Dutch blood donor population at the moment of data collection, the demographic and psycho-social characteristics of the donor </w:t>
      </w:r>
      <w:r w:rsidRPr="00FE3F56">
        <w:rPr>
          <w:rFonts w:cs="Times New Roman"/>
          <w:color w:val="000000" w:themeColor="text1"/>
          <w:lang w:val="en-GB"/>
        </w:rPr>
        <w:lastRenderedPageBreak/>
        <w:t xml:space="preserve">pool and implicitly donor families might have changed in the past 10 years; and thus also the functioning of the transmission mechanisms. </w:t>
      </w:r>
      <w:r w:rsidR="00F0307D" w:rsidRPr="00FE3F56">
        <w:rPr>
          <w:rFonts w:cs="Times New Roman"/>
          <w:color w:val="000000" w:themeColor="text1"/>
          <w:lang w:val="en-GB"/>
        </w:rPr>
        <w:t xml:space="preserve">We should also consider several other factors that could influence the passing down of </w:t>
      </w:r>
      <w:r w:rsidR="000C7141" w:rsidRPr="00FE3F56">
        <w:rPr>
          <w:rFonts w:cs="Times New Roman"/>
          <w:color w:val="000000" w:themeColor="text1"/>
          <w:lang w:val="en-GB"/>
        </w:rPr>
        <w:t>behaviour</w:t>
      </w:r>
      <w:r w:rsidR="00F0307D" w:rsidRPr="00FE3F56">
        <w:rPr>
          <w:rFonts w:cs="Times New Roman"/>
          <w:color w:val="000000" w:themeColor="text1"/>
          <w:lang w:val="en-GB"/>
        </w:rPr>
        <w:t xml:space="preserve"> from one generation to the next. These factors include the </w:t>
      </w:r>
      <w:r w:rsidR="00E132D1" w:rsidRPr="00FE3F56">
        <w:rPr>
          <w:rFonts w:cs="Times New Roman"/>
          <w:color w:val="000000" w:themeColor="text1"/>
          <w:lang w:val="en-GB"/>
        </w:rPr>
        <w:t>quality</w:t>
      </w:r>
      <w:r w:rsidR="00F0307D" w:rsidRPr="00FE3F56">
        <w:rPr>
          <w:rFonts w:cs="Times New Roman"/>
          <w:color w:val="000000" w:themeColor="text1"/>
          <w:lang w:val="en-GB"/>
        </w:rPr>
        <w:t xml:space="preserve"> of the parent-child relationship, the parenting</w:t>
      </w:r>
      <w:r w:rsidR="00E132D1" w:rsidRPr="00FE3F56">
        <w:rPr>
          <w:rFonts w:cs="Times New Roman"/>
          <w:color w:val="000000" w:themeColor="text1"/>
          <w:lang w:val="en-GB"/>
        </w:rPr>
        <w:t xml:space="preserve"> style used</w:t>
      </w:r>
      <w:r w:rsidR="00F0307D" w:rsidRPr="00FE3F56">
        <w:rPr>
          <w:rFonts w:cs="Times New Roman"/>
          <w:color w:val="000000" w:themeColor="text1"/>
          <w:lang w:val="en-GB"/>
        </w:rPr>
        <w:t xml:space="preserve">, how </w:t>
      </w:r>
      <w:r w:rsidR="00E94CBC" w:rsidRPr="00FE3F56">
        <w:rPr>
          <w:rFonts w:cs="Times New Roman"/>
          <w:color w:val="000000" w:themeColor="text1"/>
          <w:lang w:val="en-GB"/>
        </w:rPr>
        <w:t>children perceive the values that the parents desire to transmit</w:t>
      </w:r>
      <w:r w:rsidR="00F0307D" w:rsidRPr="00FE3F56">
        <w:rPr>
          <w:rFonts w:cs="Times New Roman"/>
          <w:color w:val="000000" w:themeColor="text1"/>
          <w:lang w:val="en-GB"/>
        </w:rPr>
        <w:t xml:space="preserve">, and even genetic influences </w:t>
      </w:r>
      <w:r w:rsidRPr="00FE3F56">
        <w:rPr>
          <w:rFonts w:cs="Times New Roman"/>
          <w:color w:val="000000" w:themeColor="text1"/>
          <w:lang w:val="en-GB"/>
        </w:rPr>
        <w:t>(see Fortuna &amp; Knafo, 2014; Padila-Walker,</w:t>
      </w:r>
      <w:r w:rsidR="001E612C" w:rsidRPr="00FE3F56">
        <w:rPr>
          <w:rFonts w:cs="Times New Roman"/>
          <w:color w:val="000000" w:themeColor="text1"/>
          <w:lang w:val="en-GB"/>
        </w:rPr>
        <w:t xml:space="preserve"> </w:t>
      </w:r>
      <w:r w:rsidRPr="00FE3F56">
        <w:rPr>
          <w:rFonts w:cs="Times New Roman"/>
          <w:color w:val="000000" w:themeColor="text1"/>
          <w:lang w:val="en-GB"/>
        </w:rPr>
        <w:t xml:space="preserve">2014). Moreover, </w:t>
      </w:r>
      <w:r w:rsidR="00073CB8" w:rsidRPr="00FE3F56">
        <w:rPr>
          <w:rFonts w:cs="Times New Roman"/>
          <w:color w:val="000000" w:themeColor="text1"/>
          <w:lang w:val="en-GB"/>
        </w:rPr>
        <w:t>it is also crucial to note that our findings are influenced by cultural context, as family dynamics and roles vary significantly from country to country (Ferguson et al., 2018). This means that our results, while applicable to the Dutch context, may not hold true in other cultural settings</w:t>
      </w:r>
      <w:r w:rsidRPr="00FE3F56">
        <w:rPr>
          <w:rFonts w:cs="Times New Roman"/>
          <w:color w:val="000000" w:themeColor="text1"/>
          <w:lang w:val="en-GB"/>
        </w:rPr>
        <w:t xml:space="preserve">. Finally, in determining the conditions of transmission, only information about the parents was used; however, the process is bidirectional, and the children play an active role in socialization (Kuczynski, 1997). </w:t>
      </w:r>
    </w:p>
    <w:p w14:paraId="09430678" w14:textId="77777777" w:rsidR="00901C90" w:rsidRPr="00FE3F56" w:rsidRDefault="00A34875">
      <w:pPr>
        <w:rPr>
          <w:rFonts w:cs="Times New Roman"/>
          <w:color w:val="000000" w:themeColor="text1"/>
          <w:lang w:val="en-GB"/>
        </w:rPr>
      </w:pPr>
      <w:r w:rsidRPr="00FE3F56">
        <w:rPr>
          <w:rFonts w:cs="Times New Roman"/>
          <w:color w:val="000000" w:themeColor="text1"/>
          <w:lang w:val="en-GB"/>
        </w:rPr>
        <w:t>Nonetheless, the results are relevant for blood banks in designing their recruitment strategies. Given that a large segment of the donor population is part of a blood donor family, blood banks may design interventions to engage the families of current donors in conversations about blood donation or design campaigns in which they are encouraged to bring a family member as a donor. Thus, by supporting the transfer of the blood-donor behaviour from one generation of donors to another, blood banks may be able to ensure the long-term stability of the blood supply. This approach may be most relevant for blood banks whose strategy focuses on maintaining the loyalty of the existent donors rather than recruiting new donors as children can replace their parents in the donor pool and being a member of a donor network (family) is positively associated with blood donation (</w:t>
      </w:r>
      <w:r w:rsidRPr="00FE3F56">
        <w:rPr>
          <w:rFonts w:cs="Times New Roman"/>
          <w:color w:val="000000" w:themeColor="text1"/>
          <w:szCs w:val="24"/>
          <w:lang w:val="en-GB"/>
        </w:rPr>
        <w:t>Schröder et. al., 2021)</w:t>
      </w:r>
      <w:r w:rsidRPr="00FE3F56">
        <w:rPr>
          <w:rFonts w:cs="Times New Roman"/>
          <w:color w:val="000000" w:themeColor="text1"/>
          <w:lang w:val="en-GB"/>
        </w:rPr>
        <w:t>.</w:t>
      </w:r>
    </w:p>
    <w:p w14:paraId="0943067A" w14:textId="2E264E95" w:rsidR="00901C90" w:rsidRPr="00C44E29" w:rsidRDefault="00C44E29">
      <w:pPr>
        <w:pStyle w:val="Heading2"/>
        <w:rPr>
          <w:rFonts w:cs="Times New Roman"/>
          <w:b w:val="0"/>
          <w:bCs/>
          <w:i/>
          <w:iCs/>
          <w:lang w:val="en-GB"/>
        </w:rPr>
      </w:pPr>
      <w:r w:rsidRPr="00C44E29">
        <w:rPr>
          <w:rFonts w:cs="Times New Roman"/>
          <w:b w:val="0"/>
          <w:bCs/>
          <w:i/>
          <w:iCs/>
          <w:lang w:val="en-GB"/>
        </w:rPr>
        <w:t xml:space="preserve">4.3. </w:t>
      </w:r>
      <w:r w:rsidR="00A34875" w:rsidRPr="00C44E29">
        <w:rPr>
          <w:rFonts w:cs="Times New Roman"/>
          <w:b w:val="0"/>
          <w:bCs/>
          <w:i/>
          <w:iCs/>
          <w:lang w:val="en-GB"/>
        </w:rPr>
        <w:t>Future Research</w:t>
      </w:r>
    </w:p>
    <w:p w14:paraId="0943067B" w14:textId="77777777" w:rsidR="00901C90" w:rsidRPr="00FE3F56" w:rsidRDefault="00A34875">
      <w:pPr>
        <w:rPr>
          <w:rFonts w:cs="Times New Roman"/>
          <w:color w:val="000000" w:themeColor="text1"/>
          <w:lang w:val="en-GB"/>
        </w:rPr>
      </w:pPr>
      <w:r w:rsidRPr="00FE3F56">
        <w:rPr>
          <w:rFonts w:cs="Times New Roman"/>
          <w:color w:val="000000" w:themeColor="text1"/>
          <w:lang w:val="en-GB"/>
        </w:rPr>
        <w:t xml:space="preserve">We recommend that future research focuses on the relationship between parent and offspring as well as child characteristics; these elements proved significant in previous studies but we could not consider in the present research. For example, it would be valuable if forthcoming </w:t>
      </w:r>
      <w:r w:rsidRPr="00FE3F56">
        <w:rPr>
          <w:rFonts w:cs="Times New Roman"/>
          <w:color w:val="000000" w:themeColor="text1"/>
          <w:lang w:val="en-GB"/>
        </w:rPr>
        <w:lastRenderedPageBreak/>
        <w:t>papers would explore the strategies and discourses blood-donor parents use when talking with their children about this type of prosocial behaviour. For this purpose, a qualitative study may bring the necessary details that would offer a more complete picture. Moreover, in future quantitative research, it is advised that information on both parents' and children's social status and donation behaviour is collected, as well as the quality of the relation existent between them. Finally, when analysing this area, scientists are advised to consider the larger context of transmission. By this, we are referring to the embedding of the blood donor family in a larger donor network (e.g. the existence of other donor relatives, friend; see Piliavin &amp; Callero, 1991) or situational factors that may influence one’s behaviour such as certain life events (Piersma et al., 2019) or proximity to a blood donation centre (Piersma et al., 2021).</w:t>
      </w:r>
    </w:p>
    <w:p w14:paraId="0943067C" w14:textId="77777777" w:rsidR="00901C90" w:rsidRPr="00FE3F56" w:rsidRDefault="00A34875">
      <w:pPr>
        <w:spacing w:after="0" w:line="240" w:lineRule="auto"/>
        <w:jc w:val="left"/>
        <w:rPr>
          <w:rFonts w:cs="Times New Roman"/>
          <w:color w:val="000000" w:themeColor="text1"/>
          <w:lang w:val="en-GB"/>
        </w:rPr>
      </w:pPr>
      <w:r w:rsidRPr="00FE3F56">
        <w:rPr>
          <w:rFonts w:cs="Times New Roman"/>
          <w:color w:val="000000" w:themeColor="text1"/>
          <w:lang w:val="en-US"/>
        </w:rPr>
        <w:br w:type="page"/>
      </w:r>
    </w:p>
    <w:p w14:paraId="0943067D" w14:textId="3A7BE0F4" w:rsidR="00901C90" w:rsidRPr="00C44E29" w:rsidRDefault="00C44E29" w:rsidP="00C44E29">
      <w:pPr>
        <w:pStyle w:val="Heading1"/>
        <w:jc w:val="both"/>
        <w:rPr>
          <w:b/>
          <w:bCs/>
          <w:lang w:val="en-GB"/>
        </w:rPr>
      </w:pPr>
      <w:r w:rsidRPr="00C44E29">
        <w:rPr>
          <w:b/>
          <w:bCs/>
          <w:lang w:val="en-GB"/>
        </w:rPr>
        <w:lastRenderedPageBreak/>
        <w:t xml:space="preserve">5. </w:t>
      </w:r>
      <w:r w:rsidR="00A34875" w:rsidRPr="00C44E29">
        <w:rPr>
          <w:b/>
          <w:bCs/>
          <w:lang w:val="en-GB"/>
        </w:rPr>
        <w:t>References</w:t>
      </w:r>
    </w:p>
    <w:p w14:paraId="0943067E"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Ali, A., Auvinen, M. K., &amp; Rautonen, J. (2010). The aging population poses a global challenge for blood services</w:t>
      </w:r>
      <w:r w:rsidRPr="00FE3F56">
        <w:rPr>
          <w:rFonts w:cs="Times New Roman"/>
          <w:i/>
          <w:iCs/>
          <w:color w:val="000000" w:themeColor="text1"/>
          <w:szCs w:val="24"/>
          <w:lang w:val="en-GB"/>
        </w:rPr>
        <w:t>. Transfusion, 50</w:t>
      </w:r>
      <w:r w:rsidRPr="00FE3F56">
        <w:rPr>
          <w:rFonts w:cs="Times New Roman"/>
          <w:color w:val="000000" w:themeColor="text1"/>
          <w:szCs w:val="24"/>
          <w:lang w:val="en-GB"/>
        </w:rPr>
        <w:t>(3), 584–588. https://doi.org/10.1111/j.1537-2995.2009.02490.x</w:t>
      </w:r>
    </w:p>
    <w:p w14:paraId="0943067F"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Aquilino, W. S. (1997). From adolescent to young adult: A prospective study of parent-child relations during the transition to adulthood. </w:t>
      </w:r>
      <w:r w:rsidRPr="00FE3F56">
        <w:rPr>
          <w:rFonts w:cs="Times New Roman"/>
          <w:i/>
          <w:iCs/>
          <w:color w:val="000000" w:themeColor="text1"/>
          <w:szCs w:val="24"/>
          <w:lang w:val="en-GB"/>
        </w:rPr>
        <w:t>Journal of Marriage and the Family, 59</w:t>
      </w:r>
      <w:r w:rsidRPr="00FE3F56">
        <w:rPr>
          <w:rFonts w:cs="Times New Roman"/>
          <w:color w:val="000000" w:themeColor="text1"/>
          <w:szCs w:val="24"/>
          <w:lang w:val="en-GB"/>
        </w:rPr>
        <w:t>(3), 670–686. https://doi.org/10.2307/353953</w:t>
      </w:r>
    </w:p>
    <w:p w14:paraId="09430680"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Arnett, J. J. (2000). Emerging adulthood: A theory of development from the late teens through the twenties. American Psychologist, 55(5), 469–480. https://doi.org/10.1037/0003-066X.55.5.469Baltatescu, S. (2014) Psychological Distance. In Michalos A.C. (ed) </w:t>
      </w:r>
      <w:r w:rsidRPr="00FE3F56">
        <w:rPr>
          <w:rFonts w:cs="Times New Roman"/>
          <w:i/>
          <w:iCs/>
          <w:color w:val="000000" w:themeColor="text1"/>
          <w:szCs w:val="24"/>
          <w:lang w:val="en-GB"/>
        </w:rPr>
        <w:t xml:space="preserve">Encyclopaedia of Quality of Life and Well-Being Research. </w:t>
      </w:r>
      <w:r w:rsidRPr="00FE3F56">
        <w:rPr>
          <w:rFonts w:cs="Times New Roman"/>
          <w:color w:val="000000" w:themeColor="text1"/>
          <w:szCs w:val="24"/>
          <w:lang w:val="en-GB"/>
        </w:rPr>
        <w:t>Springer, Dordrecht. https://doi.org/10.1007/978-94-007-0753-5_2306</w:t>
      </w:r>
    </w:p>
    <w:p w14:paraId="09430681"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Bandura, A. (1977). Self-efficacy: Toward a unifying theory of behavioral change</w:t>
      </w:r>
      <w:r w:rsidRPr="00FE3F56">
        <w:rPr>
          <w:rFonts w:cs="Times New Roman"/>
          <w:i/>
          <w:iCs/>
          <w:color w:val="000000" w:themeColor="text1"/>
          <w:szCs w:val="24"/>
          <w:lang w:val="en-GB"/>
        </w:rPr>
        <w:t>. Psychological Review, 84</w:t>
      </w:r>
      <w:r w:rsidRPr="00FE3F56">
        <w:rPr>
          <w:rFonts w:cs="Times New Roman"/>
          <w:color w:val="000000" w:themeColor="text1"/>
          <w:szCs w:val="24"/>
          <w:lang w:val="en-GB"/>
        </w:rPr>
        <w:t>(2), 191–215. https://doi.org/10.1037/0033-295X.84.2.191</w:t>
      </w:r>
    </w:p>
    <w:p w14:paraId="09430682"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Bandura, A., Ross, D., &amp; Ross, S. A. (1961). Transmission of aggression through imitation of aggressive models. </w:t>
      </w:r>
      <w:r w:rsidRPr="00FE3F56">
        <w:rPr>
          <w:rFonts w:cs="Times New Roman"/>
          <w:i/>
          <w:iCs/>
          <w:color w:val="000000" w:themeColor="text1"/>
          <w:szCs w:val="24"/>
          <w:lang w:val="en-GB"/>
        </w:rPr>
        <w:t>The Journal of Abnormal and Social Psychology, 63</w:t>
      </w:r>
      <w:r w:rsidRPr="00FE3F56">
        <w:rPr>
          <w:rFonts w:cs="Times New Roman"/>
          <w:color w:val="000000" w:themeColor="text1"/>
          <w:szCs w:val="24"/>
          <w:lang w:val="en-GB"/>
        </w:rPr>
        <w:t>(3), 575–582. https://doi.org/10.1037/h0045925</w:t>
      </w:r>
    </w:p>
    <w:p w14:paraId="09430683"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Bekkers, R. (2007). Intergenerational Transmission of Volunteering. </w:t>
      </w:r>
      <w:r w:rsidRPr="00FE3F56">
        <w:rPr>
          <w:rFonts w:cs="Times New Roman"/>
          <w:i/>
          <w:iCs/>
          <w:color w:val="000000" w:themeColor="text1"/>
          <w:szCs w:val="24"/>
          <w:lang w:val="en-GB"/>
        </w:rPr>
        <w:t>Acta Sociologica, 50</w:t>
      </w:r>
      <w:r w:rsidRPr="00FE3F56">
        <w:rPr>
          <w:rFonts w:cs="Times New Roman"/>
          <w:color w:val="000000" w:themeColor="text1"/>
          <w:szCs w:val="24"/>
          <w:lang w:val="en-GB"/>
        </w:rPr>
        <w:t>(2), 99–114. http://www.jstor.org/stable/20459986</w:t>
      </w:r>
    </w:p>
    <w:p w14:paraId="09430684" w14:textId="77777777" w:rsidR="00901C90" w:rsidRPr="00FE3F56" w:rsidRDefault="00A34875">
      <w:pPr>
        <w:jc w:val="left"/>
        <w:rPr>
          <w:rFonts w:cs="Times New Roman"/>
          <w:color w:val="000000" w:themeColor="text1"/>
          <w:szCs w:val="24"/>
        </w:rPr>
      </w:pPr>
      <w:r w:rsidRPr="00FE3F56">
        <w:rPr>
          <w:rFonts w:cs="Times New Roman"/>
          <w:color w:val="000000" w:themeColor="text1"/>
          <w:szCs w:val="24"/>
          <w:lang w:val="en-GB"/>
        </w:rPr>
        <w:t xml:space="preserve">Blaine, B.E. (2018). Winsorizing. In B. Frey (ed.) </w:t>
      </w:r>
      <w:r w:rsidRPr="00FE3F56">
        <w:rPr>
          <w:rFonts w:cs="Times New Roman"/>
          <w:i/>
          <w:iCs/>
          <w:color w:val="000000" w:themeColor="text1"/>
          <w:szCs w:val="24"/>
          <w:lang w:val="en-GB"/>
        </w:rPr>
        <w:t>The SAGE encyclopaedia of educational research, measurement, and evaluation (Vols. 1-4).</w:t>
      </w:r>
      <w:r w:rsidRPr="00FE3F56">
        <w:rPr>
          <w:rFonts w:cs="Times New Roman"/>
          <w:color w:val="000000" w:themeColor="text1"/>
          <w:szCs w:val="24"/>
          <w:lang w:val="en-GB"/>
        </w:rPr>
        <w:t xml:space="preserve"> </w:t>
      </w:r>
      <w:r w:rsidRPr="00FE3F56">
        <w:rPr>
          <w:rFonts w:cs="Times New Roman"/>
          <w:color w:val="000000" w:themeColor="text1"/>
          <w:szCs w:val="24"/>
        </w:rPr>
        <w:t>SAGE Publications https://dx.doi.org/10.4135/9781506326139.n747</w:t>
      </w:r>
    </w:p>
    <w:p w14:paraId="09430685"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rPr>
        <w:lastRenderedPageBreak/>
        <w:t xml:space="preserve">Branje, S., Geeraerts, S., de Zeeuw, E. L., Oerlemans, A. M., Koopman-Verhoeff, M. E., Schulz, S., Nelemans, S., Meeus, W., Hartman, C.A., Hillegers, M.H.J., Oldehinkel, A.J. &amp; Boomsma, D. I. (2020). </w:t>
      </w:r>
      <w:r w:rsidRPr="00FE3F56">
        <w:rPr>
          <w:rFonts w:cs="Times New Roman"/>
          <w:color w:val="000000" w:themeColor="text1"/>
          <w:szCs w:val="24"/>
          <w:lang w:val="en-GB"/>
        </w:rPr>
        <w:t xml:space="preserve">Intergenerational transmission: Theoretical and methodological issues and an introduction to four Dutch cohorts. </w:t>
      </w:r>
      <w:r w:rsidRPr="00FE3F56">
        <w:rPr>
          <w:rFonts w:cs="Times New Roman"/>
          <w:i/>
          <w:iCs/>
          <w:color w:val="000000" w:themeColor="text1"/>
          <w:szCs w:val="24"/>
          <w:lang w:val="en-GB"/>
        </w:rPr>
        <w:t>Developmental Cognitive Neuroscience, 45</w:t>
      </w:r>
      <w:r w:rsidRPr="00FE3F56">
        <w:rPr>
          <w:rFonts w:cs="Times New Roman"/>
          <w:color w:val="000000" w:themeColor="text1"/>
          <w:szCs w:val="24"/>
          <w:lang w:val="en-GB"/>
        </w:rPr>
        <w:t>, 100835. 10.1016/j.dcn.2020.100835</w:t>
      </w:r>
    </w:p>
    <w:p w14:paraId="09430686"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Centraal Bureau voor de Statistiek (2019, 25 February). </w:t>
      </w:r>
      <w:r w:rsidRPr="00FE3F56">
        <w:rPr>
          <w:rFonts w:cs="Times New Roman"/>
          <w:i/>
          <w:iCs/>
          <w:color w:val="000000" w:themeColor="text1"/>
          <w:szCs w:val="24"/>
          <w:lang w:val="en-GB"/>
        </w:rPr>
        <w:t>Both studying and working young people leave home later.</w:t>
      </w:r>
      <w:r w:rsidRPr="00FE3F56">
        <w:rPr>
          <w:rFonts w:cs="Times New Roman"/>
          <w:color w:val="000000" w:themeColor="text1"/>
          <w:szCs w:val="24"/>
          <w:lang w:val="en-GB"/>
        </w:rPr>
        <w:t xml:space="preserve"> cbs.nl. https://www.cbs.nl/en-gb/news/2019/06/both-studying-and-working-young-people-leave-home-later</w:t>
      </w:r>
    </w:p>
    <w:p w14:paraId="09430687"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Clary, E. G., &amp; Miller, J. (1986). Socialization and Situational Influences on Sustained Altruism. </w:t>
      </w:r>
      <w:r w:rsidRPr="00FE3F56">
        <w:rPr>
          <w:rFonts w:cs="Times New Roman"/>
          <w:i/>
          <w:iCs/>
          <w:color w:val="000000" w:themeColor="text1"/>
          <w:szCs w:val="24"/>
          <w:lang w:val="en-GB"/>
        </w:rPr>
        <w:t>Child Development</w:t>
      </w:r>
      <w:r w:rsidRPr="00FE3F56">
        <w:rPr>
          <w:rFonts w:cs="Times New Roman"/>
          <w:color w:val="000000" w:themeColor="text1"/>
          <w:szCs w:val="24"/>
          <w:lang w:val="en-GB"/>
        </w:rPr>
        <w:t xml:space="preserve">, </w:t>
      </w:r>
      <w:r w:rsidRPr="00FE3F56">
        <w:rPr>
          <w:rFonts w:cs="Times New Roman"/>
          <w:i/>
          <w:iCs/>
          <w:color w:val="000000" w:themeColor="text1"/>
          <w:szCs w:val="24"/>
          <w:lang w:val="en-GB"/>
        </w:rPr>
        <w:t>57</w:t>
      </w:r>
      <w:r w:rsidRPr="00FE3F56">
        <w:rPr>
          <w:rFonts w:cs="Times New Roman"/>
          <w:color w:val="000000" w:themeColor="text1"/>
          <w:szCs w:val="24"/>
          <w:lang w:val="en-GB"/>
        </w:rPr>
        <w:t>(6), 1358–1369. https://doi.org/10.2307/1130415</w:t>
      </w:r>
    </w:p>
    <w:p w14:paraId="09430688"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Drollinger, T.L. (1997). </w:t>
      </w:r>
      <w:r w:rsidRPr="00FE3F56">
        <w:rPr>
          <w:rFonts w:cs="Times New Roman"/>
          <w:i/>
          <w:iCs/>
          <w:color w:val="000000" w:themeColor="text1"/>
          <w:szCs w:val="24"/>
          <w:lang w:val="en-GB"/>
        </w:rPr>
        <w:t>A multidisciplinary model of monetary donations to charitable organisations</w:t>
      </w:r>
      <w:r w:rsidRPr="00FE3F56">
        <w:rPr>
          <w:rFonts w:cs="Times New Roman"/>
          <w:color w:val="000000" w:themeColor="text1"/>
          <w:szCs w:val="24"/>
          <w:lang w:val="en-GB"/>
        </w:rPr>
        <w:t xml:space="preserve"> (Publication No. 9821734) [Doctoral dissertation, Purdue University]. ProQuest Dissertations Publishing.</w:t>
      </w:r>
    </w:p>
    <w:p w14:paraId="09430689" w14:textId="77777777" w:rsidR="00901C90" w:rsidRPr="00FE3F56" w:rsidRDefault="00A34875">
      <w:pPr>
        <w:jc w:val="left"/>
        <w:rPr>
          <w:rFonts w:eastAsia="Times New Roman" w:cs="Times New Roman"/>
          <w:color w:val="000000" w:themeColor="text1"/>
          <w:szCs w:val="24"/>
          <w:lang w:val="en-GB"/>
        </w:rPr>
      </w:pPr>
      <w:r w:rsidRPr="00FE3F56">
        <w:rPr>
          <w:rFonts w:eastAsia="Times New Roman" w:cs="Times New Roman"/>
          <w:color w:val="000000" w:themeColor="text1"/>
          <w:szCs w:val="24"/>
          <w:lang w:val="en-GB"/>
        </w:rPr>
        <w:t xml:space="preserve">Eisenberg, N., Fabes, R. A., &amp; Spinrad, T. L. (2006). Prosocial Development. In N. Eisenberg, W. Damon, &amp; R. M. Lerner (Eds.), </w:t>
      </w:r>
      <w:r w:rsidRPr="00FE3F56">
        <w:rPr>
          <w:rFonts w:eastAsia="Times New Roman" w:cs="Times New Roman"/>
          <w:i/>
          <w:iCs/>
          <w:color w:val="000000" w:themeColor="text1"/>
          <w:szCs w:val="24"/>
          <w:lang w:val="en-GB"/>
        </w:rPr>
        <w:t>Handbook of child psychology: Vol. 3. Social, emotional, and personality development</w:t>
      </w:r>
      <w:r w:rsidRPr="00FE3F56">
        <w:rPr>
          <w:rFonts w:eastAsia="Times New Roman" w:cs="Times New Roman"/>
          <w:color w:val="000000" w:themeColor="text1"/>
          <w:szCs w:val="24"/>
          <w:lang w:val="en-GB"/>
        </w:rPr>
        <w:t xml:space="preserve"> (</w:t>
      </w:r>
      <w:r w:rsidRPr="00FE3F56">
        <w:rPr>
          <w:rFonts w:eastAsia="Times New Roman" w:cs="Times New Roman"/>
          <w:i/>
          <w:iCs/>
          <w:color w:val="000000" w:themeColor="text1"/>
          <w:szCs w:val="24"/>
          <w:lang w:val="en-GB"/>
        </w:rPr>
        <w:t>6th ed.,</w:t>
      </w:r>
      <w:r w:rsidRPr="00FE3F56">
        <w:rPr>
          <w:rFonts w:eastAsia="Times New Roman" w:cs="Times New Roman"/>
          <w:i/>
          <w:iCs/>
          <w:color w:val="000000" w:themeColor="text1"/>
          <w:szCs w:val="24"/>
          <w:vertAlign w:val="superscript"/>
          <w:lang w:val="en-GB"/>
        </w:rPr>
        <w:t xml:space="preserve"> </w:t>
      </w:r>
      <w:r w:rsidRPr="00FE3F56">
        <w:rPr>
          <w:rFonts w:eastAsia="Times New Roman" w:cs="Times New Roman"/>
          <w:color w:val="000000" w:themeColor="text1"/>
          <w:szCs w:val="24"/>
          <w:lang w:val="en-GB"/>
        </w:rPr>
        <w:t>pp. 646–718). John Wiley &amp; Sons, Inc.</w:t>
      </w:r>
    </w:p>
    <w:p w14:paraId="0943068A" w14:textId="77777777" w:rsidR="00901C90" w:rsidRPr="00FE3F56" w:rsidRDefault="00A34875">
      <w:pPr>
        <w:jc w:val="left"/>
        <w:rPr>
          <w:rFonts w:eastAsia="Times New Roman" w:cs="Times New Roman"/>
          <w:color w:val="000000" w:themeColor="text1"/>
          <w:szCs w:val="24"/>
          <w:lang w:val="en-GB"/>
        </w:rPr>
      </w:pPr>
      <w:r w:rsidRPr="00FE3F56">
        <w:rPr>
          <w:rFonts w:eastAsia="Times New Roman" w:cs="Times New Roman"/>
          <w:color w:val="000000" w:themeColor="text1"/>
          <w:szCs w:val="24"/>
          <w:lang w:val="en-GB"/>
        </w:rPr>
        <w:t>Eisenberg-Berg, N., &amp; Geisheker, E. (1979). Content of preachings and power of the model/preacher: The effect on children's generosity. </w:t>
      </w:r>
      <w:r w:rsidRPr="00FE3F56">
        <w:rPr>
          <w:rFonts w:eastAsia="Times New Roman" w:cs="Times New Roman"/>
          <w:i/>
          <w:iCs/>
          <w:color w:val="000000" w:themeColor="text1"/>
          <w:szCs w:val="24"/>
          <w:lang w:val="en-GB"/>
        </w:rPr>
        <w:t>Developmental Psychology, 15</w:t>
      </w:r>
      <w:r w:rsidRPr="00FE3F56">
        <w:rPr>
          <w:rFonts w:eastAsia="Times New Roman" w:cs="Times New Roman"/>
          <w:color w:val="000000" w:themeColor="text1"/>
          <w:szCs w:val="24"/>
          <w:lang w:val="en-GB"/>
        </w:rPr>
        <w:t>(2), 168–175. https://doi.org/10.1037/0012-1649.15.2.168</w:t>
      </w:r>
    </w:p>
    <w:p w14:paraId="0943068B"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Erikson, E. H. (1950). </w:t>
      </w:r>
      <w:r w:rsidRPr="00FE3F56">
        <w:rPr>
          <w:rFonts w:cs="Times New Roman"/>
          <w:i/>
          <w:iCs/>
          <w:color w:val="000000" w:themeColor="text1"/>
          <w:szCs w:val="24"/>
          <w:lang w:val="en-GB"/>
        </w:rPr>
        <w:t>Childhood and society</w:t>
      </w:r>
      <w:r w:rsidRPr="00FE3F56">
        <w:rPr>
          <w:rFonts w:cs="Times New Roman"/>
          <w:color w:val="000000" w:themeColor="text1"/>
          <w:szCs w:val="24"/>
          <w:lang w:val="en-GB"/>
        </w:rPr>
        <w:t>. W W Norton &amp; Co.</w:t>
      </w:r>
    </w:p>
    <w:p w14:paraId="0943068C"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Erikson, E. H. (1968). </w:t>
      </w:r>
      <w:r w:rsidRPr="00FE3F56">
        <w:rPr>
          <w:rFonts w:cs="Times New Roman"/>
          <w:i/>
          <w:iCs/>
          <w:color w:val="000000" w:themeColor="text1"/>
          <w:szCs w:val="24"/>
          <w:lang w:val="en-GB"/>
        </w:rPr>
        <w:t>Identity: Youth and crisis</w:t>
      </w:r>
      <w:r w:rsidRPr="00FE3F56">
        <w:rPr>
          <w:rFonts w:cs="Times New Roman"/>
          <w:color w:val="000000" w:themeColor="text1"/>
          <w:szCs w:val="24"/>
          <w:lang w:val="en-GB"/>
        </w:rPr>
        <w:t>. Norton.</w:t>
      </w:r>
    </w:p>
    <w:p w14:paraId="0943068D" w14:textId="77777777" w:rsidR="00901C90" w:rsidRPr="00FE3F56" w:rsidRDefault="00A34875">
      <w:pPr>
        <w:jc w:val="left"/>
        <w:rPr>
          <w:rFonts w:cs="Times New Roman"/>
          <w:color w:val="000000" w:themeColor="text1"/>
          <w:szCs w:val="24"/>
        </w:rPr>
      </w:pPr>
      <w:r w:rsidRPr="00FE3F56">
        <w:rPr>
          <w:rFonts w:cs="Times New Roman"/>
          <w:color w:val="000000" w:themeColor="text1"/>
          <w:szCs w:val="24"/>
          <w:lang w:val="en-GB"/>
        </w:rPr>
        <w:t xml:space="preserve">Ferguson, E., Dorner, L., France, C.R., France, J.L., Masser, B., Lam, M., Marta, E., Alfieri, S., Merz, E.-M., Adams, B., Huis in ’t Veld, E. and Scerri, J. (2018), Blood donor behaviour, </w:t>
      </w:r>
      <w:r w:rsidRPr="00FE3F56">
        <w:rPr>
          <w:rFonts w:cs="Times New Roman"/>
          <w:color w:val="000000" w:themeColor="text1"/>
          <w:szCs w:val="24"/>
          <w:lang w:val="en-GB"/>
        </w:rPr>
        <w:lastRenderedPageBreak/>
        <w:t xml:space="preserve">motivations and the need for a systematic cross-cultural perspective: the example of moral outrage and health- and non-health-based philanthropy across seven countries. </w:t>
      </w:r>
      <w:r w:rsidRPr="00FE3F56">
        <w:rPr>
          <w:rFonts w:cs="Times New Roman"/>
          <w:i/>
          <w:iCs/>
          <w:color w:val="000000" w:themeColor="text1"/>
          <w:szCs w:val="24"/>
        </w:rPr>
        <w:t>VOXS, 13,</w:t>
      </w:r>
      <w:r w:rsidRPr="00FE3F56">
        <w:rPr>
          <w:rFonts w:cs="Times New Roman"/>
          <w:color w:val="000000" w:themeColor="text1"/>
          <w:szCs w:val="24"/>
        </w:rPr>
        <w:t xml:space="preserve"> 375-383. https://doi-org.vu-nl.idm.oclc.org/10.1111/voxs.12471</w:t>
      </w:r>
    </w:p>
    <w:p w14:paraId="0943068E"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Fingerman, K. L., Cheng, Y. P., Wesselmann, E. D., Zarit, S., Furstenberg, F., &amp; Birditt, K. S. (2012). Helicopter Parents and Landing Pad Kids: Intense Parental Support of Grown Children. </w:t>
      </w:r>
      <w:r w:rsidRPr="00FE3F56">
        <w:rPr>
          <w:rFonts w:cs="Times New Roman"/>
          <w:i/>
          <w:iCs/>
          <w:color w:val="000000" w:themeColor="text1"/>
          <w:szCs w:val="24"/>
          <w:lang w:val="en-GB"/>
        </w:rPr>
        <w:t>Journal of marriage and the family, 74</w:t>
      </w:r>
      <w:r w:rsidRPr="00FE3F56">
        <w:rPr>
          <w:rFonts w:cs="Times New Roman"/>
          <w:color w:val="000000" w:themeColor="text1"/>
          <w:szCs w:val="24"/>
          <w:lang w:val="en-GB"/>
        </w:rPr>
        <w:t>(4), 880–896. https://doi.org/10.1111/j.1741-3737.2012.00987.x</w:t>
      </w:r>
    </w:p>
    <w:p w14:paraId="0943068F"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Fortuna K. &amp; Knafo A. (2014). Parental and genetic contributions to prosocial behaviour during childhood. In L.M. Padilla-Walker &amp; G. Carlo (eds.). </w:t>
      </w:r>
      <w:r w:rsidRPr="00FE3F56">
        <w:rPr>
          <w:rFonts w:cs="Times New Roman"/>
          <w:i/>
          <w:iCs/>
          <w:color w:val="000000" w:themeColor="text1"/>
          <w:szCs w:val="24"/>
          <w:lang w:val="en-GB"/>
        </w:rPr>
        <w:t>Prosocial development: A multidimensional approach</w:t>
      </w:r>
      <w:r w:rsidRPr="00FE3F56">
        <w:rPr>
          <w:rFonts w:cs="Times New Roman"/>
          <w:color w:val="000000" w:themeColor="text1"/>
          <w:szCs w:val="24"/>
          <w:lang w:val="en-GB"/>
        </w:rPr>
        <w:t>. Oxford University Press. 10.1093/acprof:oso/9780199964772.003.0004</w:t>
      </w:r>
    </w:p>
    <w:p w14:paraId="09430690"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Gomila, R. (2021). Logistic or linear? Estimating causal effects of experimental treatments on binary outcomes using regression analysis</w:t>
      </w:r>
      <w:r w:rsidRPr="00FE3F56">
        <w:rPr>
          <w:rFonts w:cs="Times New Roman"/>
          <w:i/>
          <w:iCs/>
          <w:color w:val="000000" w:themeColor="text1"/>
          <w:szCs w:val="24"/>
          <w:lang w:val="en-GB"/>
        </w:rPr>
        <w:t>. Journal of Experimental Psychology: General, 150</w:t>
      </w:r>
      <w:r w:rsidRPr="00FE3F56">
        <w:rPr>
          <w:rFonts w:cs="Times New Roman"/>
          <w:color w:val="000000" w:themeColor="text1"/>
          <w:szCs w:val="24"/>
          <w:lang w:val="en-GB"/>
        </w:rPr>
        <w:t>(4), 700–709. https://doi.org/10.1037/xge0000920. Sociology (5</w:t>
      </w:r>
      <w:r w:rsidRPr="00FE3F56">
        <w:rPr>
          <w:rFonts w:cs="Times New Roman"/>
          <w:color w:val="000000" w:themeColor="text1"/>
          <w:szCs w:val="24"/>
          <w:vertAlign w:val="superscript"/>
          <w:lang w:val="en-GB"/>
        </w:rPr>
        <w:t>th</w:t>
      </w:r>
      <w:r w:rsidRPr="00FE3F56">
        <w:rPr>
          <w:rFonts w:cs="Times New Roman"/>
          <w:color w:val="000000" w:themeColor="text1"/>
          <w:szCs w:val="24"/>
          <w:lang w:val="en-GB"/>
        </w:rPr>
        <w:t xml:space="preserve"> ed.). Polity Press.</w:t>
      </w:r>
    </w:p>
    <w:p w14:paraId="09430691"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Greinacher, A., Weitmann, K., Lebsa, A., Alpen, U., Gloger, D., Stangenberg, W., Kiefel, V., &amp; Hoffmann, W. (2016). A population-based longitudinal study on the implications of demographics on future blood supply. Transfusion, 56(12), 2986–2994. https://doi.org/10 Greinacher.1111/trf.13814</w:t>
      </w:r>
    </w:p>
    <w:p w14:paraId="09430692" w14:textId="77777777" w:rsidR="00901C90" w:rsidRPr="00FE3F56" w:rsidRDefault="00A34875">
      <w:pPr>
        <w:jc w:val="left"/>
        <w:rPr>
          <w:rFonts w:eastAsia="Times New Roman" w:cs="Times New Roman"/>
          <w:color w:val="000000" w:themeColor="text1"/>
          <w:szCs w:val="24"/>
          <w:lang w:val="en-GB"/>
        </w:rPr>
      </w:pPr>
      <w:r w:rsidRPr="00FE3F56">
        <w:rPr>
          <w:rFonts w:eastAsia="Times New Roman" w:cs="Times New Roman"/>
          <w:color w:val="000000" w:themeColor="text1"/>
          <w:szCs w:val="24"/>
          <w:lang w:val="en-GB"/>
        </w:rPr>
        <w:t>Grusec, J. E., &amp; Goodnow, J. J. (1994). Impact of parental discipline methods on the child's internalization of values: A reconceptualization of current points of view. </w:t>
      </w:r>
      <w:r w:rsidRPr="00FE3F56">
        <w:rPr>
          <w:rFonts w:eastAsia="Times New Roman" w:cs="Times New Roman"/>
          <w:i/>
          <w:iCs/>
          <w:color w:val="000000" w:themeColor="text1"/>
          <w:szCs w:val="24"/>
          <w:lang w:val="en-GB"/>
        </w:rPr>
        <w:t>Developmental Psychology, 30</w:t>
      </w:r>
      <w:r w:rsidRPr="00FE3F56">
        <w:rPr>
          <w:rFonts w:eastAsia="Times New Roman" w:cs="Times New Roman"/>
          <w:color w:val="000000" w:themeColor="text1"/>
          <w:szCs w:val="24"/>
          <w:lang w:val="en-GB"/>
        </w:rPr>
        <w:t>(1), 4–19. https://doi.org/10.1037/0012-1649.30.1.4</w:t>
      </w:r>
    </w:p>
    <w:p w14:paraId="09430693"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Jakobsen J.K., Gludd, C.,Wetterslev, J. &amp; Winkel, P.(2017). When and how should multiple imputation be used for handling missing data in randomised clinical trials – a practical guide with flowcharts. </w:t>
      </w:r>
      <w:r w:rsidRPr="00FE3F56">
        <w:rPr>
          <w:rFonts w:cs="Times New Roman"/>
          <w:i/>
          <w:iCs/>
          <w:color w:val="000000" w:themeColor="text1"/>
          <w:szCs w:val="24"/>
          <w:lang w:val="en-GB"/>
        </w:rPr>
        <w:t>BMC Medical Research Methodology,17</w:t>
      </w:r>
      <w:r w:rsidRPr="00FE3F56">
        <w:rPr>
          <w:rFonts w:cs="Times New Roman"/>
          <w:color w:val="000000" w:themeColor="text1"/>
          <w:szCs w:val="24"/>
          <w:lang w:val="en-GB"/>
        </w:rPr>
        <w:t>(162). 10.1186/s12874-017-0442-1</w:t>
      </w:r>
    </w:p>
    <w:p w14:paraId="09430694"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lastRenderedPageBreak/>
        <w:t xml:space="preserve">Jarvis, P. &amp; Watts, M. (2012). </w:t>
      </w:r>
      <w:r w:rsidRPr="00FE3F56">
        <w:rPr>
          <w:rFonts w:cs="Times New Roman"/>
          <w:i/>
          <w:iCs/>
          <w:color w:val="000000" w:themeColor="text1"/>
          <w:szCs w:val="24"/>
          <w:lang w:val="en-GB"/>
        </w:rPr>
        <w:t>The Routledge International Handbook of Learning</w:t>
      </w:r>
      <w:r w:rsidRPr="00FE3F56">
        <w:rPr>
          <w:rFonts w:cs="Times New Roman"/>
          <w:color w:val="000000" w:themeColor="text1"/>
          <w:szCs w:val="24"/>
          <w:lang w:val="en-GB"/>
        </w:rPr>
        <w:t>. Routledge.</w:t>
      </w:r>
    </w:p>
    <w:p w14:paraId="09430695" w14:textId="7CD7E28A"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Jensen Arnett, J. (2015) Socialization in Emerging Adulthood: From the Family to the Wider World,</w:t>
      </w:r>
      <w:r w:rsidR="001E612C" w:rsidRPr="00FE3F56">
        <w:rPr>
          <w:rFonts w:cs="Times New Roman"/>
          <w:color w:val="000000" w:themeColor="text1"/>
          <w:szCs w:val="24"/>
          <w:lang w:val="en-GB"/>
        </w:rPr>
        <w:t xml:space="preserve"> </w:t>
      </w:r>
      <w:r w:rsidRPr="00FE3F56">
        <w:rPr>
          <w:rFonts w:cs="Times New Roman"/>
          <w:color w:val="000000" w:themeColor="text1"/>
          <w:szCs w:val="24"/>
          <w:lang w:val="en-GB"/>
        </w:rPr>
        <w:t>from Socialization to Self</w:t>
      </w:r>
      <w:r w:rsidRPr="00FE3F56">
        <w:rPr>
          <w:rFonts w:cs="Times New Roman"/>
          <w:color w:val="000000" w:themeColor="text1"/>
          <w:szCs w:val="24"/>
          <w:lang w:val="en-GB"/>
        </w:rPr>
        <w:noBreakHyphen/>
        <w:t xml:space="preserve">Socialization. In J.E. Grusec &amp; P.D. Hastings (eds.) </w:t>
      </w:r>
      <w:r w:rsidRPr="00FE3F56">
        <w:rPr>
          <w:rFonts w:cs="Times New Roman"/>
          <w:i/>
          <w:iCs/>
          <w:color w:val="000000" w:themeColor="text1"/>
          <w:szCs w:val="24"/>
          <w:lang w:val="en-GB"/>
        </w:rPr>
        <w:t xml:space="preserve">Handbook of Socialization: Theory and Research (2nd edition). </w:t>
      </w:r>
      <w:r w:rsidRPr="00FE3F56">
        <w:rPr>
          <w:rFonts w:cs="Times New Roman"/>
          <w:color w:val="000000" w:themeColor="text1"/>
          <w:szCs w:val="24"/>
          <w:lang w:val="en-GB"/>
        </w:rPr>
        <w:t>The Guilford Press.</w:t>
      </w:r>
    </w:p>
    <w:p w14:paraId="09430696"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Kuczynski, L., Marshall, S., &amp; Schell, K. (1997). Value socialisation in a bidirectional context. In J. E. Grusec &amp; L. Kuczynski (Eds.), </w:t>
      </w:r>
      <w:r w:rsidRPr="00FE3F56">
        <w:rPr>
          <w:rFonts w:cs="Times New Roman"/>
          <w:i/>
          <w:iCs/>
          <w:color w:val="000000" w:themeColor="text1"/>
          <w:szCs w:val="24"/>
          <w:lang w:val="en-GB"/>
        </w:rPr>
        <w:t xml:space="preserve">Parenting and children’s internalisation of values: A handbook of contemporary theory </w:t>
      </w:r>
      <w:r w:rsidRPr="00FE3F56">
        <w:rPr>
          <w:rFonts w:cs="Times New Roman"/>
          <w:color w:val="000000" w:themeColor="text1"/>
          <w:szCs w:val="24"/>
          <w:lang w:val="en-GB"/>
        </w:rPr>
        <w:t>(pp. 23–50). John Wiley &amp; Sons Inc.</w:t>
      </w:r>
    </w:p>
    <w:p w14:paraId="09430697"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Laible, D., Thompson, R.A. &amp; Froimson, J. (2015). Early socialization: The influence of close relationships. In J.E. Grusec &amp; P.D. Hastings (eds.) </w:t>
      </w:r>
      <w:r w:rsidRPr="00FE3F56">
        <w:rPr>
          <w:rFonts w:cs="Times New Roman"/>
          <w:i/>
          <w:iCs/>
          <w:color w:val="000000" w:themeColor="text1"/>
          <w:szCs w:val="24"/>
          <w:lang w:val="en-GB"/>
        </w:rPr>
        <w:t>Handbook of Socialization: Theory and Research</w:t>
      </w:r>
      <w:r w:rsidRPr="00FE3F56">
        <w:rPr>
          <w:rFonts w:cs="Times New Roman"/>
          <w:color w:val="000000" w:themeColor="text1"/>
          <w:szCs w:val="24"/>
          <w:lang w:val="en-GB"/>
        </w:rPr>
        <w:t xml:space="preserve"> (2</w:t>
      </w:r>
      <w:r w:rsidRPr="00FE3F56">
        <w:rPr>
          <w:rFonts w:cs="Times New Roman"/>
          <w:color w:val="000000" w:themeColor="text1"/>
          <w:szCs w:val="24"/>
          <w:vertAlign w:val="superscript"/>
          <w:lang w:val="en-GB"/>
        </w:rPr>
        <w:t>nd</w:t>
      </w:r>
      <w:r w:rsidRPr="00FE3F56">
        <w:rPr>
          <w:rFonts w:cs="Times New Roman"/>
          <w:color w:val="000000" w:themeColor="text1"/>
          <w:szCs w:val="24"/>
          <w:lang w:val="en-GB"/>
        </w:rPr>
        <w:t xml:space="preserve"> edition). The Guilford Press.</w:t>
      </w:r>
    </w:p>
    <w:p w14:paraId="09430698"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Lee, L., Piliavin, J. A., &amp; Call V. R. A.. (1999). Giving Time, Money, and Blood: Similarities and Differences. </w:t>
      </w:r>
      <w:r w:rsidRPr="00FE3F56">
        <w:rPr>
          <w:rFonts w:cs="Times New Roman"/>
          <w:i/>
          <w:iCs/>
          <w:color w:val="000000" w:themeColor="text1"/>
          <w:szCs w:val="24"/>
          <w:lang w:val="en-GB"/>
        </w:rPr>
        <w:t>Social Psychology Quarterly, 62</w:t>
      </w:r>
      <w:r w:rsidRPr="00FE3F56">
        <w:rPr>
          <w:rFonts w:cs="Times New Roman"/>
          <w:color w:val="000000" w:themeColor="text1"/>
          <w:szCs w:val="24"/>
          <w:lang w:val="en-GB"/>
        </w:rPr>
        <w:t>(3), 276–290. https://doi.org/10.2307/2695864</w:t>
      </w:r>
    </w:p>
    <w:p w14:paraId="09430699" w14:textId="011ABDA0"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Luong, G., Rauers, A. &amp; Fingerman, K.L. (2015). The Multifaceted Nature of Late-Life Socialization:</w:t>
      </w:r>
      <w:r w:rsidR="001E612C" w:rsidRPr="00FE3F56">
        <w:rPr>
          <w:rFonts w:cs="Times New Roman"/>
          <w:color w:val="000000" w:themeColor="text1"/>
          <w:szCs w:val="24"/>
          <w:lang w:val="en-GB"/>
        </w:rPr>
        <w:t xml:space="preserve"> </w:t>
      </w:r>
      <w:r w:rsidRPr="00FE3F56">
        <w:rPr>
          <w:rFonts w:cs="Times New Roman"/>
          <w:color w:val="000000" w:themeColor="text1"/>
          <w:szCs w:val="24"/>
          <w:lang w:val="en-GB"/>
        </w:rPr>
        <w:t xml:space="preserve">Older Adults as Agents and Targets of Socialization. In J.E. Grusec &amp; P.D. Hastings (eds.) </w:t>
      </w:r>
      <w:r w:rsidRPr="00FE3F56">
        <w:rPr>
          <w:rFonts w:cs="Times New Roman"/>
          <w:i/>
          <w:iCs/>
          <w:color w:val="000000" w:themeColor="text1"/>
          <w:szCs w:val="24"/>
          <w:lang w:val="en-GB"/>
        </w:rPr>
        <w:t xml:space="preserve">Handbook of Socialization: Theory and Research </w:t>
      </w:r>
      <w:r w:rsidRPr="00FE3F56">
        <w:rPr>
          <w:rFonts w:cs="Times New Roman"/>
          <w:color w:val="000000" w:themeColor="text1"/>
          <w:szCs w:val="24"/>
          <w:lang w:val="en-GB"/>
        </w:rPr>
        <w:t>(2nd edition). The Guilford Press.</w:t>
      </w:r>
    </w:p>
    <w:p w14:paraId="0943069A"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Maccoby, E.E. (2015). Historical Overview of Socialization Research and Theory. In J.E. Grusec &amp; P.D. Hastings (eds</w:t>
      </w:r>
      <w:r w:rsidRPr="00FE3F56">
        <w:rPr>
          <w:rFonts w:cs="Times New Roman"/>
          <w:i/>
          <w:iCs/>
          <w:color w:val="000000" w:themeColor="text1"/>
          <w:szCs w:val="24"/>
          <w:lang w:val="en-GB"/>
        </w:rPr>
        <w:t>.) Handbook of Socialization: Theory and Research</w:t>
      </w:r>
      <w:r w:rsidRPr="00FE3F56">
        <w:rPr>
          <w:rFonts w:cs="Times New Roman"/>
          <w:color w:val="000000" w:themeColor="text1"/>
          <w:szCs w:val="24"/>
          <w:lang w:val="en-GB"/>
        </w:rPr>
        <w:t xml:space="preserve"> (2</w:t>
      </w:r>
      <w:r w:rsidRPr="00FE3F56">
        <w:rPr>
          <w:rFonts w:cs="Times New Roman"/>
          <w:color w:val="000000" w:themeColor="text1"/>
          <w:szCs w:val="24"/>
          <w:vertAlign w:val="superscript"/>
          <w:lang w:val="en-GB"/>
        </w:rPr>
        <w:t>nd</w:t>
      </w:r>
      <w:r w:rsidRPr="00FE3F56">
        <w:rPr>
          <w:rFonts w:cs="Times New Roman"/>
          <w:color w:val="000000" w:themeColor="text1"/>
          <w:szCs w:val="24"/>
          <w:lang w:val="en-GB"/>
        </w:rPr>
        <w:t xml:space="preserve"> edition). The Guilford Press.</w:t>
      </w:r>
    </w:p>
    <w:p w14:paraId="0943069B"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lastRenderedPageBreak/>
        <w:t>McCombie, R. P. (1991). Blood donation patterns of undergraduate students: Family and friendship correlates</w:t>
      </w:r>
      <w:r w:rsidRPr="00FE3F56">
        <w:rPr>
          <w:rFonts w:cs="Times New Roman"/>
          <w:i/>
          <w:iCs/>
          <w:color w:val="000000" w:themeColor="text1"/>
          <w:szCs w:val="24"/>
          <w:lang w:val="en-GB"/>
        </w:rPr>
        <w:t>. Journal of Community Psychology, 19</w:t>
      </w:r>
      <w:r w:rsidRPr="00FE3F56">
        <w:rPr>
          <w:rFonts w:cs="Times New Roman"/>
          <w:color w:val="000000" w:themeColor="text1"/>
          <w:szCs w:val="24"/>
          <w:lang w:val="en-GB"/>
        </w:rPr>
        <w:t>(2), 161–165. https://doi.org/10.1002/1520-6629(199104)19:2&lt;161::AID-JCOP2290190207&gt;3.0.CO;2-C</w:t>
      </w:r>
    </w:p>
    <w:p w14:paraId="0943069C"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Miller, S. D. &amp; Sears, D. O. (1986). Stability and Change in Social Tolerance: A Test of the Persistence Hypothesis. </w:t>
      </w:r>
      <w:r w:rsidRPr="00FE3F56">
        <w:rPr>
          <w:rFonts w:cs="Times New Roman"/>
          <w:i/>
          <w:iCs/>
          <w:color w:val="000000" w:themeColor="text1"/>
          <w:szCs w:val="24"/>
          <w:lang w:val="en-GB"/>
        </w:rPr>
        <w:t>American Journal of Political Science</w:t>
      </w:r>
      <w:r w:rsidRPr="00FE3F56">
        <w:rPr>
          <w:rFonts w:cs="Times New Roman"/>
          <w:color w:val="000000" w:themeColor="text1"/>
          <w:szCs w:val="24"/>
          <w:lang w:val="en-GB"/>
        </w:rPr>
        <w:t xml:space="preserve">, </w:t>
      </w:r>
      <w:r w:rsidRPr="00FE3F56">
        <w:rPr>
          <w:rFonts w:cs="Times New Roman"/>
          <w:i/>
          <w:iCs/>
          <w:color w:val="000000" w:themeColor="text1"/>
          <w:szCs w:val="24"/>
          <w:lang w:val="en-GB"/>
        </w:rPr>
        <w:t>30</w:t>
      </w:r>
      <w:r w:rsidRPr="00FE3F56">
        <w:rPr>
          <w:rFonts w:cs="Times New Roman"/>
          <w:color w:val="000000" w:themeColor="text1"/>
          <w:szCs w:val="24"/>
          <w:lang w:val="en-GB"/>
        </w:rPr>
        <w:t xml:space="preserve"> (1), 214-236. https://doi.org/10.2307/2111302</w:t>
      </w:r>
    </w:p>
    <w:p w14:paraId="0943069D"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Mustillo, S., Wilson, J., &amp; Lynch, S. M. (2004). Legacy Volunteering: A Test of Two Theories of Intergenerational Transmission. </w:t>
      </w:r>
      <w:r w:rsidRPr="00FE3F56">
        <w:rPr>
          <w:rFonts w:cs="Times New Roman"/>
          <w:i/>
          <w:iCs/>
          <w:color w:val="000000" w:themeColor="text1"/>
          <w:szCs w:val="24"/>
          <w:lang w:val="en-GB"/>
        </w:rPr>
        <w:t>Journal of Marriage and Family</w:t>
      </w:r>
      <w:r w:rsidRPr="00FE3F56">
        <w:rPr>
          <w:rFonts w:cs="Times New Roman"/>
          <w:color w:val="000000" w:themeColor="text1"/>
          <w:szCs w:val="24"/>
          <w:lang w:val="en-GB"/>
        </w:rPr>
        <w:t xml:space="preserve">, </w:t>
      </w:r>
      <w:r w:rsidRPr="00FE3F56">
        <w:rPr>
          <w:rFonts w:cs="Times New Roman"/>
          <w:i/>
          <w:iCs/>
          <w:color w:val="000000" w:themeColor="text1"/>
          <w:szCs w:val="24"/>
          <w:lang w:val="en-GB"/>
        </w:rPr>
        <w:t>66</w:t>
      </w:r>
      <w:r w:rsidRPr="00FE3F56">
        <w:rPr>
          <w:rFonts w:cs="Times New Roman"/>
          <w:color w:val="000000" w:themeColor="text1"/>
          <w:szCs w:val="24"/>
          <w:lang w:val="en-GB"/>
        </w:rPr>
        <w:t>(2), 530–541. http://www.jstor.org/stable/3599853</w:t>
      </w:r>
    </w:p>
    <w:p w14:paraId="0943069E"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Padilla-Walker L.M. (2014). Parental socialization of prosocial behaviour: A multidimensional approach. In L.M. Padilla-Walker &amp; G. Carlo (eds.). </w:t>
      </w:r>
      <w:r w:rsidRPr="00FE3F56">
        <w:rPr>
          <w:rFonts w:cs="Times New Roman"/>
          <w:i/>
          <w:iCs/>
          <w:color w:val="000000" w:themeColor="text1"/>
          <w:szCs w:val="24"/>
          <w:lang w:val="en-GB"/>
        </w:rPr>
        <w:t>Prosocial development: A multidimensional approach</w:t>
      </w:r>
      <w:r w:rsidRPr="00FE3F56">
        <w:rPr>
          <w:rFonts w:cs="Times New Roman"/>
          <w:color w:val="000000" w:themeColor="text1"/>
          <w:szCs w:val="24"/>
          <w:lang w:val="en-GB"/>
        </w:rPr>
        <w:t>. Oxford University Press. 10.1093/acprof:oso/9780199964772.003.0007</w:t>
      </w:r>
    </w:p>
    <w:p w14:paraId="0943069F" w14:textId="77777777" w:rsidR="00901C90" w:rsidRPr="00FE3F56" w:rsidRDefault="00A34875">
      <w:pPr>
        <w:jc w:val="left"/>
        <w:rPr>
          <w:rFonts w:eastAsia="Times New Roman" w:cs="Times New Roman"/>
          <w:color w:val="000000" w:themeColor="text1"/>
          <w:szCs w:val="24"/>
          <w:lang w:val="en-GB"/>
        </w:rPr>
      </w:pPr>
      <w:r w:rsidRPr="00FE3F56">
        <w:rPr>
          <w:rFonts w:eastAsia="Times New Roman" w:cs="Times New Roman"/>
          <w:color w:val="000000" w:themeColor="text1"/>
          <w:szCs w:val="24"/>
          <w:lang w:val="en-GB"/>
        </w:rPr>
        <w:t xml:space="preserve">Parke, R. D., &amp; Buriel, R. (2006). Socialization in the family: Ethnic and ecological perspectives. </w:t>
      </w:r>
      <w:r w:rsidRPr="00FE3F56">
        <w:rPr>
          <w:rFonts w:eastAsia="Times New Roman" w:cs="Times New Roman"/>
          <w:color w:val="000000" w:themeColor="text1"/>
          <w:szCs w:val="24"/>
        </w:rPr>
        <w:t xml:space="preserve">In N. Eisenberg, W. Damon, &amp; R. M. Lerner (Eds.), </w:t>
      </w:r>
      <w:r w:rsidRPr="00FE3F56">
        <w:rPr>
          <w:rFonts w:eastAsia="Times New Roman" w:cs="Times New Roman"/>
          <w:i/>
          <w:iCs/>
          <w:color w:val="000000" w:themeColor="text1"/>
          <w:szCs w:val="24"/>
        </w:rPr>
        <w:t xml:space="preserve">Handbook of child psychology: Vol. 3. </w:t>
      </w:r>
      <w:r w:rsidRPr="00FE3F56">
        <w:rPr>
          <w:rFonts w:eastAsia="Times New Roman" w:cs="Times New Roman"/>
          <w:i/>
          <w:iCs/>
          <w:color w:val="000000" w:themeColor="text1"/>
          <w:szCs w:val="24"/>
          <w:lang w:val="en-GB"/>
        </w:rPr>
        <w:t xml:space="preserve">Social, emotional, and personality development </w:t>
      </w:r>
      <w:r w:rsidRPr="00FE3F56">
        <w:rPr>
          <w:rFonts w:eastAsia="Times New Roman" w:cs="Times New Roman"/>
          <w:color w:val="000000" w:themeColor="text1"/>
          <w:szCs w:val="24"/>
          <w:lang w:val="en-GB"/>
        </w:rPr>
        <w:t>(</w:t>
      </w:r>
      <w:r w:rsidRPr="00FE3F56">
        <w:rPr>
          <w:rFonts w:eastAsia="Times New Roman" w:cs="Times New Roman"/>
          <w:i/>
          <w:iCs/>
          <w:color w:val="000000" w:themeColor="text1"/>
          <w:szCs w:val="24"/>
          <w:lang w:val="en-GB"/>
        </w:rPr>
        <w:t>6th ed</w:t>
      </w:r>
      <w:r w:rsidRPr="00FE3F56">
        <w:rPr>
          <w:rFonts w:eastAsia="Times New Roman" w:cs="Times New Roman"/>
          <w:color w:val="000000" w:themeColor="text1"/>
          <w:szCs w:val="24"/>
          <w:lang w:val="en-GB"/>
        </w:rPr>
        <w:t>., pp. 429-504). John Wiley &amp; Sons.</w:t>
      </w:r>
    </w:p>
    <w:p w14:paraId="094306A0" w14:textId="77777777" w:rsidR="00901C90" w:rsidRPr="00FE3F56" w:rsidRDefault="00A34875">
      <w:pPr>
        <w:jc w:val="left"/>
        <w:rPr>
          <w:rFonts w:cs="Times New Roman"/>
          <w:color w:val="000000" w:themeColor="text1"/>
          <w:szCs w:val="24"/>
        </w:rPr>
      </w:pPr>
      <w:r w:rsidRPr="00FE3F56">
        <w:rPr>
          <w:rFonts w:cs="Times New Roman"/>
          <w:color w:val="000000" w:themeColor="text1"/>
          <w:szCs w:val="24"/>
        </w:rPr>
        <w:t xml:space="preserve">Pedersen, O. B., Axel, S., Rostgaard, K., Erikstrup, C., Edgren, G., Nielsen, K. R., Ullum, H., Kyvik, K. O., &amp; Hjalgrim, H. (2015). </w:t>
      </w:r>
      <w:r w:rsidRPr="00FE3F56">
        <w:rPr>
          <w:rFonts w:cs="Times New Roman"/>
          <w:color w:val="000000" w:themeColor="text1"/>
          <w:szCs w:val="24"/>
          <w:lang w:val="en-GB"/>
        </w:rPr>
        <w:t xml:space="preserve">The heritability of blood donation: a population-based nationwide twin study. </w:t>
      </w:r>
      <w:r w:rsidRPr="00FE3F56">
        <w:rPr>
          <w:rFonts w:cs="Times New Roman"/>
          <w:i/>
          <w:iCs/>
          <w:color w:val="000000" w:themeColor="text1"/>
          <w:szCs w:val="24"/>
        </w:rPr>
        <w:t>Transfusion, 55</w:t>
      </w:r>
      <w:r w:rsidRPr="00FE3F56">
        <w:rPr>
          <w:rFonts w:cs="Times New Roman"/>
          <w:color w:val="000000" w:themeColor="text1"/>
          <w:szCs w:val="24"/>
        </w:rPr>
        <w:t>(9), 2169–2168. https://doi.org/10.1111/trf.13086</w:t>
      </w:r>
    </w:p>
    <w:p w14:paraId="094306A1" w14:textId="79E94F68" w:rsidR="00901C90" w:rsidRPr="00FE3F56" w:rsidRDefault="00A34875">
      <w:pPr>
        <w:jc w:val="left"/>
        <w:rPr>
          <w:rFonts w:cs="Times New Roman"/>
          <w:color w:val="000000" w:themeColor="text1"/>
          <w:szCs w:val="24"/>
        </w:rPr>
      </w:pPr>
      <w:r w:rsidRPr="00FE3F56">
        <w:rPr>
          <w:rFonts w:cs="Times New Roman"/>
          <w:color w:val="000000" w:themeColor="text1"/>
          <w:szCs w:val="24"/>
        </w:rPr>
        <w:t xml:space="preserve">Piersma T.W., Bekkers, R., Klinkenberg E.F., De Kort W.L.A.M., Merz E.-M. (2017). </w:t>
      </w:r>
      <w:r w:rsidRPr="00FE3F56">
        <w:rPr>
          <w:rFonts w:cs="Times New Roman"/>
          <w:color w:val="000000" w:themeColor="text1"/>
          <w:szCs w:val="24"/>
          <w:lang w:val="en-GB"/>
        </w:rPr>
        <w:t xml:space="preserve">Individual, contextual and network characteristics of blood donors and non-donors: A systematic review of recent literature. </w:t>
      </w:r>
      <w:r w:rsidRPr="00FE3F56">
        <w:rPr>
          <w:rFonts w:cs="Times New Roman"/>
          <w:i/>
          <w:iCs/>
          <w:color w:val="000000" w:themeColor="text1"/>
          <w:szCs w:val="24"/>
        </w:rPr>
        <w:t>Blood Transfusion, 15</w:t>
      </w:r>
      <w:r w:rsidR="001E612C" w:rsidRPr="00FE3F56">
        <w:rPr>
          <w:rFonts w:cs="Times New Roman"/>
          <w:color w:val="000000" w:themeColor="text1"/>
          <w:szCs w:val="24"/>
        </w:rPr>
        <w:t xml:space="preserve"> </w:t>
      </w:r>
      <w:r w:rsidRPr="00FE3F56">
        <w:rPr>
          <w:rFonts w:cs="Times New Roman"/>
          <w:color w:val="000000" w:themeColor="text1"/>
          <w:szCs w:val="24"/>
        </w:rPr>
        <w:t>(5). 382-397.10.2450/2017.0064-17</w:t>
      </w:r>
    </w:p>
    <w:p w14:paraId="094306A2"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rPr>
        <w:lastRenderedPageBreak/>
        <w:t xml:space="preserve">Piersma, T. W., Bekkers, R., de Kort, W., &amp; Merz, E. M. (2021). </w:t>
      </w:r>
      <w:r w:rsidRPr="00FE3F56">
        <w:rPr>
          <w:rFonts w:cs="Times New Roman"/>
          <w:color w:val="000000" w:themeColor="text1"/>
          <w:szCs w:val="24"/>
          <w:lang w:val="en-GB"/>
        </w:rPr>
        <w:t xml:space="preserve">Altruism in blood donation: Out of sight out of mind? Closing donation centers influences blood donor lapse. </w:t>
      </w:r>
      <w:r w:rsidRPr="00FE3F56">
        <w:rPr>
          <w:rFonts w:cs="Times New Roman"/>
          <w:i/>
          <w:iCs/>
          <w:color w:val="000000" w:themeColor="text1"/>
          <w:szCs w:val="24"/>
          <w:lang w:val="en-GB"/>
        </w:rPr>
        <w:t>Health &amp; place, 67,</w:t>
      </w:r>
      <w:r w:rsidRPr="00FE3F56">
        <w:rPr>
          <w:rFonts w:cs="Times New Roman"/>
          <w:color w:val="000000" w:themeColor="text1"/>
          <w:szCs w:val="24"/>
          <w:lang w:val="en-GB"/>
        </w:rPr>
        <w:t xml:space="preserve"> 102495. https://doi.org/10.1016/j.healthplace.2020.102495</w:t>
      </w:r>
    </w:p>
    <w:p w14:paraId="094306A3"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rPr>
        <w:t xml:space="preserve">Piersma, T. W., Bekkers, R., de Kort, W., &amp; Merz, E.-M. (2019). </w:t>
      </w:r>
      <w:r w:rsidRPr="00FE3F56">
        <w:rPr>
          <w:rFonts w:cs="Times New Roman"/>
          <w:color w:val="000000" w:themeColor="text1"/>
          <w:szCs w:val="24"/>
          <w:lang w:val="en-GB"/>
        </w:rPr>
        <w:t>Blood Donation across the Life Course: The Influence of Life Events on Donor Lapse. Journal of Health and Social Behavior, 60(2), 257–272. https://doi.org/10.1177/0022146519849893</w:t>
      </w:r>
    </w:p>
    <w:p w14:paraId="094306A4"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Piliavin, J. A., &amp; Callero, P. L. (1991). </w:t>
      </w:r>
      <w:r w:rsidRPr="00FE3F56">
        <w:rPr>
          <w:rFonts w:cs="Times New Roman"/>
          <w:i/>
          <w:iCs/>
          <w:color w:val="000000" w:themeColor="text1"/>
          <w:szCs w:val="24"/>
          <w:lang w:val="en-GB"/>
        </w:rPr>
        <w:t>Giving blood: The development of an altruistic identity</w:t>
      </w:r>
      <w:r w:rsidRPr="00FE3F56">
        <w:rPr>
          <w:rFonts w:cs="Times New Roman"/>
          <w:color w:val="000000" w:themeColor="text1"/>
          <w:szCs w:val="24"/>
          <w:lang w:val="en-GB"/>
        </w:rPr>
        <w:t>. Johns Hopkins University Press.</w:t>
      </w:r>
    </w:p>
    <w:p w14:paraId="094306A5" w14:textId="0698300A"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Pratt, M.W. &amp; Hardy, S.A. (2015)</w:t>
      </w:r>
      <w:r w:rsidR="001E612C" w:rsidRPr="00FE3F56">
        <w:rPr>
          <w:rFonts w:cs="Times New Roman"/>
          <w:color w:val="000000" w:themeColor="text1"/>
          <w:szCs w:val="24"/>
          <w:lang w:val="en-GB"/>
        </w:rPr>
        <w:t xml:space="preserve"> </w:t>
      </w:r>
      <w:r w:rsidRPr="00FE3F56">
        <w:rPr>
          <w:rFonts w:cs="Times New Roman"/>
          <w:color w:val="000000" w:themeColor="text1"/>
          <w:szCs w:val="24"/>
          <w:lang w:val="en-GB"/>
        </w:rPr>
        <w:t xml:space="preserve">Cultivating the moral personality: Socialization in the Family and beyond. In J.E. Grusec &amp; P.D. Hastings (eds.) </w:t>
      </w:r>
      <w:r w:rsidRPr="00FE3F56">
        <w:rPr>
          <w:rFonts w:cs="Times New Roman"/>
          <w:i/>
          <w:iCs/>
          <w:color w:val="000000" w:themeColor="text1"/>
          <w:szCs w:val="24"/>
          <w:lang w:val="en-GB"/>
        </w:rPr>
        <w:t xml:space="preserve">Handbook of Socialization: Theory and Research (2nd edition). </w:t>
      </w:r>
      <w:r w:rsidRPr="00FE3F56">
        <w:rPr>
          <w:rFonts w:cs="Times New Roman"/>
          <w:color w:val="000000" w:themeColor="text1"/>
          <w:szCs w:val="24"/>
          <w:lang w:val="en-GB"/>
        </w:rPr>
        <w:t>The Guilford Press.</w:t>
      </w:r>
    </w:p>
    <w:p w14:paraId="094306A6"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Quéniart A. (2013). Blood donation within the family: the transmission of values and practices. </w:t>
      </w:r>
      <w:r w:rsidRPr="00FE3F56">
        <w:rPr>
          <w:rFonts w:cs="Times New Roman"/>
          <w:i/>
          <w:iCs/>
          <w:color w:val="000000" w:themeColor="text1"/>
          <w:szCs w:val="24"/>
          <w:lang w:val="en-GB"/>
        </w:rPr>
        <w:t>Transfusion, 53</w:t>
      </w:r>
      <w:r w:rsidRPr="00FE3F56">
        <w:rPr>
          <w:rFonts w:cs="Times New Roman"/>
          <w:color w:val="000000" w:themeColor="text1"/>
          <w:szCs w:val="24"/>
          <w:lang w:val="en-GB"/>
        </w:rPr>
        <w:t xml:space="preserve"> Suppl 5, 151S–6S. https://doi.org/10.1111/trf.12474</w:t>
      </w:r>
    </w:p>
    <w:p w14:paraId="094306A7" w14:textId="77777777" w:rsidR="00901C90" w:rsidRPr="00FE3F56" w:rsidRDefault="00A34875">
      <w:pPr>
        <w:jc w:val="left"/>
        <w:rPr>
          <w:rFonts w:eastAsia="Times New Roman" w:cs="Times New Roman"/>
          <w:color w:val="000000" w:themeColor="text1"/>
          <w:szCs w:val="24"/>
          <w:lang w:val="en-GB"/>
        </w:rPr>
      </w:pPr>
      <w:r w:rsidRPr="00FE3F56">
        <w:rPr>
          <w:rFonts w:eastAsia="Times New Roman" w:cs="Times New Roman"/>
          <w:color w:val="000000" w:themeColor="text1"/>
          <w:szCs w:val="24"/>
          <w:lang w:val="en-GB"/>
        </w:rPr>
        <w:t>Rushton, J. P. (1975). Generosity in children: Immediate and long-term effects of modeling, preaching, and moral judgment</w:t>
      </w:r>
      <w:r w:rsidRPr="00FE3F56">
        <w:rPr>
          <w:rFonts w:eastAsia="Times New Roman" w:cs="Times New Roman"/>
          <w:i/>
          <w:iCs/>
          <w:color w:val="000000" w:themeColor="text1"/>
          <w:szCs w:val="24"/>
          <w:lang w:val="en-GB"/>
        </w:rPr>
        <w:t>. Journal of Personality and Social Psychology, 31</w:t>
      </w:r>
      <w:r w:rsidRPr="00FE3F56">
        <w:rPr>
          <w:rFonts w:eastAsia="Times New Roman" w:cs="Times New Roman"/>
          <w:color w:val="000000" w:themeColor="text1"/>
          <w:szCs w:val="24"/>
          <w:lang w:val="en-GB"/>
        </w:rPr>
        <w:t>(3), 459–466. https://doi.org/10.1037/h0076466</w:t>
      </w:r>
    </w:p>
    <w:p w14:paraId="094306A8"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Schröder, J.M., Merz, E.M., Suanet, B. &amp; Wiepking, P. (2021, July 9</w:t>
      </w:r>
      <w:r w:rsidRPr="00FE3F56">
        <w:rPr>
          <w:rFonts w:cs="Times New Roman"/>
          <w:i/>
          <w:iCs/>
          <w:color w:val="000000" w:themeColor="text1"/>
          <w:szCs w:val="24"/>
          <w:lang w:val="en-GB"/>
        </w:rPr>
        <w:t>). The Social Contagion of Blood Donations: Sustaining Repeated Prosocial Behaviour</w:t>
      </w:r>
      <w:r w:rsidRPr="00FE3F56">
        <w:rPr>
          <w:rFonts w:cs="Times New Roman"/>
          <w:color w:val="000000" w:themeColor="text1"/>
          <w:szCs w:val="24"/>
          <w:lang w:val="en-GB"/>
        </w:rPr>
        <w:t xml:space="preserve"> [Unpublished manuscript].https://doi.org/10.31235/osf.io/kjcwh</w:t>
      </w:r>
    </w:p>
    <w:p w14:paraId="094306A9"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Simmons, J. P., Nelson, L. D., &amp; Simonson, U. (2011). False-Positive Psychology: Undisclosed Flexibility in Data Collection and Analysis Allows Presenting Anything as Significant. </w:t>
      </w:r>
      <w:r w:rsidRPr="00FE3F56">
        <w:rPr>
          <w:rFonts w:cs="Times New Roman"/>
          <w:i/>
          <w:iCs/>
          <w:color w:val="000000" w:themeColor="text1"/>
          <w:szCs w:val="24"/>
          <w:lang w:val="en-GB"/>
        </w:rPr>
        <w:t>Psychological Science</w:t>
      </w:r>
      <w:r w:rsidRPr="00FE3F56">
        <w:rPr>
          <w:rFonts w:cs="Times New Roman"/>
          <w:color w:val="000000" w:themeColor="text1"/>
          <w:szCs w:val="24"/>
          <w:lang w:val="en-GB"/>
        </w:rPr>
        <w:t>,</w:t>
      </w:r>
      <w:r w:rsidRPr="00FE3F56">
        <w:rPr>
          <w:rFonts w:cs="Times New Roman"/>
          <w:i/>
          <w:iCs/>
          <w:color w:val="000000" w:themeColor="text1"/>
          <w:szCs w:val="24"/>
          <w:lang w:val="en-GB"/>
        </w:rPr>
        <w:t xml:space="preserve"> 22</w:t>
      </w:r>
      <w:r w:rsidRPr="00FE3F56">
        <w:rPr>
          <w:rFonts w:cs="Times New Roman"/>
          <w:color w:val="000000" w:themeColor="text1"/>
          <w:szCs w:val="24"/>
          <w:lang w:val="en-GB"/>
        </w:rPr>
        <w:t>(11), 1359–1366. https://doi.org/10.1177/0956797611417632</w:t>
      </w:r>
    </w:p>
    <w:p w14:paraId="094306AA"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lastRenderedPageBreak/>
        <w:t xml:space="preserve">Smetana, J.G., Robinson, J. &amp; Rote, W.M. (2015). Socialization in Adolescence. In J.E. Grusec &amp; P.D. Hastings (eds.) </w:t>
      </w:r>
      <w:r w:rsidRPr="00FE3F56">
        <w:rPr>
          <w:rFonts w:cs="Times New Roman"/>
          <w:i/>
          <w:iCs/>
          <w:color w:val="000000" w:themeColor="text1"/>
          <w:szCs w:val="24"/>
          <w:lang w:val="en-GB"/>
        </w:rPr>
        <w:t>Handbook of Socialization: Theory and Research (2nd edition).</w:t>
      </w:r>
      <w:r w:rsidRPr="00FE3F56">
        <w:rPr>
          <w:rFonts w:cs="Times New Roman"/>
          <w:color w:val="000000" w:themeColor="text1"/>
          <w:szCs w:val="24"/>
          <w:lang w:val="en-GB"/>
        </w:rPr>
        <w:t xml:space="preserve"> The Guilford Press.</w:t>
      </w:r>
    </w:p>
    <w:p w14:paraId="094306AB" w14:textId="77777777" w:rsidR="00901C90" w:rsidRPr="00FE3F56" w:rsidRDefault="00A34875">
      <w:pPr>
        <w:jc w:val="left"/>
        <w:rPr>
          <w:rFonts w:cs="Times New Roman"/>
          <w:color w:val="000000" w:themeColor="text1"/>
          <w:szCs w:val="24"/>
        </w:rPr>
      </w:pPr>
      <w:r w:rsidRPr="00FE3F56">
        <w:rPr>
          <w:rFonts w:cs="Times New Roman"/>
          <w:color w:val="000000" w:themeColor="text1"/>
          <w:szCs w:val="24"/>
          <w:lang w:val="en-GB"/>
        </w:rPr>
        <w:t xml:space="preserve">Thijsen, A., Masser, B., Gemelli, C.N. &amp; Davison, T.E. (2019), Trends in return behavior after an adverse event in Australian whole blood and plasma donors. </w:t>
      </w:r>
      <w:r w:rsidRPr="00FE3F56">
        <w:rPr>
          <w:rFonts w:cs="Times New Roman"/>
          <w:i/>
          <w:iCs/>
          <w:color w:val="000000" w:themeColor="text1"/>
          <w:szCs w:val="24"/>
        </w:rPr>
        <w:t>Transfusion</w:t>
      </w:r>
      <w:r w:rsidRPr="00FE3F56">
        <w:rPr>
          <w:rFonts w:cs="Times New Roman"/>
          <w:color w:val="000000" w:themeColor="text1"/>
          <w:szCs w:val="24"/>
        </w:rPr>
        <w:t>, 59: 3157-3163. https://doi.org/10.1111/trf.15475</w:t>
      </w:r>
    </w:p>
    <w:p w14:paraId="094306AC"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rPr>
        <w:t xml:space="preserve">Timmer, T. C., de Groot, R., Habets, K., Merz, E.-M., Prinsze, F. J., Atsma, F., … van den Hurk, K. (2019). </w:t>
      </w:r>
      <w:r w:rsidRPr="00FE3F56">
        <w:rPr>
          <w:rFonts w:cs="Times New Roman"/>
          <w:color w:val="000000" w:themeColor="text1"/>
          <w:szCs w:val="24"/>
          <w:lang w:val="en-GB"/>
        </w:rPr>
        <w:t>Donor InSight: characteristics and representativeness of a Dutch cohort study on blood and plasma donors. </w:t>
      </w:r>
      <w:r w:rsidRPr="00FE3F56">
        <w:rPr>
          <w:rFonts w:cs="Times New Roman"/>
          <w:i/>
          <w:iCs/>
          <w:color w:val="000000" w:themeColor="text1"/>
          <w:szCs w:val="24"/>
          <w:lang w:val="en-GB"/>
        </w:rPr>
        <w:t>Vox Sanguinis</w:t>
      </w:r>
      <w:r w:rsidRPr="00FE3F56">
        <w:rPr>
          <w:rFonts w:cs="Times New Roman"/>
          <w:color w:val="000000" w:themeColor="text1"/>
          <w:szCs w:val="24"/>
          <w:lang w:val="en-GB"/>
        </w:rPr>
        <w:t>, 114(2), 117–128. 10.1111/vox.12731</w:t>
      </w:r>
    </w:p>
    <w:p w14:paraId="094306AD"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Tsai, K. M., Telzer, E. H., &amp; Fuligni, A. J. (2013). Continuity and discontinuity in perceptions of family relationships from adolescence to young adulthood</w:t>
      </w:r>
      <w:r w:rsidRPr="00FE3F56">
        <w:rPr>
          <w:rFonts w:cs="Times New Roman"/>
          <w:i/>
          <w:iCs/>
          <w:color w:val="000000" w:themeColor="text1"/>
          <w:szCs w:val="24"/>
          <w:lang w:val="en-GB"/>
        </w:rPr>
        <w:t>. Child development, 84</w:t>
      </w:r>
      <w:r w:rsidRPr="00FE3F56">
        <w:rPr>
          <w:rFonts w:cs="Times New Roman"/>
          <w:color w:val="000000" w:themeColor="text1"/>
          <w:szCs w:val="24"/>
          <w:lang w:val="en-GB"/>
        </w:rPr>
        <w:t>(2), 471–484. https://doi.org/10.1111/j.1467-8624.2012.01858.x</w:t>
      </w:r>
    </w:p>
    <w:p w14:paraId="094306AE" w14:textId="77777777" w:rsidR="00901C90" w:rsidRPr="00FE3F56" w:rsidRDefault="00A34875">
      <w:pPr>
        <w:jc w:val="left"/>
        <w:rPr>
          <w:rFonts w:cs="Times New Roman"/>
          <w:color w:val="000000" w:themeColor="text1"/>
          <w:szCs w:val="24"/>
          <w:lang w:val="en-GB"/>
        </w:rPr>
      </w:pPr>
      <w:r w:rsidRPr="00FE3F56">
        <w:rPr>
          <w:rFonts w:cs="Times New Roman"/>
          <w:color w:val="000000" w:themeColor="text1"/>
          <w:szCs w:val="24"/>
          <w:lang w:val="en-GB"/>
        </w:rPr>
        <w:t xml:space="preserve">Veldhuizen, I. &amp; van Dongen, A. (2013), Differences among Whole Blood and Plasma Donors. </w:t>
      </w:r>
      <w:r w:rsidRPr="00FE3F56">
        <w:rPr>
          <w:rFonts w:cs="Times New Roman"/>
          <w:i/>
          <w:iCs/>
          <w:color w:val="000000" w:themeColor="text1"/>
          <w:szCs w:val="24"/>
          <w:lang w:val="en-GB"/>
        </w:rPr>
        <w:t>Transfusion, 53</w:t>
      </w:r>
      <w:r w:rsidRPr="00FE3F56">
        <w:rPr>
          <w:rFonts w:cs="Times New Roman"/>
          <w:color w:val="000000" w:themeColor="text1"/>
          <w:szCs w:val="24"/>
          <w:lang w:val="en-GB"/>
        </w:rPr>
        <w:t>, 1678-1686. https://doi.org/10.1111/trf.12056</w:t>
      </w:r>
    </w:p>
    <w:p w14:paraId="094306AF" w14:textId="77777777" w:rsidR="00901C90" w:rsidRPr="00FE3F56" w:rsidRDefault="00A34875">
      <w:pPr>
        <w:jc w:val="left"/>
        <w:rPr>
          <w:rFonts w:cs="Times New Roman"/>
          <w:color w:val="000000" w:themeColor="text1"/>
          <w:szCs w:val="24"/>
          <w:lang w:val="en-GB"/>
        </w:rPr>
        <w:sectPr w:rsidR="00901C90" w:rsidRPr="00FE3F56">
          <w:pgSz w:w="11906" w:h="16838"/>
          <w:pgMar w:top="1440" w:right="1440" w:bottom="1440" w:left="1440" w:header="0" w:footer="0" w:gutter="0"/>
          <w:cols w:space="720"/>
          <w:formProt w:val="0"/>
          <w:docGrid w:linePitch="360" w:charSpace="4096"/>
        </w:sectPr>
      </w:pPr>
      <w:r w:rsidRPr="00FE3F56">
        <w:rPr>
          <w:rFonts w:cs="Times New Roman"/>
          <w:color w:val="000000" w:themeColor="text1"/>
          <w:szCs w:val="24"/>
          <w:lang w:val="en-GB"/>
        </w:rPr>
        <w:t xml:space="preserve">World Health Organization (2017). </w:t>
      </w:r>
      <w:r w:rsidRPr="00FE3F56">
        <w:rPr>
          <w:rFonts w:cs="Times New Roman"/>
          <w:i/>
          <w:iCs/>
          <w:color w:val="000000" w:themeColor="text1"/>
          <w:szCs w:val="24"/>
          <w:lang w:val="en-GB"/>
        </w:rPr>
        <w:t>Global status report on blood safety and availability 2016. World Health Organization.</w:t>
      </w:r>
      <w:r w:rsidRPr="00FE3F56">
        <w:rPr>
          <w:rFonts w:cs="Times New Roman"/>
          <w:color w:val="000000" w:themeColor="text1"/>
          <w:szCs w:val="24"/>
          <w:lang w:val="en-GB"/>
        </w:rPr>
        <w:t xml:space="preserve"> https://apps.who.int/iris/bitstream/handle/10665/254987/9789241565431-eng.pdf;jsessionid=0D9313B2A0BD8363BE9A3903106FCB7B?sequence=1</w:t>
      </w:r>
    </w:p>
    <w:p w14:paraId="094306B0" w14:textId="77777777" w:rsidR="00901C90" w:rsidRPr="00FE3F56" w:rsidRDefault="00A34875">
      <w:pPr>
        <w:spacing w:after="0"/>
        <w:jc w:val="center"/>
        <w:rPr>
          <w:rFonts w:cs="Times New Roman"/>
          <w:b/>
          <w:bCs/>
          <w:color w:val="000000" w:themeColor="text1"/>
          <w:lang w:val="en-GB"/>
        </w:rPr>
      </w:pPr>
      <w:r w:rsidRPr="00FE3F56">
        <w:rPr>
          <w:rFonts w:cs="Times New Roman"/>
          <w:b/>
          <w:bCs/>
          <w:color w:val="000000" w:themeColor="text1"/>
          <w:lang w:val="en-GB"/>
        </w:rPr>
        <w:lastRenderedPageBreak/>
        <w:t>Appendix</w:t>
      </w:r>
    </w:p>
    <w:p w14:paraId="094306B3" w14:textId="127F473D" w:rsidR="00901C90" w:rsidRPr="00FE3F56" w:rsidRDefault="00BD3B3E" w:rsidP="00B24D1D">
      <w:pPr>
        <w:spacing w:after="0"/>
        <w:jc w:val="center"/>
        <w:rPr>
          <w:rFonts w:cs="Times New Roman"/>
          <w:color w:val="000000" w:themeColor="text1"/>
          <w:lang w:val="en-GB"/>
        </w:rPr>
      </w:pPr>
      <w:r w:rsidRPr="00FE3F56">
        <w:rPr>
          <w:rFonts w:cs="Times New Roman"/>
          <w:color w:val="000000" w:themeColor="text1"/>
          <w:lang w:val="en-GB"/>
        </w:rPr>
        <w:t>Complete m</w:t>
      </w:r>
      <w:r w:rsidR="00A34875" w:rsidRPr="00FE3F56">
        <w:rPr>
          <w:rFonts w:cs="Times New Roman"/>
          <w:color w:val="000000" w:themeColor="text1"/>
          <w:lang w:val="en-GB"/>
        </w:rPr>
        <w:t>odel results</w:t>
      </w:r>
    </w:p>
    <w:tbl>
      <w:tblPr>
        <w:tblW w:w="14781" w:type="dxa"/>
        <w:tblLayout w:type="fixed"/>
        <w:tblLook w:val="04A0" w:firstRow="1" w:lastRow="0" w:firstColumn="1" w:lastColumn="0" w:noHBand="0" w:noVBand="1"/>
      </w:tblPr>
      <w:tblGrid>
        <w:gridCol w:w="3261"/>
        <w:gridCol w:w="961"/>
        <w:gridCol w:w="959"/>
        <w:gridCol w:w="961"/>
        <w:gridCol w:w="959"/>
        <w:gridCol w:w="961"/>
        <w:gridCol w:w="959"/>
        <w:gridCol w:w="961"/>
        <w:gridCol w:w="959"/>
        <w:gridCol w:w="961"/>
        <w:gridCol w:w="959"/>
        <w:gridCol w:w="961"/>
        <w:gridCol w:w="959"/>
      </w:tblGrid>
      <w:tr w:rsidR="00FE3F56" w:rsidRPr="00FE3F56" w14:paraId="094306B9" w14:textId="77777777" w:rsidTr="00AF7503">
        <w:trPr>
          <w:trHeight w:val="290"/>
        </w:trPr>
        <w:tc>
          <w:tcPr>
            <w:tcW w:w="3261" w:type="dxa"/>
            <w:tcBorders>
              <w:top w:val="single" w:sz="4" w:space="0" w:color="000000"/>
            </w:tcBorders>
            <w:shd w:val="clear" w:color="auto" w:fill="auto"/>
            <w:vAlign w:val="bottom"/>
          </w:tcPr>
          <w:p w14:paraId="094306B4" w14:textId="77777777" w:rsidR="00901C90" w:rsidRPr="00FE3F56" w:rsidRDefault="00901C90">
            <w:pPr>
              <w:widowControl w:val="0"/>
              <w:spacing w:after="0" w:line="240" w:lineRule="auto"/>
              <w:rPr>
                <w:rFonts w:eastAsia="Times New Roman" w:cs="Times New Roman"/>
                <w:color w:val="000000" w:themeColor="text1"/>
                <w:lang w:val="en-GB"/>
              </w:rPr>
            </w:pPr>
          </w:p>
        </w:tc>
        <w:tc>
          <w:tcPr>
            <w:tcW w:w="2881" w:type="dxa"/>
            <w:gridSpan w:val="3"/>
            <w:tcBorders>
              <w:top w:val="single" w:sz="4" w:space="0" w:color="000000"/>
              <w:bottom w:val="single" w:sz="4" w:space="0" w:color="000000"/>
            </w:tcBorders>
            <w:shd w:val="clear" w:color="auto" w:fill="auto"/>
            <w:vAlign w:val="bottom"/>
          </w:tcPr>
          <w:p w14:paraId="094306B5"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Model 1</w:t>
            </w:r>
          </w:p>
        </w:tc>
        <w:tc>
          <w:tcPr>
            <w:tcW w:w="2879" w:type="dxa"/>
            <w:gridSpan w:val="3"/>
            <w:tcBorders>
              <w:top w:val="single" w:sz="4" w:space="0" w:color="000000"/>
              <w:bottom w:val="single" w:sz="4" w:space="0" w:color="000000"/>
            </w:tcBorders>
            <w:shd w:val="clear" w:color="auto" w:fill="auto"/>
            <w:vAlign w:val="bottom"/>
          </w:tcPr>
          <w:p w14:paraId="094306B6"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Model 2</w:t>
            </w:r>
          </w:p>
        </w:tc>
        <w:tc>
          <w:tcPr>
            <w:tcW w:w="2881" w:type="dxa"/>
            <w:gridSpan w:val="3"/>
            <w:tcBorders>
              <w:top w:val="single" w:sz="4" w:space="0" w:color="000000"/>
              <w:bottom w:val="single" w:sz="4" w:space="0" w:color="000000"/>
            </w:tcBorders>
            <w:vAlign w:val="bottom"/>
          </w:tcPr>
          <w:p w14:paraId="094306B7"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Model 3</w:t>
            </w:r>
          </w:p>
        </w:tc>
        <w:tc>
          <w:tcPr>
            <w:tcW w:w="2879" w:type="dxa"/>
            <w:gridSpan w:val="3"/>
            <w:tcBorders>
              <w:top w:val="single" w:sz="4" w:space="0" w:color="000000"/>
              <w:bottom w:val="single" w:sz="4" w:space="0" w:color="000000"/>
            </w:tcBorders>
            <w:vAlign w:val="bottom"/>
          </w:tcPr>
          <w:p w14:paraId="094306B8"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Model 4</w:t>
            </w:r>
          </w:p>
        </w:tc>
      </w:tr>
      <w:tr w:rsidR="00FE3F56" w:rsidRPr="00FE3F56" w14:paraId="094306C7" w14:textId="77777777" w:rsidTr="00AF7503">
        <w:trPr>
          <w:trHeight w:val="300"/>
        </w:trPr>
        <w:tc>
          <w:tcPr>
            <w:tcW w:w="3261" w:type="dxa"/>
            <w:tcBorders>
              <w:bottom w:val="single" w:sz="4" w:space="0" w:color="000000"/>
            </w:tcBorders>
            <w:shd w:val="clear" w:color="auto" w:fill="auto"/>
            <w:vAlign w:val="bottom"/>
          </w:tcPr>
          <w:p w14:paraId="094306BA" w14:textId="77777777" w:rsidR="00901C90" w:rsidRPr="00FE3F56" w:rsidRDefault="00901C90">
            <w:pPr>
              <w:widowControl w:val="0"/>
              <w:spacing w:after="0" w:line="240" w:lineRule="auto"/>
              <w:rPr>
                <w:rFonts w:eastAsia="Times New Roman" w:cs="Times New Roman"/>
                <w:color w:val="000000" w:themeColor="text1"/>
                <w:lang w:val="en-GB"/>
              </w:rPr>
            </w:pPr>
          </w:p>
        </w:tc>
        <w:tc>
          <w:tcPr>
            <w:tcW w:w="961" w:type="dxa"/>
            <w:tcBorders>
              <w:top w:val="single" w:sz="4" w:space="0" w:color="000000"/>
              <w:bottom w:val="single" w:sz="4" w:space="0" w:color="000000"/>
            </w:tcBorders>
            <w:shd w:val="clear" w:color="auto" w:fill="auto"/>
            <w:vAlign w:val="bottom"/>
          </w:tcPr>
          <w:p w14:paraId="094306BB"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B</w:t>
            </w:r>
          </w:p>
        </w:tc>
        <w:tc>
          <w:tcPr>
            <w:tcW w:w="959" w:type="dxa"/>
            <w:tcBorders>
              <w:top w:val="single" w:sz="4" w:space="0" w:color="000000"/>
              <w:bottom w:val="single" w:sz="4" w:space="0" w:color="000000"/>
            </w:tcBorders>
            <w:shd w:val="clear" w:color="auto" w:fill="auto"/>
            <w:vAlign w:val="bottom"/>
          </w:tcPr>
          <w:p w14:paraId="094306BC"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S.E.</w:t>
            </w:r>
          </w:p>
        </w:tc>
        <w:tc>
          <w:tcPr>
            <w:tcW w:w="961" w:type="dxa"/>
            <w:tcBorders>
              <w:top w:val="single" w:sz="4" w:space="0" w:color="000000"/>
              <w:bottom w:val="single" w:sz="4" w:space="0" w:color="000000"/>
            </w:tcBorders>
            <w:vAlign w:val="bottom"/>
          </w:tcPr>
          <w:p w14:paraId="094306BD"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B</w:t>
            </w:r>
          </w:p>
        </w:tc>
        <w:tc>
          <w:tcPr>
            <w:tcW w:w="959" w:type="dxa"/>
            <w:tcBorders>
              <w:top w:val="single" w:sz="4" w:space="0" w:color="000000"/>
              <w:bottom w:val="single" w:sz="4" w:space="0" w:color="000000"/>
            </w:tcBorders>
            <w:vAlign w:val="bottom"/>
          </w:tcPr>
          <w:p w14:paraId="094306BE"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S.E.</w:t>
            </w:r>
          </w:p>
        </w:tc>
        <w:tc>
          <w:tcPr>
            <w:tcW w:w="961" w:type="dxa"/>
            <w:tcBorders>
              <w:top w:val="single" w:sz="4" w:space="0" w:color="000000"/>
              <w:bottom w:val="single" w:sz="4" w:space="0" w:color="000000"/>
            </w:tcBorders>
            <w:vAlign w:val="bottom"/>
          </w:tcPr>
          <w:p w14:paraId="094306BF"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Sig.</w:t>
            </w:r>
          </w:p>
        </w:tc>
        <w:tc>
          <w:tcPr>
            <w:tcW w:w="959" w:type="dxa"/>
            <w:tcBorders>
              <w:top w:val="single" w:sz="4" w:space="0" w:color="000000"/>
              <w:bottom w:val="single" w:sz="4" w:space="0" w:color="000000"/>
            </w:tcBorders>
            <w:vAlign w:val="bottom"/>
          </w:tcPr>
          <w:p w14:paraId="094306C0"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B</w:t>
            </w:r>
          </w:p>
        </w:tc>
        <w:tc>
          <w:tcPr>
            <w:tcW w:w="961" w:type="dxa"/>
            <w:tcBorders>
              <w:top w:val="single" w:sz="4" w:space="0" w:color="000000"/>
              <w:bottom w:val="single" w:sz="4" w:space="0" w:color="000000"/>
            </w:tcBorders>
            <w:vAlign w:val="bottom"/>
          </w:tcPr>
          <w:p w14:paraId="094306C1"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S.E.</w:t>
            </w:r>
          </w:p>
        </w:tc>
        <w:tc>
          <w:tcPr>
            <w:tcW w:w="959" w:type="dxa"/>
            <w:tcBorders>
              <w:top w:val="single" w:sz="4" w:space="0" w:color="000000"/>
              <w:bottom w:val="single" w:sz="4" w:space="0" w:color="000000"/>
            </w:tcBorders>
            <w:vAlign w:val="bottom"/>
          </w:tcPr>
          <w:p w14:paraId="094306C2"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Sig.</w:t>
            </w:r>
          </w:p>
        </w:tc>
        <w:tc>
          <w:tcPr>
            <w:tcW w:w="961" w:type="dxa"/>
            <w:tcBorders>
              <w:top w:val="single" w:sz="4" w:space="0" w:color="000000"/>
              <w:bottom w:val="single" w:sz="4" w:space="0" w:color="000000"/>
            </w:tcBorders>
            <w:shd w:val="clear" w:color="auto" w:fill="auto"/>
            <w:vAlign w:val="bottom"/>
          </w:tcPr>
          <w:p w14:paraId="094306C3"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Sig.</w:t>
            </w:r>
          </w:p>
        </w:tc>
        <w:tc>
          <w:tcPr>
            <w:tcW w:w="959" w:type="dxa"/>
            <w:tcBorders>
              <w:top w:val="single" w:sz="4" w:space="0" w:color="000000"/>
              <w:bottom w:val="single" w:sz="4" w:space="0" w:color="000000"/>
            </w:tcBorders>
            <w:shd w:val="clear" w:color="auto" w:fill="auto"/>
            <w:vAlign w:val="bottom"/>
          </w:tcPr>
          <w:p w14:paraId="094306C4"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B</w:t>
            </w:r>
          </w:p>
        </w:tc>
        <w:tc>
          <w:tcPr>
            <w:tcW w:w="961" w:type="dxa"/>
            <w:tcBorders>
              <w:top w:val="single" w:sz="4" w:space="0" w:color="000000"/>
              <w:bottom w:val="single" w:sz="4" w:space="0" w:color="000000"/>
            </w:tcBorders>
            <w:shd w:val="clear" w:color="auto" w:fill="auto"/>
            <w:vAlign w:val="bottom"/>
          </w:tcPr>
          <w:p w14:paraId="094306C5"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S.E.</w:t>
            </w:r>
          </w:p>
        </w:tc>
        <w:tc>
          <w:tcPr>
            <w:tcW w:w="959" w:type="dxa"/>
            <w:tcBorders>
              <w:top w:val="single" w:sz="4" w:space="0" w:color="000000"/>
              <w:bottom w:val="single" w:sz="4" w:space="0" w:color="000000"/>
            </w:tcBorders>
            <w:shd w:val="clear" w:color="auto" w:fill="auto"/>
            <w:vAlign w:val="bottom"/>
          </w:tcPr>
          <w:p w14:paraId="094306C6"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Sig.</w:t>
            </w:r>
          </w:p>
        </w:tc>
      </w:tr>
      <w:tr w:rsidR="00FE3F56" w:rsidRPr="00FE3F56" w14:paraId="094306D5" w14:textId="77777777" w:rsidTr="00AF7503">
        <w:trPr>
          <w:trHeight w:val="300"/>
        </w:trPr>
        <w:tc>
          <w:tcPr>
            <w:tcW w:w="3261" w:type="dxa"/>
            <w:tcBorders>
              <w:top w:val="single" w:sz="4" w:space="0" w:color="000000"/>
            </w:tcBorders>
            <w:shd w:val="clear" w:color="auto" w:fill="auto"/>
          </w:tcPr>
          <w:p w14:paraId="094306C8"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Unmarried/ never married/divorced/widow</w:t>
            </w:r>
          </w:p>
        </w:tc>
        <w:tc>
          <w:tcPr>
            <w:tcW w:w="961" w:type="dxa"/>
            <w:tcBorders>
              <w:top w:val="single" w:sz="4" w:space="0" w:color="000000"/>
            </w:tcBorders>
            <w:shd w:val="clear" w:color="auto" w:fill="auto"/>
          </w:tcPr>
          <w:p w14:paraId="094306C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-0.273</w:t>
            </w:r>
          </w:p>
        </w:tc>
        <w:tc>
          <w:tcPr>
            <w:tcW w:w="959" w:type="dxa"/>
            <w:tcBorders>
              <w:top w:val="single" w:sz="4" w:space="0" w:color="000000"/>
            </w:tcBorders>
            <w:shd w:val="clear" w:color="auto" w:fill="auto"/>
          </w:tcPr>
          <w:p w14:paraId="094306C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0.193</w:t>
            </w:r>
          </w:p>
        </w:tc>
        <w:tc>
          <w:tcPr>
            <w:tcW w:w="961" w:type="dxa"/>
            <w:tcBorders>
              <w:top w:val="single" w:sz="4" w:space="0" w:color="000000"/>
            </w:tcBorders>
            <w:vAlign w:val="center"/>
          </w:tcPr>
          <w:p w14:paraId="094306C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-0.284</w:t>
            </w:r>
          </w:p>
        </w:tc>
        <w:tc>
          <w:tcPr>
            <w:tcW w:w="959" w:type="dxa"/>
            <w:tcBorders>
              <w:top w:val="single" w:sz="4" w:space="0" w:color="000000"/>
            </w:tcBorders>
            <w:vAlign w:val="center"/>
          </w:tcPr>
          <w:p w14:paraId="094306C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0.194</w:t>
            </w:r>
          </w:p>
        </w:tc>
        <w:tc>
          <w:tcPr>
            <w:tcW w:w="961" w:type="dxa"/>
            <w:tcBorders>
              <w:top w:val="single" w:sz="4" w:space="0" w:color="000000"/>
            </w:tcBorders>
            <w:vAlign w:val="center"/>
          </w:tcPr>
          <w:p w14:paraId="094306C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0.143</w:t>
            </w:r>
          </w:p>
        </w:tc>
        <w:tc>
          <w:tcPr>
            <w:tcW w:w="959" w:type="dxa"/>
            <w:tcBorders>
              <w:top w:val="single" w:sz="4" w:space="0" w:color="000000"/>
            </w:tcBorders>
            <w:vAlign w:val="center"/>
          </w:tcPr>
          <w:p w14:paraId="094306C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-0.277</w:t>
            </w:r>
          </w:p>
        </w:tc>
        <w:tc>
          <w:tcPr>
            <w:tcW w:w="961" w:type="dxa"/>
            <w:tcBorders>
              <w:top w:val="single" w:sz="4" w:space="0" w:color="000000"/>
            </w:tcBorders>
            <w:vAlign w:val="center"/>
          </w:tcPr>
          <w:p w14:paraId="094306C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0.195</w:t>
            </w:r>
          </w:p>
        </w:tc>
        <w:tc>
          <w:tcPr>
            <w:tcW w:w="959" w:type="dxa"/>
            <w:tcBorders>
              <w:top w:val="single" w:sz="4" w:space="0" w:color="000000"/>
            </w:tcBorders>
            <w:vAlign w:val="center"/>
          </w:tcPr>
          <w:p w14:paraId="094306D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0.154</w:t>
            </w:r>
          </w:p>
        </w:tc>
        <w:tc>
          <w:tcPr>
            <w:tcW w:w="961" w:type="dxa"/>
            <w:tcBorders>
              <w:top w:val="single" w:sz="4" w:space="0" w:color="000000"/>
            </w:tcBorders>
            <w:shd w:val="clear" w:color="auto" w:fill="auto"/>
          </w:tcPr>
          <w:p w14:paraId="094306D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0.157</w:t>
            </w:r>
          </w:p>
        </w:tc>
        <w:tc>
          <w:tcPr>
            <w:tcW w:w="959" w:type="dxa"/>
            <w:tcBorders>
              <w:top w:val="single" w:sz="4" w:space="0" w:color="000000"/>
            </w:tcBorders>
            <w:shd w:val="clear" w:color="auto" w:fill="auto"/>
            <w:vAlign w:val="center"/>
          </w:tcPr>
          <w:p w14:paraId="094306D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-0.287</w:t>
            </w:r>
          </w:p>
        </w:tc>
        <w:tc>
          <w:tcPr>
            <w:tcW w:w="961" w:type="dxa"/>
            <w:tcBorders>
              <w:top w:val="single" w:sz="4" w:space="0" w:color="000000"/>
            </w:tcBorders>
            <w:shd w:val="clear" w:color="auto" w:fill="auto"/>
            <w:vAlign w:val="center"/>
          </w:tcPr>
          <w:p w14:paraId="094306D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0.193</w:t>
            </w:r>
          </w:p>
        </w:tc>
        <w:tc>
          <w:tcPr>
            <w:tcW w:w="959" w:type="dxa"/>
            <w:tcBorders>
              <w:top w:val="single" w:sz="4" w:space="0" w:color="000000"/>
            </w:tcBorders>
            <w:shd w:val="clear" w:color="auto" w:fill="auto"/>
            <w:vAlign w:val="center"/>
          </w:tcPr>
          <w:p w14:paraId="094306D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0.138</w:t>
            </w:r>
          </w:p>
        </w:tc>
      </w:tr>
      <w:tr w:rsidR="00FE3F56" w:rsidRPr="00FE3F56" w14:paraId="094306E3" w14:textId="77777777" w:rsidTr="00AF7503">
        <w:trPr>
          <w:trHeight w:val="290"/>
        </w:trPr>
        <w:tc>
          <w:tcPr>
            <w:tcW w:w="3261" w:type="dxa"/>
            <w:shd w:val="clear" w:color="auto" w:fill="auto"/>
          </w:tcPr>
          <w:p w14:paraId="094306D6" w14:textId="59BE411F"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The respondent (parent) lives with his/her partner/ husband/ wife and children</w:t>
            </w:r>
          </w:p>
        </w:tc>
        <w:tc>
          <w:tcPr>
            <w:tcW w:w="961" w:type="dxa"/>
            <w:shd w:val="clear" w:color="auto" w:fill="auto"/>
            <w:vAlign w:val="center"/>
          </w:tcPr>
          <w:p w14:paraId="094306D7"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6D8"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6D9"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6DA"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6DB"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6DC"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6DD"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6DE"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6DF"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6E0"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6E1"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6E2" w14:textId="77777777" w:rsidR="00901C90" w:rsidRPr="00FE3F56" w:rsidRDefault="00901C90">
            <w:pPr>
              <w:widowControl w:val="0"/>
              <w:spacing w:after="0" w:line="240" w:lineRule="auto"/>
              <w:jc w:val="center"/>
              <w:rPr>
                <w:rFonts w:eastAsia="Times New Roman" w:cs="Times New Roman"/>
                <w:color w:val="000000" w:themeColor="text1"/>
                <w:lang w:val="en-GB"/>
              </w:rPr>
            </w:pPr>
          </w:p>
        </w:tc>
      </w:tr>
      <w:tr w:rsidR="00FE3F56" w:rsidRPr="00FE3F56" w14:paraId="094306F1" w14:textId="77777777" w:rsidTr="00AF7503">
        <w:trPr>
          <w:trHeight w:val="290"/>
        </w:trPr>
        <w:tc>
          <w:tcPr>
            <w:tcW w:w="3261" w:type="dxa"/>
            <w:shd w:val="clear" w:color="auto" w:fill="auto"/>
          </w:tcPr>
          <w:p w14:paraId="094306E4" w14:textId="177793D3"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The parent</w:t>
            </w:r>
            <w:r w:rsidR="001E612C" w:rsidRPr="00FE3F56">
              <w:rPr>
                <w:rFonts w:eastAsia="Times New Roman" w:cs="Times New Roman"/>
                <w:color w:val="000000" w:themeColor="text1"/>
                <w:lang w:val="en-GB"/>
              </w:rPr>
              <w:t xml:space="preserve"> </w:t>
            </w:r>
            <w:r w:rsidRPr="00FE3F56">
              <w:rPr>
                <w:rFonts w:eastAsia="Times New Roman" w:cs="Times New Roman"/>
                <w:color w:val="000000" w:themeColor="text1"/>
                <w:lang w:val="en-GB"/>
              </w:rPr>
              <w:t xml:space="preserve">is in a different home situation than the other 2 categories </w:t>
            </w:r>
          </w:p>
        </w:tc>
        <w:tc>
          <w:tcPr>
            <w:tcW w:w="961" w:type="dxa"/>
            <w:shd w:val="clear" w:color="auto" w:fill="auto"/>
            <w:vAlign w:val="center"/>
          </w:tcPr>
          <w:p w14:paraId="094306E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0.214</w:t>
            </w:r>
          </w:p>
        </w:tc>
        <w:tc>
          <w:tcPr>
            <w:tcW w:w="959" w:type="dxa"/>
            <w:shd w:val="clear" w:color="auto" w:fill="auto"/>
            <w:vAlign w:val="center"/>
          </w:tcPr>
          <w:p w14:paraId="094306E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0.207</w:t>
            </w:r>
          </w:p>
        </w:tc>
        <w:tc>
          <w:tcPr>
            <w:tcW w:w="961" w:type="dxa"/>
            <w:vAlign w:val="center"/>
          </w:tcPr>
          <w:p w14:paraId="094306E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0.218</w:t>
            </w:r>
          </w:p>
        </w:tc>
        <w:tc>
          <w:tcPr>
            <w:tcW w:w="959" w:type="dxa"/>
            <w:vAlign w:val="center"/>
          </w:tcPr>
          <w:p w14:paraId="094306E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0.208</w:t>
            </w:r>
          </w:p>
        </w:tc>
        <w:tc>
          <w:tcPr>
            <w:tcW w:w="961" w:type="dxa"/>
            <w:vAlign w:val="center"/>
          </w:tcPr>
          <w:p w14:paraId="094306E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0.293</w:t>
            </w:r>
          </w:p>
        </w:tc>
        <w:tc>
          <w:tcPr>
            <w:tcW w:w="959" w:type="dxa"/>
            <w:vAlign w:val="center"/>
          </w:tcPr>
          <w:p w14:paraId="094306E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0.183</w:t>
            </w:r>
          </w:p>
        </w:tc>
        <w:tc>
          <w:tcPr>
            <w:tcW w:w="961" w:type="dxa"/>
            <w:vAlign w:val="center"/>
          </w:tcPr>
          <w:p w14:paraId="094306E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0.209</w:t>
            </w:r>
          </w:p>
        </w:tc>
        <w:tc>
          <w:tcPr>
            <w:tcW w:w="959" w:type="dxa"/>
            <w:vAlign w:val="center"/>
          </w:tcPr>
          <w:p w14:paraId="094306E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0.381</w:t>
            </w:r>
          </w:p>
        </w:tc>
        <w:tc>
          <w:tcPr>
            <w:tcW w:w="961" w:type="dxa"/>
            <w:shd w:val="clear" w:color="auto" w:fill="auto"/>
            <w:vAlign w:val="center"/>
          </w:tcPr>
          <w:p w14:paraId="094306E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0.302</w:t>
            </w:r>
          </w:p>
        </w:tc>
        <w:tc>
          <w:tcPr>
            <w:tcW w:w="959" w:type="dxa"/>
            <w:shd w:val="clear" w:color="auto" w:fill="auto"/>
            <w:vAlign w:val="center"/>
          </w:tcPr>
          <w:p w14:paraId="094306E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0.216</w:t>
            </w:r>
          </w:p>
        </w:tc>
        <w:tc>
          <w:tcPr>
            <w:tcW w:w="961" w:type="dxa"/>
            <w:shd w:val="clear" w:color="auto" w:fill="auto"/>
            <w:vAlign w:val="center"/>
          </w:tcPr>
          <w:p w14:paraId="094306E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0.207</w:t>
            </w:r>
          </w:p>
        </w:tc>
        <w:tc>
          <w:tcPr>
            <w:tcW w:w="959" w:type="dxa"/>
            <w:shd w:val="clear" w:color="auto" w:fill="auto"/>
            <w:vAlign w:val="center"/>
          </w:tcPr>
          <w:p w14:paraId="094306F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0.297</w:t>
            </w:r>
          </w:p>
        </w:tc>
      </w:tr>
      <w:tr w:rsidR="00FE3F56" w:rsidRPr="00FE3F56" w14:paraId="094306FF" w14:textId="77777777" w:rsidTr="00AF7503">
        <w:trPr>
          <w:trHeight w:val="290"/>
        </w:trPr>
        <w:tc>
          <w:tcPr>
            <w:tcW w:w="3261" w:type="dxa"/>
            <w:shd w:val="clear" w:color="auto" w:fill="auto"/>
          </w:tcPr>
          <w:p w14:paraId="094306F2" w14:textId="73C0CD55"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 lives with his/her partner/husband/wife</w:t>
            </w:r>
          </w:p>
        </w:tc>
        <w:tc>
          <w:tcPr>
            <w:tcW w:w="961" w:type="dxa"/>
            <w:shd w:val="clear" w:color="auto" w:fill="auto"/>
            <w:vAlign w:val="center"/>
          </w:tcPr>
          <w:p w14:paraId="094306F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0.109</w:t>
            </w:r>
          </w:p>
        </w:tc>
        <w:tc>
          <w:tcPr>
            <w:tcW w:w="959" w:type="dxa"/>
            <w:shd w:val="clear" w:color="auto" w:fill="auto"/>
            <w:vAlign w:val="center"/>
          </w:tcPr>
          <w:p w14:paraId="094306F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0.063</w:t>
            </w:r>
          </w:p>
        </w:tc>
        <w:tc>
          <w:tcPr>
            <w:tcW w:w="961" w:type="dxa"/>
            <w:vAlign w:val="center"/>
          </w:tcPr>
          <w:p w14:paraId="094306F5"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0.113</w:t>
            </w:r>
          </w:p>
        </w:tc>
        <w:tc>
          <w:tcPr>
            <w:tcW w:w="959" w:type="dxa"/>
            <w:vAlign w:val="center"/>
          </w:tcPr>
          <w:p w14:paraId="094306F6"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0.063</w:t>
            </w:r>
          </w:p>
        </w:tc>
        <w:tc>
          <w:tcPr>
            <w:tcW w:w="961" w:type="dxa"/>
            <w:vAlign w:val="center"/>
          </w:tcPr>
          <w:p w14:paraId="094306F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0.072</w:t>
            </w:r>
          </w:p>
        </w:tc>
        <w:tc>
          <w:tcPr>
            <w:tcW w:w="959" w:type="dxa"/>
            <w:vAlign w:val="center"/>
          </w:tcPr>
          <w:p w14:paraId="094306F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0.067</w:t>
            </w:r>
          </w:p>
        </w:tc>
        <w:tc>
          <w:tcPr>
            <w:tcW w:w="961" w:type="dxa"/>
            <w:vAlign w:val="center"/>
          </w:tcPr>
          <w:p w14:paraId="094306F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0.064</w:t>
            </w:r>
          </w:p>
        </w:tc>
        <w:tc>
          <w:tcPr>
            <w:tcW w:w="959" w:type="dxa"/>
            <w:vAlign w:val="center"/>
          </w:tcPr>
          <w:p w14:paraId="094306F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0.295</w:t>
            </w:r>
          </w:p>
        </w:tc>
        <w:tc>
          <w:tcPr>
            <w:tcW w:w="961" w:type="dxa"/>
            <w:shd w:val="clear" w:color="auto" w:fill="auto"/>
            <w:vAlign w:val="center"/>
          </w:tcPr>
          <w:p w14:paraId="094306F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0.082</w:t>
            </w:r>
          </w:p>
        </w:tc>
        <w:tc>
          <w:tcPr>
            <w:tcW w:w="959" w:type="dxa"/>
            <w:shd w:val="clear" w:color="auto" w:fill="auto"/>
            <w:vAlign w:val="center"/>
          </w:tcPr>
          <w:p w14:paraId="094306F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0.108</w:t>
            </w:r>
          </w:p>
        </w:tc>
        <w:tc>
          <w:tcPr>
            <w:tcW w:w="961" w:type="dxa"/>
            <w:shd w:val="clear" w:color="auto" w:fill="auto"/>
            <w:vAlign w:val="center"/>
          </w:tcPr>
          <w:p w14:paraId="094306F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0.063</w:t>
            </w:r>
          </w:p>
        </w:tc>
        <w:tc>
          <w:tcPr>
            <w:tcW w:w="959" w:type="dxa"/>
            <w:shd w:val="clear" w:color="auto" w:fill="auto"/>
            <w:vAlign w:val="center"/>
          </w:tcPr>
          <w:p w14:paraId="094306F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0.085</w:t>
            </w:r>
          </w:p>
        </w:tc>
      </w:tr>
      <w:tr w:rsidR="00FE3F56" w:rsidRPr="00FE3F56" w14:paraId="0943070D" w14:textId="77777777" w:rsidTr="00AF7503">
        <w:trPr>
          <w:trHeight w:val="290"/>
        </w:trPr>
        <w:tc>
          <w:tcPr>
            <w:tcW w:w="3261" w:type="dxa"/>
            <w:shd w:val="clear" w:color="auto" w:fill="auto"/>
          </w:tcPr>
          <w:p w14:paraId="09430700" w14:textId="6F2F3808"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 education highest level attained: university</w:t>
            </w:r>
          </w:p>
        </w:tc>
        <w:tc>
          <w:tcPr>
            <w:tcW w:w="961" w:type="dxa"/>
            <w:shd w:val="clear" w:color="auto" w:fill="auto"/>
            <w:vAlign w:val="center"/>
          </w:tcPr>
          <w:p w14:paraId="09430701"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02"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03"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04"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05"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06"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07"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08"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709"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0A"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70B"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0C" w14:textId="77777777" w:rsidR="00901C90" w:rsidRPr="00FE3F56" w:rsidRDefault="00901C90">
            <w:pPr>
              <w:widowControl w:val="0"/>
              <w:spacing w:after="0" w:line="240" w:lineRule="auto"/>
              <w:jc w:val="center"/>
              <w:rPr>
                <w:rFonts w:eastAsia="Times New Roman" w:cs="Times New Roman"/>
                <w:color w:val="000000" w:themeColor="text1"/>
                <w:lang w:val="en-GB"/>
              </w:rPr>
            </w:pPr>
          </w:p>
        </w:tc>
      </w:tr>
      <w:tr w:rsidR="00FE3F56" w:rsidRPr="00FE3F56" w14:paraId="0943071B" w14:textId="77777777" w:rsidTr="00AF7503">
        <w:trPr>
          <w:trHeight w:val="290"/>
        </w:trPr>
        <w:tc>
          <w:tcPr>
            <w:tcW w:w="3261" w:type="dxa"/>
            <w:shd w:val="clear" w:color="auto" w:fill="auto"/>
            <w:vAlign w:val="center"/>
          </w:tcPr>
          <w:p w14:paraId="0943070E" w14:textId="7AFA25B5"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The parent has followed no education or he/she completed only primary school</w:t>
            </w:r>
          </w:p>
        </w:tc>
        <w:tc>
          <w:tcPr>
            <w:tcW w:w="961" w:type="dxa"/>
            <w:shd w:val="clear" w:color="auto" w:fill="auto"/>
            <w:vAlign w:val="center"/>
          </w:tcPr>
          <w:p w14:paraId="0943070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-0.095</w:t>
            </w:r>
          </w:p>
        </w:tc>
        <w:tc>
          <w:tcPr>
            <w:tcW w:w="959" w:type="dxa"/>
            <w:shd w:val="clear" w:color="auto" w:fill="auto"/>
            <w:vAlign w:val="center"/>
          </w:tcPr>
          <w:p w14:paraId="0943071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0.170</w:t>
            </w:r>
          </w:p>
        </w:tc>
        <w:tc>
          <w:tcPr>
            <w:tcW w:w="961" w:type="dxa"/>
            <w:vAlign w:val="center"/>
          </w:tcPr>
          <w:p w14:paraId="0943071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-0.204</w:t>
            </w:r>
          </w:p>
        </w:tc>
        <w:tc>
          <w:tcPr>
            <w:tcW w:w="959" w:type="dxa"/>
            <w:vAlign w:val="center"/>
          </w:tcPr>
          <w:p w14:paraId="0943071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0.172</w:t>
            </w:r>
          </w:p>
        </w:tc>
        <w:tc>
          <w:tcPr>
            <w:tcW w:w="961" w:type="dxa"/>
            <w:vAlign w:val="center"/>
          </w:tcPr>
          <w:p w14:paraId="09430713"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0.235</w:t>
            </w:r>
          </w:p>
        </w:tc>
        <w:tc>
          <w:tcPr>
            <w:tcW w:w="959" w:type="dxa"/>
            <w:vAlign w:val="center"/>
          </w:tcPr>
          <w:p w14:paraId="09430714"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-0.227</w:t>
            </w:r>
          </w:p>
        </w:tc>
        <w:tc>
          <w:tcPr>
            <w:tcW w:w="961" w:type="dxa"/>
            <w:vAlign w:val="center"/>
          </w:tcPr>
          <w:p w14:paraId="09430715"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0.173</w:t>
            </w:r>
          </w:p>
        </w:tc>
        <w:tc>
          <w:tcPr>
            <w:tcW w:w="959" w:type="dxa"/>
            <w:vAlign w:val="center"/>
          </w:tcPr>
          <w:p w14:paraId="09430716"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0.190</w:t>
            </w:r>
          </w:p>
        </w:tc>
        <w:tc>
          <w:tcPr>
            <w:tcW w:w="961" w:type="dxa"/>
            <w:shd w:val="clear" w:color="auto" w:fill="auto"/>
            <w:vAlign w:val="center"/>
          </w:tcPr>
          <w:p w14:paraId="0943071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0.575</w:t>
            </w:r>
          </w:p>
        </w:tc>
        <w:tc>
          <w:tcPr>
            <w:tcW w:w="959" w:type="dxa"/>
            <w:shd w:val="clear" w:color="auto" w:fill="auto"/>
            <w:vAlign w:val="center"/>
          </w:tcPr>
          <w:p w14:paraId="0943071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-0.210</w:t>
            </w:r>
          </w:p>
        </w:tc>
        <w:tc>
          <w:tcPr>
            <w:tcW w:w="961" w:type="dxa"/>
            <w:shd w:val="clear" w:color="auto" w:fill="auto"/>
            <w:vAlign w:val="center"/>
          </w:tcPr>
          <w:p w14:paraId="0943071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0.172</w:t>
            </w:r>
          </w:p>
        </w:tc>
        <w:tc>
          <w:tcPr>
            <w:tcW w:w="959" w:type="dxa"/>
            <w:shd w:val="clear" w:color="auto" w:fill="auto"/>
            <w:vAlign w:val="center"/>
          </w:tcPr>
          <w:p w14:paraId="0943071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0.221</w:t>
            </w:r>
          </w:p>
        </w:tc>
      </w:tr>
      <w:tr w:rsidR="00FE3F56" w:rsidRPr="00FE3F56" w14:paraId="09430729" w14:textId="77777777" w:rsidTr="00AF7503">
        <w:trPr>
          <w:trHeight w:val="290"/>
        </w:trPr>
        <w:tc>
          <w:tcPr>
            <w:tcW w:w="3261" w:type="dxa"/>
            <w:shd w:val="clear" w:color="auto" w:fill="auto"/>
          </w:tcPr>
          <w:p w14:paraId="0943071C" w14:textId="41D51E36"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 xml:space="preserve">Parent </w:t>
            </w:r>
            <w:r w:rsidR="00A34875" w:rsidRPr="00FE3F56">
              <w:rPr>
                <w:rFonts w:eastAsia="Times New Roman" w:cs="Times New Roman"/>
                <w:color w:val="000000" w:themeColor="text1"/>
                <w:lang w:val="en-GB"/>
              </w:rPr>
              <w:t>education highest level attained: lower vocational education</w:t>
            </w:r>
          </w:p>
        </w:tc>
        <w:tc>
          <w:tcPr>
            <w:tcW w:w="961" w:type="dxa"/>
            <w:shd w:val="clear" w:color="auto" w:fill="auto"/>
            <w:vAlign w:val="center"/>
          </w:tcPr>
          <w:p w14:paraId="0943071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0.054</w:t>
            </w:r>
          </w:p>
        </w:tc>
        <w:tc>
          <w:tcPr>
            <w:tcW w:w="959" w:type="dxa"/>
            <w:shd w:val="clear" w:color="auto" w:fill="auto"/>
            <w:vAlign w:val="center"/>
          </w:tcPr>
          <w:p w14:paraId="0943071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0.129</w:t>
            </w:r>
          </w:p>
        </w:tc>
        <w:tc>
          <w:tcPr>
            <w:tcW w:w="961" w:type="dxa"/>
            <w:vAlign w:val="center"/>
          </w:tcPr>
          <w:p w14:paraId="0943071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-0.036</w:t>
            </w:r>
          </w:p>
        </w:tc>
        <w:tc>
          <w:tcPr>
            <w:tcW w:w="959" w:type="dxa"/>
            <w:vAlign w:val="center"/>
          </w:tcPr>
          <w:p w14:paraId="0943072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0.131</w:t>
            </w:r>
          </w:p>
        </w:tc>
        <w:tc>
          <w:tcPr>
            <w:tcW w:w="961" w:type="dxa"/>
            <w:vAlign w:val="center"/>
          </w:tcPr>
          <w:p w14:paraId="0943072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0.785</w:t>
            </w:r>
          </w:p>
        </w:tc>
        <w:tc>
          <w:tcPr>
            <w:tcW w:w="959" w:type="dxa"/>
            <w:vAlign w:val="center"/>
          </w:tcPr>
          <w:p w14:paraId="0943072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-0.058</w:t>
            </w:r>
          </w:p>
        </w:tc>
        <w:tc>
          <w:tcPr>
            <w:tcW w:w="961" w:type="dxa"/>
            <w:vAlign w:val="center"/>
          </w:tcPr>
          <w:p w14:paraId="09430723"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0.132</w:t>
            </w:r>
          </w:p>
        </w:tc>
        <w:tc>
          <w:tcPr>
            <w:tcW w:w="959" w:type="dxa"/>
            <w:vAlign w:val="center"/>
          </w:tcPr>
          <w:p w14:paraId="09430724"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0.659</w:t>
            </w:r>
          </w:p>
        </w:tc>
        <w:tc>
          <w:tcPr>
            <w:tcW w:w="961" w:type="dxa"/>
            <w:shd w:val="clear" w:color="auto" w:fill="auto"/>
            <w:vAlign w:val="center"/>
          </w:tcPr>
          <w:p w14:paraId="0943072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0.674</w:t>
            </w:r>
          </w:p>
        </w:tc>
        <w:tc>
          <w:tcPr>
            <w:tcW w:w="959" w:type="dxa"/>
            <w:shd w:val="clear" w:color="auto" w:fill="auto"/>
            <w:vAlign w:val="center"/>
          </w:tcPr>
          <w:p w14:paraId="0943072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-0.049</w:t>
            </w:r>
          </w:p>
        </w:tc>
        <w:tc>
          <w:tcPr>
            <w:tcW w:w="961" w:type="dxa"/>
            <w:shd w:val="clear" w:color="auto" w:fill="auto"/>
            <w:vAlign w:val="center"/>
          </w:tcPr>
          <w:p w14:paraId="0943072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0.131</w:t>
            </w:r>
          </w:p>
        </w:tc>
        <w:tc>
          <w:tcPr>
            <w:tcW w:w="959" w:type="dxa"/>
            <w:shd w:val="clear" w:color="auto" w:fill="auto"/>
            <w:vAlign w:val="center"/>
          </w:tcPr>
          <w:p w14:paraId="0943072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0.710</w:t>
            </w:r>
          </w:p>
        </w:tc>
      </w:tr>
      <w:tr w:rsidR="00FE3F56" w:rsidRPr="00FE3F56" w14:paraId="09430737" w14:textId="77777777" w:rsidTr="00AF7503">
        <w:trPr>
          <w:trHeight w:val="290"/>
        </w:trPr>
        <w:tc>
          <w:tcPr>
            <w:tcW w:w="3261" w:type="dxa"/>
            <w:shd w:val="clear" w:color="auto" w:fill="auto"/>
          </w:tcPr>
          <w:p w14:paraId="0943072A" w14:textId="746832CA"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 education highest level attained: secondary education</w:t>
            </w:r>
          </w:p>
        </w:tc>
        <w:tc>
          <w:tcPr>
            <w:tcW w:w="961" w:type="dxa"/>
            <w:shd w:val="clear" w:color="auto" w:fill="auto"/>
            <w:vAlign w:val="center"/>
          </w:tcPr>
          <w:p w14:paraId="0943072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0.012</w:t>
            </w:r>
          </w:p>
        </w:tc>
        <w:tc>
          <w:tcPr>
            <w:tcW w:w="959" w:type="dxa"/>
            <w:shd w:val="clear" w:color="auto" w:fill="auto"/>
            <w:vAlign w:val="center"/>
          </w:tcPr>
          <w:p w14:paraId="0943072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0.127</w:t>
            </w:r>
          </w:p>
        </w:tc>
        <w:tc>
          <w:tcPr>
            <w:tcW w:w="961" w:type="dxa"/>
            <w:vAlign w:val="center"/>
          </w:tcPr>
          <w:p w14:paraId="0943072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-0.073</w:t>
            </w:r>
          </w:p>
        </w:tc>
        <w:tc>
          <w:tcPr>
            <w:tcW w:w="959" w:type="dxa"/>
            <w:vAlign w:val="center"/>
          </w:tcPr>
          <w:p w14:paraId="0943072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0.128</w:t>
            </w:r>
          </w:p>
        </w:tc>
        <w:tc>
          <w:tcPr>
            <w:tcW w:w="961" w:type="dxa"/>
            <w:vAlign w:val="center"/>
          </w:tcPr>
          <w:p w14:paraId="0943072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0.567</w:t>
            </w:r>
          </w:p>
        </w:tc>
        <w:tc>
          <w:tcPr>
            <w:tcW w:w="959" w:type="dxa"/>
            <w:vAlign w:val="center"/>
          </w:tcPr>
          <w:p w14:paraId="0943073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-0.089</w:t>
            </w:r>
          </w:p>
        </w:tc>
        <w:tc>
          <w:tcPr>
            <w:tcW w:w="961" w:type="dxa"/>
            <w:vAlign w:val="center"/>
          </w:tcPr>
          <w:p w14:paraId="0943073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0.129</w:t>
            </w:r>
          </w:p>
        </w:tc>
        <w:tc>
          <w:tcPr>
            <w:tcW w:w="959" w:type="dxa"/>
            <w:vAlign w:val="center"/>
          </w:tcPr>
          <w:p w14:paraId="0943073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0.491</w:t>
            </w:r>
          </w:p>
        </w:tc>
        <w:tc>
          <w:tcPr>
            <w:tcW w:w="961" w:type="dxa"/>
            <w:shd w:val="clear" w:color="auto" w:fill="auto"/>
            <w:vAlign w:val="center"/>
          </w:tcPr>
          <w:p w14:paraId="0943073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0.922</w:t>
            </w:r>
          </w:p>
        </w:tc>
        <w:tc>
          <w:tcPr>
            <w:tcW w:w="959" w:type="dxa"/>
            <w:shd w:val="clear" w:color="auto" w:fill="auto"/>
            <w:vAlign w:val="center"/>
          </w:tcPr>
          <w:p w14:paraId="0943073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-0.076</w:t>
            </w:r>
          </w:p>
        </w:tc>
        <w:tc>
          <w:tcPr>
            <w:tcW w:w="961" w:type="dxa"/>
            <w:shd w:val="clear" w:color="auto" w:fill="auto"/>
            <w:vAlign w:val="center"/>
          </w:tcPr>
          <w:p w14:paraId="0943073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0.128</w:t>
            </w:r>
          </w:p>
        </w:tc>
        <w:tc>
          <w:tcPr>
            <w:tcW w:w="959" w:type="dxa"/>
            <w:shd w:val="clear" w:color="auto" w:fill="auto"/>
            <w:vAlign w:val="center"/>
          </w:tcPr>
          <w:p w14:paraId="0943073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0.552</w:t>
            </w:r>
          </w:p>
        </w:tc>
      </w:tr>
      <w:tr w:rsidR="00FE3F56" w:rsidRPr="00FE3F56" w14:paraId="09430745" w14:textId="77777777" w:rsidTr="00AF7503">
        <w:trPr>
          <w:trHeight w:val="460"/>
        </w:trPr>
        <w:tc>
          <w:tcPr>
            <w:tcW w:w="3261" w:type="dxa"/>
            <w:shd w:val="clear" w:color="auto" w:fill="auto"/>
          </w:tcPr>
          <w:p w14:paraId="09430738" w14:textId="04741A75"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 education highest level attained: secondary vocational education</w:t>
            </w:r>
          </w:p>
        </w:tc>
        <w:tc>
          <w:tcPr>
            <w:tcW w:w="961" w:type="dxa"/>
            <w:shd w:val="clear" w:color="auto" w:fill="auto"/>
            <w:vAlign w:val="center"/>
          </w:tcPr>
          <w:p w14:paraId="0943073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0.191</w:t>
            </w:r>
          </w:p>
        </w:tc>
        <w:tc>
          <w:tcPr>
            <w:tcW w:w="959" w:type="dxa"/>
            <w:shd w:val="clear" w:color="auto" w:fill="auto"/>
            <w:vAlign w:val="center"/>
          </w:tcPr>
          <w:p w14:paraId="0943073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0.123</w:t>
            </w:r>
          </w:p>
        </w:tc>
        <w:tc>
          <w:tcPr>
            <w:tcW w:w="961" w:type="dxa"/>
            <w:vAlign w:val="center"/>
          </w:tcPr>
          <w:p w14:paraId="0943073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0.115</w:t>
            </w:r>
          </w:p>
        </w:tc>
        <w:tc>
          <w:tcPr>
            <w:tcW w:w="959" w:type="dxa"/>
            <w:vAlign w:val="center"/>
          </w:tcPr>
          <w:p w14:paraId="0943073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0.124</w:t>
            </w:r>
          </w:p>
        </w:tc>
        <w:tc>
          <w:tcPr>
            <w:tcW w:w="961" w:type="dxa"/>
            <w:vAlign w:val="center"/>
          </w:tcPr>
          <w:p w14:paraId="0943073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0.356</w:t>
            </w:r>
          </w:p>
        </w:tc>
        <w:tc>
          <w:tcPr>
            <w:tcW w:w="959" w:type="dxa"/>
            <w:vAlign w:val="center"/>
          </w:tcPr>
          <w:p w14:paraId="0943073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0.100</w:t>
            </w:r>
          </w:p>
        </w:tc>
        <w:tc>
          <w:tcPr>
            <w:tcW w:w="961" w:type="dxa"/>
            <w:vAlign w:val="center"/>
          </w:tcPr>
          <w:p w14:paraId="0943073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0.125</w:t>
            </w:r>
          </w:p>
        </w:tc>
        <w:tc>
          <w:tcPr>
            <w:tcW w:w="959" w:type="dxa"/>
            <w:vAlign w:val="center"/>
          </w:tcPr>
          <w:p w14:paraId="0943074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0.426</w:t>
            </w:r>
          </w:p>
        </w:tc>
        <w:tc>
          <w:tcPr>
            <w:tcW w:w="961" w:type="dxa"/>
            <w:shd w:val="clear" w:color="auto" w:fill="auto"/>
            <w:vAlign w:val="center"/>
          </w:tcPr>
          <w:p w14:paraId="0943074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0.120</w:t>
            </w:r>
          </w:p>
        </w:tc>
        <w:tc>
          <w:tcPr>
            <w:tcW w:w="959" w:type="dxa"/>
            <w:shd w:val="clear" w:color="auto" w:fill="auto"/>
            <w:vAlign w:val="center"/>
          </w:tcPr>
          <w:p w14:paraId="0943074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0.109</w:t>
            </w:r>
          </w:p>
        </w:tc>
        <w:tc>
          <w:tcPr>
            <w:tcW w:w="961" w:type="dxa"/>
            <w:shd w:val="clear" w:color="auto" w:fill="auto"/>
            <w:vAlign w:val="center"/>
          </w:tcPr>
          <w:p w14:paraId="0943074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0.124</w:t>
            </w:r>
          </w:p>
        </w:tc>
        <w:tc>
          <w:tcPr>
            <w:tcW w:w="959" w:type="dxa"/>
            <w:shd w:val="clear" w:color="auto" w:fill="auto"/>
            <w:vAlign w:val="center"/>
          </w:tcPr>
          <w:p w14:paraId="0943074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0.381</w:t>
            </w:r>
          </w:p>
        </w:tc>
      </w:tr>
      <w:tr w:rsidR="00FE3F56" w:rsidRPr="00FE3F56" w14:paraId="09430753" w14:textId="77777777" w:rsidTr="00AF7503">
        <w:trPr>
          <w:trHeight w:val="290"/>
        </w:trPr>
        <w:tc>
          <w:tcPr>
            <w:tcW w:w="3261" w:type="dxa"/>
            <w:shd w:val="clear" w:color="auto" w:fill="auto"/>
          </w:tcPr>
          <w:p w14:paraId="09430746" w14:textId="0C4D7EC0"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 education highest level attained: higher secondary education</w:t>
            </w:r>
          </w:p>
        </w:tc>
        <w:tc>
          <w:tcPr>
            <w:tcW w:w="961" w:type="dxa"/>
            <w:shd w:val="clear" w:color="auto" w:fill="auto"/>
            <w:vAlign w:val="center"/>
          </w:tcPr>
          <w:p w14:paraId="0943074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0.027</w:t>
            </w:r>
          </w:p>
        </w:tc>
        <w:tc>
          <w:tcPr>
            <w:tcW w:w="959" w:type="dxa"/>
            <w:shd w:val="clear" w:color="auto" w:fill="auto"/>
            <w:vAlign w:val="center"/>
          </w:tcPr>
          <w:p w14:paraId="0943074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0.142</w:t>
            </w:r>
          </w:p>
        </w:tc>
        <w:tc>
          <w:tcPr>
            <w:tcW w:w="961" w:type="dxa"/>
            <w:vAlign w:val="center"/>
          </w:tcPr>
          <w:p w14:paraId="0943074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-0.031</w:t>
            </w:r>
          </w:p>
        </w:tc>
        <w:tc>
          <w:tcPr>
            <w:tcW w:w="959" w:type="dxa"/>
            <w:vAlign w:val="center"/>
          </w:tcPr>
          <w:p w14:paraId="0943074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0.143</w:t>
            </w:r>
          </w:p>
        </w:tc>
        <w:tc>
          <w:tcPr>
            <w:tcW w:w="961" w:type="dxa"/>
            <w:vAlign w:val="center"/>
          </w:tcPr>
          <w:p w14:paraId="0943074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0.825</w:t>
            </w:r>
          </w:p>
        </w:tc>
        <w:tc>
          <w:tcPr>
            <w:tcW w:w="959" w:type="dxa"/>
            <w:vAlign w:val="center"/>
          </w:tcPr>
          <w:p w14:paraId="0943074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-0.034</w:t>
            </w:r>
          </w:p>
        </w:tc>
        <w:tc>
          <w:tcPr>
            <w:tcW w:w="961" w:type="dxa"/>
            <w:vAlign w:val="center"/>
          </w:tcPr>
          <w:p w14:paraId="0943074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0.143</w:t>
            </w:r>
          </w:p>
        </w:tc>
        <w:tc>
          <w:tcPr>
            <w:tcW w:w="959" w:type="dxa"/>
            <w:vAlign w:val="center"/>
          </w:tcPr>
          <w:p w14:paraId="0943074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0.810</w:t>
            </w:r>
          </w:p>
        </w:tc>
        <w:tc>
          <w:tcPr>
            <w:tcW w:w="961" w:type="dxa"/>
            <w:shd w:val="clear" w:color="auto" w:fill="auto"/>
            <w:vAlign w:val="center"/>
          </w:tcPr>
          <w:p w14:paraId="0943074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0.850</w:t>
            </w:r>
          </w:p>
        </w:tc>
        <w:tc>
          <w:tcPr>
            <w:tcW w:w="959" w:type="dxa"/>
            <w:shd w:val="clear" w:color="auto" w:fill="auto"/>
            <w:vAlign w:val="center"/>
          </w:tcPr>
          <w:p w14:paraId="0943075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-0.032</w:t>
            </w:r>
          </w:p>
        </w:tc>
        <w:tc>
          <w:tcPr>
            <w:tcW w:w="961" w:type="dxa"/>
            <w:shd w:val="clear" w:color="auto" w:fill="auto"/>
            <w:vAlign w:val="center"/>
          </w:tcPr>
          <w:p w14:paraId="0943075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0.142</w:t>
            </w:r>
          </w:p>
        </w:tc>
        <w:tc>
          <w:tcPr>
            <w:tcW w:w="959" w:type="dxa"/>
            <w:shd w:val="clear" w:color="auto" w:fill="auto"/>
            <w:vAlign w:val="center"/>
          </w:tcPr>
          <w:p w14:paraId="0943075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0.822</w:t>
            </w:r>
          </w:p>
        </w:tc>
      </w:tr>
      <w:tr w:rsidR="00FE3F56" w:rsidRPr="00FE3F56" w14:paraId="09430761" w14:textId="77777777" w:rsidTr="00AF7503">
        <w:trPr>
          <w:trHeight w:val="290"/>
        </w:trPr>
        <w:tc>
          <w:tcPr>
            <w:tcW w:w="3261" w:type="dxa"/>
            <w:shd w:val="clear" w:color="auto" w:fill="auto"/>
          </w:tcPr>
          <w:p w14:paraId="09430754" w14:textId="0200257D"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lastRenderedPageBreak/>
              <w:t>Parent education highest level attained: higher vocational education</w:t>
            </w:r>
          </w:p>
        </w:tc>
        <w:tc>
          <w:tcPr>
            <w:tcW w:w="961" w:type="dxa"/>
            <w:shd w:val="clear" w:color="auto" w:fill="auto"/>
            <w:vAlign w:val="center"/>
          </w:tcPr>
          <w:p w14:paraId="0943075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0.157</w:t>
            </w:r>
          </w:p>
        </w:tc>
        <w:tc>
          <w:tcPr>
            <w:tcW w:w="959" w:type="dxa"/>
            <w:shd w:val="clear" w:color="auto" w:fill="auto"/>
            <w:vAlign w:val="center"/>
          </w:tcPr>
          <w:p w14:paraId="0943075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0.117</w:t>
            </w:r>
          </w:p>
        </w:tc>
        <w:tc>
          <w:tcPr>
            <w:tcW w:w="961" w:type="dxa"/>
            <w:vAlign w:val="center"/>
          </w:tcPr>
          <w:p w14:paraId="0943075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0.122</w:t>
            </w:r>
          </w:p>
        </w:tc>
        <w:tc>
          <w:tcPr>
            <w:tcW w:w="959" w:type="dxa"/>
            <w:vAlign w:val="center"/>
          </w:tcPr>
          <w:p w14:paraId="0943075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0.118</w:t>
            </w:r>
          </w:p>
        </w:tc>
        <w:tc>
          <w:tcPr>
            <w:tcW w:w="961" w:type="dxa"/>
            <w:vAlign w:val="center"/>
          </w:tcPr>
          <w:p w14:paraId="0943075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0.303</w:t>
            </w:r>
          </w:p>
        </w:tc>
        <w:tc>
          <w:tcPr>
            <w:tcW w:w="959" w:type="dxa"/>
            <w:vAlign w:val="center"/>
          </w:tcPr>
          <w:p w14:paraId="0943075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0.112</w:t>
            </w:r>
          </w:p>
        </w:tc>
        <w:tc>
          <w:tcPr>
            <w:tcW w:w="961" w:type="dxa"/>
            <w:vAlign w:val="center"/>
          </w:tcPr>
          <w:p w14:paraId="0943075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0.119</w:t>
            </w:r>
          </w:p>
        </w:tc>
        <w:tc>
          <w:tcPr>
            <w:tcW w:w="959" w:type="dxa"/>
            <w:vAlign w:val="center"/>
          </w:tcPr>
          <w:p w14:paraId="0943075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0.347</w:t>
            </w:r>
          </w:p>
        </w:tc>
        <w:tc>
          <w:tcPr>
            <w:tcW w:w="961" w:type="dxa"/>
            <w:shd w:val="clear" w:color="auto" w:fill="auto"/>
            <w:vAlign w:val="center"/>
          </w:tcPr>
          <w:p w14:paraId="0943075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0.182</w:t>
            </w:r>
          </w:p>
        </w:tc>
        <w:tc>
          <w:tcPr>
            <w:tcW w:w="959" w:type="dxa"/>
            <w:shd w:val="clear" w:color="auto" w:fill="auto"/>
            <w:vAlign w:val="center"/>
          </w:tcPr>
          <w:p w14:paraId="0943075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0.116</w:t>
            </w:r>
          </w:p>
        </w:tc>
        <w:tc>
          <w:tcPr>
            <w:tcW w:w="961" w:type="dxa"/>
            <w:shd w:val="clear" w:color="auto" w:fill="auto"/>
            <w:vAlign w:val="center"/>
          </w:tcPr>
          <w:p w14:paraId="0943075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0.118</w:t>
            </w:r>
          </w:p>
        </w:tc>
        <w:tc>
          <w:tcPr>
            <w:tcW w:w="959" w:type="dxa"/>
            <w:shd w:val="clear" w:color="auto" w:fill="auto"/>
            <w:vAlign w:val="center"/>
          </w:tcPr>
          <w:p w14:paraId="0943076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0.324</w:t>
            </w:r>
          </w:p>
        </w:tc>
      </w:tr>
      <w:tr w:rsidR="00FE3F56" w:rsidRPr="00FE3F56" w14:paraId="0943076F" w14:textId="77777777" w:rsidTr="00AF7503">
        <w:trPr>
          <w:trHeight w:val="290"/>
        </w:trPr>
        <w:tc>
          <w:tcPr>
            <w:tcW w:w="3261" w:type="dxa"/>
            <w:shd w:val="clear" w:color="auto" w:fill="auto"/>
          </w:tcPr>
          <w:p w14:paraId="09430762" w14:textId="670E6824"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 is in paid employment</w:t>
            </w:r>
          </w:p>
        </w:tc>
        <w:tc>
          <w:tcPr>
            <w:tcW w:w="961" w:type="dxa"/>
            <w:shd w:val="clear" w:color="auto" w:fill="auto"/>
            <w:vAlign w:val="center"/>
          </w:tcPr>
          <w:p w14:paraId="0943076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-0.095</w:t>
            </w:r>
          </w:p>
        </w:tc>
        <w:tc>
          <w:tcPr>
            <w:tcW w:w="959" w:type="dxa"/>
            <w:shd w:val="clear" w:color="auto" w:fill="auto"/>
            <w:vAlign w:val="center"/>
          </w:tcPr>
          <w:p w14:paraId="0943076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0.170</w:t>
            </w:r>
          </w:p>
        </w:tc>
        <w:tc>
          <w:tcPr>
            <w:tcW w:w="961" w:type="dxa"/>
            <w:vAlign w:val="center"/>
          </w:tcPr>
          <w:p w14:paraId="09430765"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0.097</w:t>
            </w:r>
          </w:p>
        </w:tc>
        <w:tc>
          <w:tcPr>
            <w:tcW w:w="959" w:type="dxa"/>
            <w:vAlign w:val="center"/>
          </w:tcPr>
          <w:p w14:paraId="09430766"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0.067</w:t>
            </w:r>
          </w:p>
        </w:tc>
        <w:tc>
          <w:tcPr>
            <w:tcW w:w="961" w:type="dxa"/>
            <w:vAlign w:val="center"/>
          </w:tcPr>
          <w:p w14:paraId="0943076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0.143</w:t>
            </w:r>
          </w:p>
        </w:tc>
        <w:tc>
          <w:tcPr>
            <w:tcW w:w="959" w:type="dxa"/>
            <w:vAlign w:val="center"/>
          </w:tcPr>
          <w:p w14:paraId="0943076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0.071</w:t>
            </w:r>
          </w:p>
        </w:tc>
        <w:tc>
          <w:tcPr>
            <w:tcW w:w="961" w:type="dxa"/>
            <w:vAlign w:val="center"/>
          </w:tcPr>
          <w:p w14:paraId="0943076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0.067</w:t>
            </w:r>
          </w:p>
        </w:tc>
        <w:tc>
          <w:tcPr>
            <w:tcW w:w="959" w:type="dxa"/>
            <w:vAlign w:val="center"/>
          </w:tcPr>
          <w:p w14:paraId="0943076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0.288</w:t>
            </w:r>
          </w:p>
        </w:tc>
        <w:tc>
          <w:tcPr>
            <w:tcW w:w="961" w:type="dxa"/>
            <w:shd w:val="clear" w:color="auto" w:fill="auto"/>
            <w:vAlign w:val="center"/>
          </w:tcPr>
          <w:p w14:paraId="0943076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0.575</w:t>
            </w:r>
          </w:p>
        </w:tc>
        <w:tc>
          <w:tcPr>
            <w:tcW w:w="959" w:type="dxa"/>
            <w:shd w:val="clear" w:color="auto" w:fill="auto"/>
            <w:vAlign w:val="center"/>
          </w:tcPr>
          <w:p w14:paraId="0943076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0.102</w:t>
            </w:r>
          </w:p>
        </w:tc>
        <w:tc>
          <w:tcPr>
            <w:tcW w:w="961" w:type="dxa"/>
            <w:shd w:val="clear" w:color="auto" w:fill="auto"/>
            <w:vAlign w:val="center"/>
          </w:tcPr>
          <w:p w14:paraId="0943076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0.066</w:t>
            </w:r>
          </w:p>
        </w:tc>
        <w:tc>
          <w:tcPr>
            <w:tcW w:w="959" w:type="dxa"/>
            <w:shd w:val="clear" w:color="auto" w:fill="auto"/>
            <w:vAlign w:val="center"/>
          </w:tcPr>
          <w:p w14:paraId="0943076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0.123</w:t>
            </w:r>
          </w:p>
        </w:tc>
      </w:tr>
      <w:tr w:rsidR="00FE3F56" w:rsidRPr="00FE3F56" w14:paraId="0943077D" w14:textId="77777777" w:rsidTr="00AF7503">
        <w:trPr>
          <w:trHeight w:val="290"/>
        </w:trPr>
        <w:tc>
          <w:tcPr>
            <w:tcW w:w="3261" w:type="dxa"/>
            <w:shd w:val="clear" w:color="auto" w:fill="auto"/>
          </w:tcPr>
          <w:p w14:paraId="09430770" w14:textId="4B6413CF"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Net monthly income of the parent &gt; €3,000.00</w:t>
            </w:r>
          </w:p>
        </w:tc>
        <w:tc>
          <w:tcPr>
            <w:tcW w:w="961" w:type="dxa"/>
            <w:shd w:val="clear" w:color="auto" w:fill="auto"/>
            <w:vAlign w:val="center"/>
          </w:tcPr>
          <w:p w14:paraId="09430771"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72"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73"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74"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75"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76"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77"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78"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779"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7A"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77B"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7C" w14:textId="77777777" w:rsidR="00901C90" w:rsidRPr="00FE3F56" w:rsidRDefault="00901C90">
            <w:pPr>
              <w:widowControl w:val="0"/>
              <w:spacing w:after="0" w:line="240" w:lineRule="auto"/>
              <w:jc w:val="center"/>
              <w:rPr>
                <w:rFonts w:eastAsia="Times New Roman" w:cs="Times New Roman"/>
                <w:color w:val="000000" w:themeColor="text1"/>
                <w:lang w:val="en-GB"/>
              </w:rPr>
            </w:pPr>
          </w:p>
        </w:tc>
      </w:tr>
      <w:tr w:rsidR="00FE3F56" w:rsidRPr="00FE3F56" w14:paraId="0943078B" w14:textId="77777777" w:rsidTr="00AF7503">
        <w:trPr>
          <w:trHeight w:val="290"/>
        </w:trPr>
        <w:tc>
          <w:tcPr>
            <w:tcW w:w="3261" w:type="dxa"/>
            <w:shd w:val="clear" w:color="auto" w:fill="auto"/>
          </w:tcPr>
          <w:p w14:paraId="0943077E" w14:textId="3F6FCB42"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Net monthly income of the parent: less than €500.00</w:t>
            </w:r>
          </w:p>
        </w:tc>
        <w:tc>
          <w:tcPr>
            <w:tcW w:w="961" w:type="dxa"/>
            <w:shd w:val="clear" w:color="auto" w:fill="auto"/>
            <w:vAlign w:val="center"/>
          </w:tcPr>
          <w:p w14:paraId="0943077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0.098</w:t>
            </w:r>
          </w:p>
        </w:tc>
        <w:tc>
          <w:tcPr>
            <w:tcW w:w="959" w:type="dxa"/>
            <w:shd w:val="clear" w:color="auto" w:fill="auto"/>
            <w:vAlign w:val="center"/>
          </w:tcPr>
          <w:p w14:paraId="0943078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0.139</w:t>
            </w:r>
          </w:p>
        </w:tc>
        <w:tc>
          <w:tcPr>
            <w:tcW w:w="961" w:type="dxa"/>
            <w:vAlign w:val="center"/>
          </w:tcPr>
          <w:p w14:paraId="0943078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0.068</w:t>
            </w:r>
          </w:p>
        </w:tc>
        <w:tc>
          <w:tcPr>
            <w:tcW w:w="959" w:type="dxa"/>
            <w:vAlign w:val="center"/>
          </w:tcPr>
          <w:p w14:paraId="0943078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0.139</w:t>
            </w:r>
          </w:p>
        </w:tc>
        <w:tc>
          <w:tcPr>
            <w:tcW w:w="961" w:type="dxa"/>
            <w:vAlign w:val="center"/>
          </w:tcPr>
          <w:p w14:paraId="09430783"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0.626</w:t>
            </w:r>
          </w:p>
        </w:tc>
        <w:tc>
          <w:tcPr>
            <w:tcW w:w="959" w:type="dxa"/>
            <w:vAlign w:val="center"/>
          </w:tcPr>
          <w:p w14:paraId="09430784"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0.060</w:t>
            </w:r>
          </w:p>
        </w:tc>
        <w:tc>
          <w:tcPr>
            <w:tcW w:w="961" w:type="dxa"/>
            <w:vAlign w:val="center"/>
          </w:tcPr>
          <w:p w14:paraId="09430785"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0.140</w:t>
            </w:r>
          </w:p>
        </w:tc>
        <w:tc>
          <w:tcPr>
            <w:tcW w:w="959" w:type="dxa"/>
            <w:vAlign w:val="center"/>
          </w:tcPr>
          <w:p w14:paraId="09430786"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0.669</w:t>
            </w:r>
          </w:p>
        </w:tc>
        <w:tc>
          <w:tcPr>
            <w:tcW w:w="961" w:type="dxa"/>
            <w:shd w:val="clear" w:color="auto" w:fill="auto"/>
            <w:vAlign w:val="center"/>
          </w:tcPr>
          <w:p w14:paraId="0943078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0.479</w:t>
            </w:r>
          </w:p>
        </w:tc>
        <w:tc>
          <w:tcPr>
            <w:tcW w:w="959" w:type="dxa"/>
            <w:shd w:val="clear" w:color="auto" w:fill="auto"/>
            <w:vAlign w:val="center"/>
          </w:tcPr>
          <w:p w14:paraId="0943078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0.067</w:t>
            </w:r>
          </w:p>
        </w:tc>
        <w:tc>
          <w:tcPr>
            <w:tcW w:w="961" w:type="dxa"/>
            <w:shd w:val="clear" w:color="auto" w:fill="auto"/>
            <w:vAlign w:val="center"/>
          </w:tcPr>
          <w:p w14:paraId="0943078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0.139</w:t>
            </w:r>
          </w:p>
        </w:tc>
        <w:tc>
          <w:tcPr>
            <w:tcW w:w="959" w:type="dxa"/>
            <w:shd w:val="clear" w:color="auto" w:fill="auto"/>
            <w:vAlign w:val="center"/>
          </w:tcPr>
          <w:p w14:paraId="0943078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0.632</w:t>
            </w:r>
          </w:p>
        </w:tc>
      </w:tr>
      <w:tr w:rsidR="00FE3F56" w:rsidRPr="00FE3F56" w14:paraId="09430799" w14:textId="77777777" w:rsidTr="00AF7503">
        <w:trPr>
          <w:trHeight w:val="290"/>
        </w:trPr>
        <w:tc>
          <w:tcPr>
            <w:tcW w:w="3261" w:type="dxa"/>
            <w:shd w:val="clear" w:color="auto" w:fill="auto"/>
          </w:tcPr>
          <w:p w14:paraId="0943078C" w14:textId="2113793A"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 xml:space="preserve">Net </w:t>
            </w:r>
            <w:r w:rsidR="00A34875" w:rsidRPr="00FE3F56">
              <w:rPr>
                <w:rFonts w:eastAsia="Times New Roman" w:cs="Times New Roman"/>
                <w:color w:val="000000" w:themeColor="text1"/>
                <w:lang w:val="en-GB"/>
              </w:rPr>
              <w:t>monthly income of the parent: €501.00 - €1,000.00</w:t>
            </w:r>
          </w:p>
        </w:tc>
        <w:tc>
          <w:tcPr>
            <w:tcW w:w="961" w:type="dxa"/>
            <w:shd w:val="clear" w:color="auto" w:fill="auto"/>
            <w:vAlign w:val="center"/>
          </w:tcPr>
          <w:p w14:paraId="0943078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0.101</w:t>
            </w:r>
          </w:p>
        </w:tc>
        <w:tc>
          <w:tcPr>
            <w:tcW w:w="959" w:type="dxa"/>
            <w:shd w:val="clear" w:color="auto" w:fill="auto"/>
            <w:vAlign w:val="center"/>
          </w:tcPr>
          <w:p w14:paraId="0943078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0.125</w:t>
            </w:r>
          </w:p>
        </w:tc>
        <w:tc>
          <w:tcPr>
            <w:tcW w:w="961" w:type="dxa"/>
            <w:vAlign w:val="center"/>
          </w:tcPr>
          <w:p w14:paraId="0943078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0.073</w:t>
            </w:r>
          </w:p>
        </w:tc>
        <w:tc>
          <w:tcPr>
            <w:tcW w:w="959" w:type="dxa"/>
            <w:vAlign w:val="center"/>
          </w:tcPr>
          <w:p w14:paraId="0943079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0.125</w:t>
            </w:r>
          </w:p>
        </w:tc>
        <w:tc>
          <w:tcPr>
            <w:tcW w:w="961" w:type="dxa"/>
            <w:vAlign w:val="center"/>
          </w:tcPr>
          <w:p w14:paraId="0943079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0.561</w:t>
            </w:r>
          </w:p>
        </w:tc>
        <w:tc>
          <w:tcPr>
            <w:tcW w:w="959" w:type="dxa"/>
            <w:vAlign w:val="center"/>
          </w:tcPr>
          <w:p w14:paraId="0943079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0.084</w:t>
            </w:r>
          </w:p>
        </w:tc>
        <w:tc>
          <w:tcPr>
            <w:tcW w:w="961" w:type="dxa"/>
            <w:vAlign w:val="center"/>
          </w:tcPr>
          <w:p w14:paraId="09430793"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0.125</w:t>
            </w:r>
          </w:p>
        </w:tc>
        <w:tc>
          <w:tcPr>
            <w:tcW w:w="959" w:type="dxa"/>
            <w:vAlign w:val="center"/>
          </w:tcPr>
          <w:p w14:paraId="09430794"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0.506</w:t>
            </w:r>
          </w:p>
        </w:tc>
        <w:tc>
          <w:tcPr>
            <w:tcW w:w="961" w:type="dxa"/>
            <w:shd w:val="clear" w:color="auto" w:fill="auto"/>
            <w:vAlign w:val="center"/>
          </w:tcPr>
          <w:p w14:paraId="0943079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0.415</w:t>
            </w:r>
          </w:p>
        </w:tc>
        <w:tc>
          <w:tcPr>
            <w:tcW w:w="959" w:type="dxa"/>
            <w:shd w:val="clear" w:color="auto" w:fill="auto"/>
            <w:vAlign w:val="center"/>
          </w:tcPr>
          <w:p w14:paraId="0943079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0.069</w:t>
            </w:r>
          </w:p>
        </w:tc>
        <w:tc>
          <w:tcPr>
            <w:tcW w:w="961" w:type="dxa"/>
            <w:shd w:val="clear" w:color="auto" w:fill="auto"/>
            <w:vAlign w:val="center"/>
          </w:tcPr>
          <w:p w14:paraId="0943079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0.125</w:t>
            </w:r>
          </w:p>
        </w:tc>
        <w:tc>
          <w:tcPr>
            <w:tcW w:w="959" w:type="dxa"/>
            <w:shd w:val="clear" w:color="auto" w:fill="auto"/>
            <w:vAlign w:val="center"/>
          </w:tcPr>
          <w:p w14:paraId="0943079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0.582</w:t>
            </w:r>
          </w:p>
        </w:tc>
      </w:tr>
      <w:tr w:rsidR="00FE3F56" w:rsidRPr="00FE3F56" w14:paraId="094307A7" w14:textId="77777777" w:rsidTr="00AF7503">
        <w:trPr>
          <w:trHeight w:val="290"/>
        </w:trPr>
        <w:tc>
          <w:tcPr>
            <w:tcW w:w="3261" w:type="dxa"/>
            <w:shd w:val="clear" w:color="auto" w:fill="auto"/>
          </w:tcPr>
          <w:p w14:paraId="0943079A" w14:textId="40B126C3"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Net monthly income of the parent: €1,001.00 - €1,500.00</w:t>
            </w:r>
          </w:p>
        </w:tc>
        <w:tc>
          <w:tcPr>
            <w:tcW w:w="961" w:type="dxa"/>
            <w:shd w:val="clear" w:color="auto" w:fill="auto"/>
            <w:vAlign w:val="center"/>
          </w:tcPr>
          <w:p w14:paraId="0943079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-0.016</w:t>
            </w:r>
          </w:p>
        </w:tc>
        <w:tc>
          <w:tcPr>
            <w:tcW w:w="959" w:type="dxa"/>
            <w:shd w:val="clear" w:color="auto" w:fill="auto"/>
            <w:vAlign w:val="center"/>
          </w:tcPr>
          <w:p w14:paraId="0943079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0.112</w:t>
            </w:r>
          </w:p>
        </w:tc>
        <w:tc>
          <w:tcPr>
            <w:tcW w:w="961" w:type="dxa"/>
            <w:vAlign w:val="center"/>
          </w:tcPr>
          <w:p w14:paraId="0943079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-0.031</w:t>
            </w:r>
          </w:p>
        </w:tc>
        <w:tc>
          <w:tcPr>
            <w:tcW w:w="959" w:type="dxa"/>
            <w:vAlign w:val="center"/>
          </w:tcPr>
          <w:p w14:paraId="0943079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0.113</w:t>
            </w:r>
          </w:p>
        </w:tc>
        <w:tc>
          <w:tcPr>
            <w:tcW w:w="961" w:type="dxa"/>
            <w:vAlign w:val="center"/>
          </w:tcPr>
          <w:p w14:paraId="0943079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0.780</w:t>
            </w:r>
          </w:p>
        </w:tc>
        <w:tc>
          <w:tcPr>
            <w:tcW w:w="959" w:type="dxa"/>
            <w:vAlign w:val="center"/>
          </w:tcPr>
          <w:p w14:paraId="094307A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-0.033</w:t>
            </w:r>
          </w:p>
        </w:tc>
        <w:tc>
          <w:tcPr>
            <w:tcW w:w="961" w:type="dxa"/>
            <w:vAlign w:val="center"/>
          </w:tcPr>
          <w:p w14:paraId="094307A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0.113</w:t>
            </w:r>
          </w:p>
        </w:tc>
        <w:tc>
          <w:tcPr>
            <w:tcW w:w="959" w:type="dxa"/>
            <w:vAlign w:val="center"/>
          </w:tcPr>
          <w:p w14:paraId="094307A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0.768</w:t>
            </w:r>
          </w:p>
        </w:tc>
        <w:tc>
          <w:tcPr>
            <w:tcW w:w="961" w:type="dxa"/>
            <w:shd w:val="clear" w:color="auto" w:fill="auto"/>
            <w:vAlign w:val="center"/>
          </w:tcPr>
          <w:p w14:paraId="094307A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0.888</w:t>
            </w:r>
          </w:p>
        </w:tc>
        <w:tc>
          <w:tcPr>
            <w:tcW w:w="959" w:type="dxa"/>
            <w:shd w:val="clear" w:color="auto" w:fill="auto"/>
            <w:vAlign w:val="center"/>
          </w:tcPr>
          <w:p w14:paraId="094307A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-0.040</w:t>
            </w:r>
          </w:p>
        </w:tc>
        <w:tc>
          <w:tcPr>
            <w:tcW w:w="961" w:type="dxa"/>
            <w:shd w:val="clear" w:color="auto" w:fill="auto"/>
            <w:vAlign w:val="center"/>
          </w:tcPr>
          <w:p w14:paraId="094307A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0.112</w:t>
            </w:r>
          </w:p>
        </w:tc>
        <w:tc>
          <w:tcPr>
            <w:tcW w:w="959" w:type="dxa"/>
            <w:shd w:val="clear" w:color="auto" w:fill="auto"/>
            <w:vAlign w:val="center"/>
          </w:tcPr>
          <w:p w14:paraId="094307A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0.721</w:t>
            </w:r>
          </w:p>
        </w:tc>
      </w:tr>
      <w:tr w:rsidR="00FE3F56" w:rsidRPr="00FE3F56" w14:paraId="094307B5" w14:textId="77777777" w:rsidTr="00AF7503">
        <w:trPr>
          <w:trHeight w:val="290"/>
        </w:trPr>
        <w:tc>
          <w:tcPr>
            <w:tcW w:w="3261" w:type="dxa"/>
            <w:shd w:val="clear" w:color="auto" w:fill="auto"/>
          </w:tcPr>
          <w:p w14:paraId="094307A8" w14:textId="24D34C50"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Net monthly income of the parent: €1,501.00 - €2,000.00</w:t>
            </w:r>
          </w:p>
        </w:tc>
        <w:tc>
          <w:tcPr>
            <w:tcW w:w="961" w:type="dxa"/>
            <w:shd w:val="clear" w:color="auto" w:fill="auto"/>
            <w:vAlign w:val="center"/>
          </w:tcPr>
          <w:p w14:paraId="094307A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-0.007</w:t>
            </w:r>
          </w:p>
        </w:tc>
        <w:tc>
          <w:tcPr>
            <w:tcW w:w="959" w:type="dxa"/>
            <w:shd w:val="clear" w:color="auto" w:fill="auto"/>
            <w:vAlign w:val="center"/>
          </w:tcPr>
          <w:p w14:paraId="094307A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0.100</w:t>
            </w:r>
          </w:p>
        </w:tc>
        <w:tc>
          <w:tcPr>
            <w:tcW w:w="961" w:type="dxa"/>
            <w:vAlign w:val="center"/>
          </w:tcPr>
          <w:p w14:paraId="094307A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-0.031</w:t>
            </w:r>
          </w:p>
        </w:tc>
        <w:tc>
          <w:tcPr>
            <w:tcW w:w="959" w:type="dxa"/>
            <w:vAlign w:val="center"/>
          </w:tcPr>
          <w:p w14:paraId="094307A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0.101</w:t>
            </w:r>
          </w:p>
        </w:tc>
        <w:tc>
          <w:tcPr>
            <w:tcW w:w="961" w:type="dxa"/>
            <w:vAlign w:val="center"/>
          </w:tcPr>
          <w:p w14:paraId="094307A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0.761</w:t>
            </w:r>
          </w:p>
        </w:tc>
        <w:tc>
          <w:tcPr>
            <w:tcW w:w="959" w:type="dxa"/>
            <w:vAlign w:val="center"/>
          </w:tcPr>
          <w:p w14:paraId="094307A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-0.031</w:t>
            </w:r>
          </w:p>
        </w:tc>
        <w:tc>
          <w:tcPr>
            <w:tcW w:w="961" w:type="dxa"/>
            <w:vAlign w:val="center"/>
          </w:tcPr>
          <w:p w14:paraId="094307A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0.101</w:t>
            </w:r>
          </w:p>
        </w:tc>
        <w:tc>
          <w:tcPr>
            <w:tcW w:w="959" w:type="dxa"/>
            <w:vAlign w:val="center"/>
          </w:tcPr>
          <w:p w14:paraId="094307B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0.759</w:t>
            </w:r>
          </w:p>
        </w:tc>
        <w:tc>
          <w:tcPr>
            <w:tcW w:w="961" w:type="dxa"/>
            <w:shd w:val="clear" w:color="auto" w:fill="auto"/>
            <w:vAlign w:val="center"/>
          </w:tcPr>
          <w:p w14:paraId="094307B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0.942</w:t>
            </w:r>
          </w:p>
        </w:tc>
        <w:tc>
          <w:tcPr>
            <w:tcW w:w="959" w:type="dxa"/>
            <w:shd w:val="clear" w:color="auto" w:fill="auto"/>
            <w:vAlign w:val="center"/>
          </w:tcPr>
          <w:p w14:paraId="094307B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-0.024</w:t>
            </w:r>
          </w:p>
        </w:tc>
        <w:tc>
          <w:tcPr>
            <w:tcW w:w="961" w:type="dxa"/>
            <w:shd w:val="clear" w:color="auto" w:fill="auto"/>
            <w:vAlign w:val="center"/>
          </w:tcPr>
          <w:p w14:paraId="094307B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0.100</w:t>
            </w:r>
          </w:p>
        </w:tc>
        <w:tc>
          <w:tcPr>
            <w:tcW w:w="959" w:type="dxa"/>
            <w:shd w:val="clear" w:color="auto" w:fill="auto"/>
            <w:vAlign w:val="center"/>
          </w:tcPr>
          <w:p w14:paraId="094307B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0.808</w:t>
            </w:r>
          </w:p>
        </w:tc>
      </w:tr>
      <w:tr w:rsidR="00FE3F56" w:rsidRPr="00FE3F56" w14:paraId="094307C3" w14:textId="77777777" w:rsidTr="00AF7503">
        <w:trPr>
          <w:trHeight w:val="290"/>
        </w:trPr>
        <w:tc>
          <w:tcPr>
            <w:tcW w:w="3261" w:type="dxa"/>
            <w:shd w:val="clear" w:color="auto" w:fill="auto"/>
          </w:tcPr>
          <w:p w14:paraId="094307B6" w14:textId="3C80C1AE"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Net monthly income of the parent: €2,001.00 - €2,500.00</w:t>
            </w:r>
          </w:p>
        </w:tc>
        <w:tc>
          <w:tcPr>
            <w:tcW w:w="961" w:type="dxa"/>
            <w:shd w:val="clear" w:color="auto" w:fill="auto"/>
            <w:vAlign w:val="center"/>
          </w:tcPr>
          <w:p w14:paraId="094307B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-0.123</w:t>
            </w:r>
          </w:p>
        </w:tc>
        <w:tc>
          <w:tcPr>
            <w:tcW w:w="959" w:type="dxa"/>
            <w:shd w:val="clear" w:color="auto" w:fill="auto"/>
            <w:vAlign w:val="center"/>
          </w:tcPr>
          <w:p w14:paraId="094307B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0.101</w:t>
            </w:r>
          </w:p>
        </w:tc>
        <w:tc>
          <w:tcPr>
            <w:tcW w:w="961" w:type="dxa"/>
            <w:vAlign w:val="center"/>
          </w:tcPr>
          <w:p w14:paraId="094307B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-0.143</w:t>
            </w:r>
          </w:p>
        </w:tc>
        <w:tc>
          <w:tcPr>
            <w:tcW w:w="959" w:type="dxa"/>
            <w:vAlign w:val="center"/>
          </w:tcPr>
          <w:p w14:paraId="094307B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0.101</w:t>
            </w:r>
          </w:p>
        </w:tc>
        <w:tc>
          <w:tcPr>
            <w:tcW w:w="961" w:type="dxa"/>
            <w:vAlign w:val="center"/>
          </w:tcPr>
          <w:p w14:paraId="094307B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0.158</w:t>
            </w:r>
          </w:p>
        </w:tc>
        <w:tc>
          <w:tcPr>
            <w:tcW w:w="959" w:type="dxa"/>
            <w:vAlign w:val="center"/>
          </w:tcPr>
          <w:p w14:paraId="094307B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-0.147</w:t>
            </w:r>
          </w:p>
        </w:tc>
        <w:tc>
          <w:tcPr>
            <w:tcW w:w="961" w:type="dxa"/>
            <w:vAlign w:val="center"/>
          </w:tcPr>
          <w:p w14:paraId="094307B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0.102</w:t>
            </w:r>
          </w:p>
        </w:tc>
        <w:tc>
          <w:tcPr>
            <w:tcW w:w="959" w:type="dxa"/>
            <w:vAlign w:val="center"/>
          </w:tcPr>
          <w:p w14:paraId="094307B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0.147</w:t>
            </w:r>
          </w:p>
        </w:tc>
        <w:tc>
          <w:tcPr>
            <w:tcW w:w="961" w:type="dxa"/>
            <w:shd w:val="clear" w:color="auto" w:fill="auto"/>
            <w:vAlign w:val="center"/>
          </w:tcPr>
          <w:p w14:paraId="094307B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0.222</w:t>
            </w:r>
          </w:p>
        </w:tc>
        <w:tc>
          <w:tcPr>
            <w:tcW w:w="959" w:type="dxa"/>
            <w:shd w:val="clear" w:color="auto" w:fill="auto"/>
            <w:vAlign w:val="center"/>
          </w:tcPr>
          <w:p w14:paraId="094307C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-0.135</w:t>
            </w:r>
          </w:p>
        </w:tc>
        <w:tc>
          <w:tcPr>
            <w:tcW w:w="961" w:type="dxa"/>
            <w:shd w:val="clear" w:color="auto" w:fill="auto"/>
            <w:vAlign w:val="center"/>
          </w:tcPr>
          <w:p w14:paraId="094307C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0.101</w:t>
            </w:r>
          </w:p>
        </w:tc>
        <w:tc>
          <w:tcPr>
            <w:tcW w:w="959" w:type="dxa"/>
            <w:shd w:val="clear" w:color="auto" w:fill="auto"/>
            <w:vAlign w:val="center"/>
          </w:tcPr>
          <w:p w14:paraId="094307C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0.180</w:t>
            </w:r>
          </w:p>
        </w:tc>
      </w:tr>
      <w:tr w:rsidR="00FE3F56" w:rsidRPr="00FE3F56" w14:paraId="094307D1" w14:textId="77777777" w:rsidTr="00AF7503">
        <w:trPr>
          <w:trHeight w:val="290"/>
        </w:trPr>
        <w:tc>
          <w:tcPr>
            <w:tcW w:w="3261" w:type="dxa"/>
            <w:shd w:val="clear" w:color="auto" w:fill="auto"/>
          </w:tcPr>
          <w:p w14:paraId="094307C4" w14:textId="4F9ED341"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Net monthly income of the parent: €2,501.00 - €3,000.00</w:t>
            </w:r>
          </w:p>
        </w:tc>
        <w:tc>
          <w:tcPr>
            <w:tcW w:w="961" w:type="dxa"/>
            <w:shd w:val="clear" w:color="auto" w:fill="auto"/>
            <w:vAlign w:val="center"/>
          </w:tcPr>
          <w:p w14:paraId="094307C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-0.084</w:t>
            </w:r>
          </w:p>
        </w:tc>
        <w:tc>
          <w:tcPr>
            <w:tcW w:w="959" w:type="dxa"/>
            <w:shd w:val="clear" w:color="auto" w:fill="auto"/>
            <w:vAlign w:val="center"/>
          </w:tcPr>
          <w:p w14:paraId="094307C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0.114</w:t>
            </w:r>
          </w:p>
        </w:tc>
        <w:tc>
          <w:tcPr>
            <w:tcW w:w="961" w:type="dxa"/>
            <w:vAlign w:val="center"/>
          </w:tcPr>
          <w:p w14:paraId="094307C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-0.102</w:t>
            </w:r>
          </w:p>
        </w:tc>
        <w:tc>
          <w:tcPr>
            <w:tcW w:w="959" w:type="dxa"/>
            <w:vAlign w:val="center"/>
          </w:tcPr>
          <w:p w14:paraId="094307C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0.114</w:t>
            </w:r>
          </w:p>
        </w:tc>
        <w:tc>
          <w:tcPr>
            <w:tcW w:w="961" w:type="dxa"/>
            <w:vAlign w:val="center"/>
          </w:tcPr>
          <w:p w14:paraId="094307C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0.373</w:t>
            </w:r>
          </w:p>
        </w:tc>
        <w:tc>
          <w:tcPr>
            <w:tcW w:w="959" w:type="dxa"/>
            <w:vAlign w:val="center"/>
          </w:tcPr>
          <w:p w14:paraId="094307C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-0.103</w:t>
            </w:r>
          </w:p>
        </w:tc>
        <w:tc>
          <w:tcPr>
            <w:tcW w:w="961" w:type="dxa"/>
            <w:vAlign w:val="center"/>
          </w:tcPr>
          <w:p w14:paraId="094307C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0.115</w:t>
            </w:r>
          </w:p>
        </w:tc>
        <w:tc>
          <w:tcPr>
            <w:tcW w:w="959" w:type="dxa"/>
            <w:vAlign w:val="center"/>
          </w:tcPr>
          <w:p w14:paraId="094307C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0.368</w:t>
            </w:r>
          </w:p>
        </w:tc>
        <w:tc>
          <w:tcPr>
            <w:tcW w:w="961" w:type="dxa"/>
            <w:shd w:val="clear" w:color="auto" w:fill="auto"/>
            <w:vAlign w:val="center"/>
          </w:tcPr>
          <w:p w14:paraId="094307C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0.460</w:t>
            </w:r>
          </w:p>
        </w:tc>
        <w:tc>
          <w:tcPr>
            <w:tcW w:w="959" w:type="dxa"/>
            <w:shd w:val="clear" w:color="auto" w:fill="auto"/>
            <w:vAlign w:val="center"/>
          </w:tcPr>
          <w:p w14:paraId="094307C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-0.096</w:t>
            </w:r>
          </w:p>
        </w:tc>
        <w:tc>
          <w:tcPr>
            <w:tcW w:w="961" w:type="dxa"/>
            <w:shd w:val="clear" w:color="auto" w:fill="auto"/>
            <w:vAlign w:val="center"/>
          </w:tcPr>
          <w:p w14:paraId="094307C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0.114</w:t>
            </w:r>
          </w:p>
        </w:tc>
        <w:tc>
          <w:tcPr>
            <w:tcW w:w="959" w:type="dxa"/>
            <w:shd w:val="clear" w:color="auto" w:fill="auto"/>
            <w:vAlign w:val="center"/>
          </w:tcPr>
          <w:p w14:paraId="094307D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0.399</w:t>
            </w:r>
          </w:p>
        </w:tc>
      </w:tr>
      <w:tr w:rsidR="00FE3F56" w:rsidRPr="00FE3F56" w14:paraId="094307DF" w14:textId="77777777" w:rsidTr="00AF7503">
        <w:trPr>
          <w:trHeight w:val="290"/>
        </w:trPr>
        <w:tc>
          <w:tcPr>
            <w:tcW w:w="3261" w:type="dxa"/>
            <w:shd w:val="clear" w:color="auto" w:fill="auto"/>
          </w:tcPr>
          <w:p w14:paraId="094307D2" w14:textId="7FBBF3DC"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If the parent is active as a volunteer in an organisation</w:t>
            </w:r>
          </w:p>
        </w:tc>
        <w:tc>
          <w:tcPr>
            <w:tcW w:w="961" w:type="dxa"/>
            <w:shd w:val="clear" w:color="auto" w:fill="auto"/>
            <w:vAlign w:val="center"/>
          </w:tcPr>
          <w:p w14:paraId="094307D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0.129</w:t>
            </w:r>
          </w:p>
        </w:tc>
        <w:tc>
          <w:tcPr>
            <w:tcW w:w="959" w:type="dxa"/>
            <w:shd w:val="clear" w:color="auto" w:fill="auto"/>
            <w:vAlign w:val="center"/>
          </w:tcPr>
          <w:p w14:paraId="094307D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0.049</w:t>
            </w:r>
          </w:p>
        </w:tc>
        <w:tc>
          <w:tcPr>
            <w:tcW w:w="961" w:type="dxa"/>
            <w:vAlign w:val="center"/>
          </w:tcPr>
          <w:p w14:paraId="094307D5"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0.128</w:t>
            </w:r>
          </w:p>
        </w:tc>
        <w:tc>
          <w:tcPr>
            <w:tcW w:w="959" w:type="dxa"/>
            <w:vAlign w:val="center"/>
          </w:tcPr>
          <w:p w14:paraId="094307D6"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0.050</w:t>
            </w:r>
          </w:p>
        </w:tc>
        <w:tc>
          <w:tcPr>
            <w:tcW w:w="961" w:type="dxa"/>
            <w:vAlign w:val="center"/>
          </w:tcPr>
          <w:p w14:paraId="094307D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0.010</w:t>
            </w:r>
          </w:p>
        </w:tc>
        <w:tc>
          <w:tcPr>
            <w:tcW w:w="959" w:type="dxa"/>
            <w:vAlign w:val="center"/>
          </w:tcPr>
          <w:p w14:paraId="094307D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0.131</w:t>
            </w:r>
          </w:p>
        </w:tc>
        <w:tc>
          <w:tcPr>
            <w:tcW w:w="961" w:type="dxa"/>
            <w:vAlign w:val="center"/>
          </w:tcPr>
          <w:p w14:paraId="094307D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0.050</w:t>
            </w:r>
          </w:p>
        </w:tc>
        <w:tc>
          <w:tcPr>
            <w:tcW w:w="959" w:type="dxa"/>
            <w:vAlign w:val="center"/>
          </w:tcPr>
          <w:p w14:paraId="094307D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0.009</w:t>
            </w:r>
          </w:p>
        </w:tc>
        <w:tc>
          <w:tcPr>
            <w:tcW w:w="961" w:type="dxa"/>
            <w:shd w:val="clear" w:color="auto" w:fill="auto"/>
            <w:vAlign w:val="center"/>
          </w:tcPr>
          <w:p w14:paraId="094307D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0.009</w:t>
            </w:r>
          </w:p>
        </w:tc>
        <w:tc>
          <w:tcPr>
            <w:tcW w:w="959" w:type="dxa"/>
            <w:shd w:val="clear" w:color="auto" w:fill="auto"/>
            <w:vAlign w:val="center"/>
          </w:tcPr>
          <w:p w14:paraId="094307D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0.124</w:t>
            </w:r>
          </w:p>
        </w:tc>
        <w:tc>
          <w:tcPr>
            <w:tcW w:w="961" w:type="dxa"/>
            <w:shd w:val="clear" w:color="auto" w:fill="auto"/>
            <w:vAlign w:val="center"/>
          </w:tcPr>
          <w:p w14:paraId="094307D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0.050</w:t>
            </w:r>
          </w:p>
        </w:tc>
        <w:tc>
          <w:tcPr>
            <w:tcW w:w="959" w:type="dxa"/>
            <w:shd w:val="clear" w:color="auto" w:fill="auto"/>
            <w:vAlign w:val="center"/>
          </w:tcPr>
          <w:p w14:paraId="094307D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0.013</w:t>
            </w:r>
          </w:p>
        </w:tc>
      </w:tr>
      <w:tr w:rsidR="00FE3F56" w:rsidRPr="00FE3F56" w14:paraId="094307ED" w14:textId="77777777" w:rsidTr="00AF7503">
        <w:trPr>
          <w:trHeight w:val="290"/>
        </w:trPr>
        <w:tc>
          <w:tcPr>
            <w:tcW w:w="3261" w:type="dxa"/>
            <w:shd w:val="clear" w:color="auto" w:fill="auto"/>
          </w:tcPr>
          <w:p w14:paraId="094307E0" w14:textId="27D27D45"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If the parent is a homeowner</w:t>
            </w:r>
          </w:p>
        </w:tc>
        <w:tc>
          <w:tcPr>
            <w:tcW w:w="961" w:type="dxa"/>
            <w:shd w:val="clear" w:color="auto" w:fill="auto"/>
            <w:vAlign w:val="center"/>
          </w:tcPr>
          <w:p w14:paraId="094307E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-0.007</w:t>
            </w:r>
          </w:p>
        </w:tc>
        <w:tc>
          <w:tcPr>
            <w:tcW w:w="959" w:type="dxa"/>
            <w:shd w:val="clear" w:color="auto" w:fill="auto"/>
            <w:vAlign w:val="center"/>
          </w:tcPr>
          <w:p w14:paraId="094307E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0.070</w:t>
            </w:r>
          </w:p>
        </w:tc>
        <w:tc>
          <w:tcPr>
            <w:tcW w:w="961" w:type="dxa"/>
            <w:vAlign w:val="center"/>
          </w:tcPr>
          <w:p w14:paraId="094307E3"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0.020</w:t>
            </w:r>
          </w:p>
        </w:tc>
        <w:tc>
          <w:tcPr>
            <w:tcW w:w="959" w:type="dxa"/>
            <w:vAlign w:val="center"/>
          </w:tcPr>
          <w:p w14:paraId="094307E4"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0.070</w:t>
            </w:r>
          </w:p>
        </w:tc>
        <w:tc>
          <w:tcPr>
            <w:tcW w:w="961" w:type="dxa"/>
            <w:vAlign w:val="center"/>
          </w:tcPr>
          <w:p w14:paraId="094307E5"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0.773</w:t>
            </w:r>
          </w:p>
        </w:tc>
        <w:tc>
          <w:tcPr>
            <w:tcW w:w="959" w:type="dxa"/>
            <w:vAlign w:val="center"/>
          </w:tcPr>
          <w:p w14:paraId="094307E6"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0.025</w:t>
            </w:r>
          </w:p>
        </w:tc>
        <w:tc>
          <w:tcPr>
            <w:tcW w:w="961" w:type="dxa"/>
            <w:vAlign w:val="center"/>
          </w:tcPr>
          <w:p w14:paraId="094307E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0.071</w:t>
            </w:r>
          </w:p>
        </w:tc>
        <w:tc>
          <w:tcPr>
            <w:tcW w:w="959" w:type="dxa"/>
            <w:vAlign w:val="center"/>
          </w:tcPr>
          <w:p w14:paraId="094307E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0.721</w:t>
            </w:r>
          </w:p>
        </w:tc>
        <w:tc>
          <w:tcPr>
            <w:tcW w:w="961" w:type="dxa"/>
            <w:shd w:val="clear" w:color="auto" w:fill="auto"/>
            <w:vAlign w:val="center"/>
          </w:tcPr>
          <w:p w14:paraId="094307E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0.916</w:t>
            </w:r>
          </w:p>
        </w:tc>
        <w:tc>
          <w:tcPr>
            <w:tcW w:w="959" w:type="dxa"/>
            <w:shd w:val="clear" w:color="auto" w:fill="auto"/>
            <w:vAlign w:val="center"/>
          </w:tcPr>
          <w:p w14:paraId="094307E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0.007</w:t>
            </w:r>
          </w:p>
        </w:tc>
        <w:tc>
          <w:tcPr>
            <w:tcW w:w="961" w:type="dxa"/>
            <w:shd w:val="clear" w:color="auto" w:fill="auto"/>
            <w:vAlign w:val="center"/>
          </w:tcPr>
          <w:p w14:paraId="094307E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0.070</w:t>
            </w:r>
          </w:p>
        </w:tc>
        <w:tc>
          <w:tcPr>
            <w:tcW w:w="959" w:type="dxa"/>
            <w:shd w:val="clear" w:color="auto" w:fill="auto"/>
            <w:vAlign w:val="center"/>
          </w:tcPr>
          <w:p w14:paraId="094307E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0.918</w:t>
            </w:r>
          </w:p>
        </w:tc>
      </w:tr>
      <w:tr w:rsidR="00FE3F56" w:rsidRPr="00FE3F56" w14:paraId="094307FB" w14:textId="77777777" w:rsidTr="00AF7503">
        <w:trPr>
          <w:trHeight w:val="290"/>
        </w:trPr>
        <w:tc>
          <w:tcPr>
            <w:tcW w:w="3261" w:type="dxa"/>
            <w:shd w:val="clear" w:color="auto" w:fill="auto"/>
          </w:tcPr>
          <w:p w14:paraId="094307EE" w14:textId="4EF065FB"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No religious affiliation</w:t>
            </w:r>
          </w:p>
        </w:tc>
        <w:tc>
          <w:tcPr>
            <w:tcW w:w="961" w:type="dxa"/>
            <w:shd w:val="clear" w:color="auto" w:fill="auto"/>
            <w:vAlign w:val="center"/>
          </w:tcPr>
          <w:p w14:paraId="094307EF"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F0"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F1"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F2"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F3"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F4"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7F5"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7F6"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7F7"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F8"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7F9"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7FA" w14:textId="77777777" w:rsidR="00901C90" w:rsidRPr="00FE3F56" w:rsidRDefault="00901C90">
            <w:pPr>
              <w:widowControl w:val="0"/>
              <w:spacing w:after="0" w:line="240" w:lineRule="auto"/>
              <w:jc w:val="center"/>
              <w:rPr>
                <w:rFonts w:eastAsia="Times New Roman" w:cs="Times New Roman"/>
                <w:color w:val="000000" w:themeColor="text1"/>
                <w:lang w:val="en-GB"/>
              </w:rPr>
            </w:pPr>
          </w:p>
        </w:tc>
      </w:tr>
      <w:tr w:rsidR="00FE3F56" w:rsidRPr="00FE3F56" w14:paraId="09430809" w14:textId="77777777" w:rsidTr="00AF7503">
        <w:trPr>
          <w:trHeight w:val="290"/>
        </w:trPr>
        <w:tc>
          <w:tcPr>
            <w:tcW w:w="3261" w:type="dxa"/>
            <w:shd w:val="clear" w:color="auto" w:fill="auto"/>
          </w:tcPr>
          <w:p w14:paraId="094307FC" w14:textId="4CE402C1"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 xml:space="preserve">Religious </w:t>
            </w:r>
            <w:r w:rsidR="00A34875" w:rsidRPr="00FE3F56">
              <w:rPr>
                <w:rFonts w:eastAsia="Times New Roman" w:cs="Times New Roman"/>
                <w:color w:val="000000" w:themeColor="text1"/>
                <w:lang w:val="en-GB"/>
              </w:rPr>
              <w:t>affiliation Roman Catholic</w:t>
            </w:r>
          </w:p>
        </w:tc>
        <w:tc>
          <w:tcPr>
            <w:tcW w:w="961" w:type="dxa"/>
            <w:shd w:val="clear" w:color="auto" w:fill="auto"/>
            <w:vAlign w:val="center"/>
          </w:tcPr>
          <w:p w14:paraId="094307F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0.063</w:t>
            </w:r>
          </w:p>
        </w:tc>
        <w:tc>
          <w:tcPr>
            <w:tcW w:w="959" w:type="dxa"/>
            <w:shd w:val="clear" w:color="auto" w:fill="auto"/>
            <w:vAlign w:val="center"/>
          </w:tcPr>
          <w:p w14:paraId="094307F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0.060</w:t>
            </w:r>
          </w:p>
        </w:tc>
        <w:tc>
          <w:tcPr>
            <w:tcW w:w="961" w:type="dxa"/>
            <w:vAlign w:val="center"/>
          </w:tcPr>
          <w:p w14:paraId="094307F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0.050</w:t>
            </w:r>
          </w:p>
        </w:tc>
        <w:tc>
          <w:tcPr>
            <w:tcW w:w="959" w:type="dxa"/>
            <w:vAlign w:val="center"/>
          </w:tcPr>
          <w:p w14:paraId="0943080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0.060</w:t>
            </w:r>
          </w:p>
        </w:tc>
        <w:tc>
          <w:tcPr>
            <w:tcW w:w="961" w:type="dxa"/>
            <w:vAlign w:val="center"/>
          </w:tcPr>
          <w:p w14:paraId="0943080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0.405</w:t>
            </w:r>
          </w:p>
        </w:tc>
        <w:tc>
          <w:tcPr>
            <w:tcW w:w="959" w:type="dxa"/>
            <w:vAlign w:val="center"/>
          </w:tcPr>
          <w:p w14:paraId="0943080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0.048</w:t>
            </w:r>
          </w:p>
        </w:tc>
        <w:tc>
          <w:tcPr>
            <w:tcW w:w="961" w:type="dxa"/>
            <w:vAlign w:val="center"/>
          </w:tcPr>
          <w:p w14:paraId="09430803"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0.060</w:t>
            </w:r>
          </w:p>
        </w:tc>
        <w:tc>
          <w:tcPr>
            <w:tcW w:w="959" w:type="dxa"/>
            <w:vAlign w:val="center"/>
          </w:tcPr>
          <w:p w14:paraId="09430804"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0.420</w:t>
            </w:r>
          </w:p>
        </w:tc>
        <w:tc>
          <w:tcPr>
            <w:tcW w:w="961" w:type="dxa"/>
            <w:shd w:val="clear" w:color="auto" w:fill="auto"/>
            <w:vAlign w:val="center"/>
          </w:tcPr>
          <w:p w14:paraId="0943080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0.291</w:t>
            </w:r>
          </w:p>
        </w:tc>
        <w:tc>
          <w:tcPr>
            <w:tcW w:w="959" w:type="dxa"/>
            <w:shd w:val="clear" w:color="auto" w:fill="auto"/>
            <w:vAlign w:val="center"/>
          </w:tcPr>
          <w:p w14:paraId="0943080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0.041</w:t>
            </w:r>
          </w:p>
        </w:tc>
        <w:tc>
          <w:tcPr>
            <w:tcW w:w="961" w:type="dxa"/>
            <w:shd w:val="clear" w:color="auto" w:fill="auto"/>
            <w:vAlign w:val="center"/>
          </w:tcPr>
          <w:p w14:paraId="0943080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0.060</w:t>
            </w:r>
          </w:p>
        </w:tc>
        <w:tc>
          <w:tcPr>
            <w:tcW w:w="959" w:type="dxa"/>
            <w:shd w:val="clear" w:color="auto" w:fill="auto"/>
            <w:vAlign w:val="center"/>
          </w:tcPr>
          <w:p w14:paraId="0943080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0.487</w:t>
            </w:r>
          </w:p>
        </w:tc>
      </w:tr>
      <w:tr w:rsidR="00FE3F56" w:rsidRPr="00FE3F56" w14:paraId="09430817" w14:textId="77777777" w:rsidTr="00AF7503">
        <w:trPr>
          <w:trHeight w:val="290"/>
        </w:trPr>
        <w:tc>
          <w:tcPr>
            <w:tcW w:w="3261" w:type="dxa"/>
            <w:shd w:val="clear" w:color="auto" w:fill="auto"/>
          </w:tcPr>
          <w:p w14:paraId="0943080A" w14:textId="5E131135"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 xml:space="preserve">Religious </w:t>
            </w:r>
            <w:r w:rsidR="00A34875" w:rsidRPr="00FE3F56">
              <w:rPr>
                <w:rFonts w:eastAsia="Times New Roman" w:cs="Times New Roman"/>
                <w:color w:val="000000" w:themeColor="text1"/>
                <w:lang w:val="en-GB"/>
              </w:rPr>
              <w:t>affiliation Dutch Reformed</w:t>
            </w:r>
          </w:p>
        </w:tc>
        <w:tc>
          <w:tcPr>
            <w:tcW w:w="961" w:type="dxa"/>
            <w:shd w:val="clear" w:color="auto" w:fill="auto"/>
            <w:vAlign w:val="center"/>
          </w:tcPr>
          <w:p w14:paraId="0943080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0.201</w:t>
            </w:r>
          </w:p>
        </w:tc>
        <w:tc>
          <w:tcPr>
            <w:tcW w:w="959" w:type="dxa"/>
            <w:shd w:val="clear" w:color="auto" w:fill="auto"/>
            <w:vAlign w:val="center"/>
          </w:tcPr>
          <w:p w14:paraId="0943080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0.080</w:t>
            </w:r>
          </w:p>
        </w:tc>
        <w:tc>
          <w:tcPr>
            <w:tcW w:w="961" w:type="dxa"/>
            <w:vAlign w:val="center"/>
          </w:tcPr>
          <w:p w14:paraId="0943080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0.194</w:t>
            </w:r>
          </w:p>
        </w:tc>
        <w:tc>
          <w:tcPr>
            <w:tcW w:w="959" w:type="dxa"/>
            <w:vAlign w:val="center"/>
          </w:tcPr>
          <w:p w14:paraId="0943080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0.080</w:t>
            </w:r>
          </w:p>
        </w:tc>
        <w:tc>
          <w:tcPr>
            <w:tcW w:w="961" w:type="dxa"/>
            <w:vAlign w:val="center"/>
          </w:tcPr>
          <w:p w14:paraId="0943080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0.015</w:t>
            </w:r>
          </w:p>
        </w:tc>
        <w:tc>
          <w:tcPr>
            <w:tcW w:w="959" w:type="dxa"/>
            <w:vAlign w:val="center"/>
          </w:tcPr>
          <w:p w14:paraId="0943081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0.191</w:t>
            </w:r>
          </w:p>
        </w:tc>
        <w:tc>
          <w:tcPr>
            <w:tcW w:w="961" w:type="dxa"/>
            <w:vAlign w:val="center"/>
          </w:tcPr>
          <w:p w14:paraId="0943081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0.080</w:t>
            </w:r>
          </w:p>
        </w:tc>
        <w:tc>
          <w:tcPr>
            <w:tcW w:w="959" w:type="dxa"/>
            <w:vAlign w:val="center"/>
          </w:tcPr>
          <w:p w14:paraId="0943081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0.017</w:t>
            </w:r>
          </w:p>
        </w:tc>
        <w:tc>
          <w:tcPr>
            <w:tcW w:w="961" w:type="dxa"/>
            <w:shd w:val="clear" w:color="auto" w:fill="auto"/>
            <w:vAlign w:val="center"/>
          </w:tcPr>
          <w:p w14:paraId="0943081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0.011</w:t>
            </w:r>
          </w:p>
        </w:tc>
        <w:tc>
          <w:tcPr>
            <w:tcW w:w="959" w:type="dxa"/>
            <w:shd w:val="clear" w:color="auto" w:fill="auto"/>
            <w:vAlign w:val="center"/>
          </w:tcPr>
          <w:p w14:paraId="0943081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0.178</w:t>
            </w:r>
          </w:p>
        </w:tc>
        <w:tc>
          <w:tcPr>
            <w:tcW w:w="961" w:type="dxa"/>
            <w:shd w:val="clear" w:color="auto" w:fill="auto"/>
            <w:vAlign w:val="center"/>
          </w:tcPr>
          <w:p w14:paraId="0943081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0.080</w:t>
            </w:r>
          </w:p>
        </w:tc>
        <w:tc>
          <w:tcPr>
            <w:tcW w:w="959" w:type="dxa"/>
            <w:shd w:val="clear" w:color="auto" w:fill="auto"/>
            <w:vAlign w:val="center"/>
          </w:tcPr>
          <w:p w14:paraId="0943081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0.026</w:t>
            </w:r>
          </w:p>
        </w:tc>
      </w:tr>
      <w:tr w:rsidR="00FE3F56" w:rsidRPr="00FE3F56" w14:paraId="09430825" w14:textId="77777777" w:rsidTr="00AF7503">
        <w:trPr>
          <w:trHeight w:val="290"/>
        </w:trPr>
        <w:tc>
          <w:tcPr>
            <w:tcW w:w="3261" w:type="dxa"/>
            <w:shd w:val="clear" w:color="auto" w:fill="auto"/>
          </w:tcPr>
          <w:p w14:paraId="09430818" w14:textId="2C4788B6"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 xml:space="preserve">Religious </w:t>
            </w:r>
            <w:r w:rsidR="00A34875" w:rsidRPr="00FE3F56">
              <w:rPr>
                <w:rFonts w:eastAsia="Times New Roman" w:cs="Times New Roman"/>
                <w:color w:val="000000" w:themeColor="text1"/>
                <w:lang w:val="en-GB"/>
              </w:rPr>
              <w:t>affiliation Reformed</w:t>
            </w:r>
          </w:p>
        </w:tc>
        <w:tc>
          <w:tcPr>
            <w:tcW w:w="961" w:type="dxa"/>
            <w:shd w:val="clear" w:color="auto" w:fill="auto"/>
            <w:vAlign w:val="center"/>
          </w:tcPr>
          <w:p w14:paraId="0943081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-0.060</w:t>
            </w:r>
          </w:p>
        </w:tc>
        <w:tc>
          <w:tcPr>
            <w:tcW w:w="959" w:type="dxa"/>
            <w:shd w:val="clear" w:color="auto" w:fill="auto"/>
            <w:vAlign w:val="center"/>
          </w:tcPr>
          <w:p w14:paraId="0943081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0.098</w:t>
            </w:r>
          </w:p>
        </w:tc>
        <w:tc>
          <w:tcPr>
            <w:tcW w:w="961" w:type="dxa"/>
            <w:vAlign w:val="center"/>
          </w:tcPr>
          <w:p w14:paraId="0943081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-0.050</w:t>
            </w:r>
          </w:p>
        </w:tc>
        <w:tc>
          <w:tcPr>
            <w:tcW w:w="959" w:type="dxa"/>
            <w:vAlign w:val="center"/>
          </w:tcPr>
          <w:p w14:paraId="0943081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0.100</w:t>
            </w:r>
          </w:p>
        </w:tc>
        <w:tc>
          <w:tcPr>
            <w:tcW w:w="961" w:type="dxa"/>
            <w:vAlign w:val="center"/>
          </w:tcPr>
          <w:p w14:paraId="0943081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0.615</w:t>
            </w:r>
          </w:p>
        </w:tc>
        <w:tc>
          <w:tcPr>
            <w:tcW w:w="959" w:type="dxa"/>
            <w:vAlign w:val="center"/>
          </w:tcPr>
          <w:p w14:paraId="0943081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-0.053</w:t>
            </w:r>
          </w:p>
        </w:tc>
        <w:tc>
          <w:tcPr>
            <w:tcW w:w="961" w:type="dxa"/>
            <w:vAlign w:val="center"/>
          </w:tcPr>
          <w:p w14:paraId="0943081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0.099</w:t>
            </w:r>
          </w:p>
        </w:tc>
        <w:tc>
          <w:tcPr>
            <w:tcW w:w="959" w:type="dxa"/>
            <w:vAlign w:val="center"/>
          </w:tcPr>
          <w:p w14:paraId="0943082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0.591</w:t>
            </w:r>
          </w:p>
        </w:tc>
        <w:tc>
          <w:tcPr>
            <w:tcW w:w="961" w:type="dxa"/>
            <w:shd w:val="clear" w:color="auto" w:fill="auto"/>
            <w:vAlign w:val="center"/>
          </w:tcPr>
          <w:p w14:paraId="0943082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0.541</w:t>
            </w:r>
          </w:p>
        </w:tc>
        <w:tc>
          <w:tcPr>
            <w:tcW w:w="959" w:type="dxa"/>
            <w:shd w:val="clear" w:color="auto" w:fill="auto"/>
            <w:vAlign w:val="center"/>
          </w:tcPr>
          <w:p w14:paraId="0943082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-0.078</w:t>
            </w:r>
          </w:p>
        </w:tc>
        <w:tc>
          <w:tcPr>
            <w:tcW w:w="961" w:type="dxa"/>
            <w:shd w:val="clear" w:color="auto" w:fill="auto"/>
            <w:vAlign w:val="center"/>
          </w:tcPr>
          <w:p w14:paraId="0943082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0.098</w:t>
            </w:r>
          </w:p>
        </w:tc>
        <w:tc>
          <w:tcPr>
            <w:tcW w:w="959" w:type="dxa"/>
            <w:shd w:val="clear" w:color="auto" w:fill="auto"/>
            <w:vAlign w:val="center"/>
          </w:tcPr>
          <w:p w14:paraId="0943082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0.428</w:t>
            </w:r>
          </w:p>
        </w:tc>
      </w:tr>
      <w:tr w:rsidR="00FE3F56" w:rsidRPr="00FE3F56" w14:paraId="09430833" w14:textId="77777777" w:rsidTr="00AF7503">
        <w:trPr>
          <w:trHeight w:val="290"/>
        </w:trPr>
        <w:tc>
          <w:tcPr>
            <w:tcW w:w="3261" w:type="dxa"/>
            <w:shd w:val="clear" w:color="auto" w:fill="auto"/>
          </w:tcPr>
          <w:p w14:paraId="09430826" w14:textId="79638E80"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 xml:space="preserve">Religious </w:t>
            </w:r>
            <w:r w:rsidR="00A34875" w:rsidRPr="00FE3F56">
              <w:rPr>
                <w:rFonts w:eastAsia="Times New Roman" w:cs="Times New Roman"/>
                <w:color w:val="000000" w:themeColor="text1"/>
                <w:lang w:val="en-GB"/>
              </w:rPr>
              <w:t xml:space="preserve">affiliation Protestant </w:t>
            </w:r>
          </w:p>
        </w:tc>
        <w:tc>
          <w:tcPr>
            <w:tcW w:w="961" w:type="dxa"/>
            <w:shd w:val="clear" w:color="auto" w:fill="auto"/>
            <w:vAlign w:val="center"/>
          </w:tcPr>
          <w:p w14:paraId="0943082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0.117</w:t>
            </w:r>
          </w:p>
        </w:tc>
        <w:tc>
          <w:tcPr>
            <w:tcW w:w="959" w:type="dxa"/>
            <w:shd w:val="clear" w:color="auto" w:fill="auto"/>
            <w:vAlign w:val="center"/>
          </w:tcPr>
          <w:p w14:paraId="0943082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0.090</w:t>
            </w:r>
          </w:p>
        </w:tc>
        <w:tc>
          <w:tcPr>
            <w:tcW w:w="961" w:type="dxa"/>
            <w:vAlign w:val="center"/>
          </w:tcPr>
          <w:p w14:paraId="0943082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0.106</w:t>
            </w:r>
          </w:p>
        </w:tc>
        <w:tc>
          <w:tcPr>
            <w:tcW w:w="959" w:type="dxa"/>
            <w:vAlign w:val="center"/>
          </w:tcPr>
          <w:p w14:paraId="0943082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0.095</w:t>
            </w:r>
          </w:p>
        </w:tc>
        <w:tc>
          <w:tcPr>
            <w:tcW w:w="961" w:type="dxa"/>
            <w:vAlign w:val="center"/>
          </w:tcPr>
          <w:p w14:paraId="0943082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0.240</w:t>
            </w:r>
          </w:p>
        </w:tc>
        <w:tc>
          <w:tcPr>
            <w:tcW w:w="959" w:type="dxa"/>
            <w:vAlign w:val="center"/>
          </w:tcPr>
          <w:p w14:paraId="0943082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0.103</w:t>
            </w:r>
          </w:p>
        </w:tc>
        <w:tc>
          <w:tcPr>
            <w:tcW w:w="961" w:type="dxa"/>
            <w:vAlign w:val="center"/>
          </w:tcPr>
          <w:p w14:paraId="0943082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0.091</w:t>
            </w:r>
          </w:p>
        </w:tc>
        <w:tc>
          <w:tcPr>
            <w:tcW w:w="959" w:type="dxa"/>
            <w:vAlign w:val="center"/>
          </w:tcPr>
          <w:p w14:paraId="0943082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0.258</w:t>
            </w:r>
          </w:p>
        </w:tc>
        <w:tc>
          <w:tcPr>
            <w:tcW w:w="961" w:type="dxa"/>
            <w:shd w:val="clear" w:color="auto" w:fill="auto"/>
            <w:vAlign w:val="center"/>
          </w:tcPr>
          <w:p w14:paraId="0943082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0.195</w:t>
            </w:r>
          </w:p>
        </w:tc>
        <w:tc>
          <w:tcPr>
            <w:tcW w:w="959" w:type="dxa"/>
            <w:shd w:val="clear" w:color="auto" w:fill="auto"/>
            <w:vAlign w:val="center"/>
          </w:tcPr>
          <w:p w14:paraId="0943083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0.098</w:t>
            </w:r>
          </w:p>
        </w:tc>
        <w:tc>
          <w:tcPr>
            <w:tcW w:w="961" w:type="dxa"/>
            <w:shd w:val="clear" w:color="auto" w:fill="auto"/>
            <w:vAlign w:val="center"/>
          </w:tcPr>
          <w:p w14:paraId="0943083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0.090</w:t>
            </w:r>
          </w:p>
        </w:tc>
        <w:tc>
          <w:tcPr>
            <w:tcW w:w="959" w:type="dxa"/>
            <w:shd w:val="clear" w:color="auto" w:fill="auto"/>
            <w:vAlign w:val="center"/>
          </w:tcPr>
          <w:p w14:paraId="0943083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0.280</w:t>
            </w:r>
          </w:p>
        </w:tc>
      </w:tr>
      <w:tr w:rsidR="00FE3F56" w:rsidRPr="00FE3F56" w14:paraId="09430841" w14:textId="77777777" w:rsidTr="00AF7503">
        <w:trPr>
          <w:trHeight w:val="290"/>
        </w:trPr>
        <w:tc>
          <w:tcPr>
            <w:tcW w:w="3261" w:type="dxa"/>
            <w:shd w:val="clear" w:color="auto" w:fill="auto"/>
          </w:tcPr>
          <w:p w14:paraId="09430834" w14:textId="7BE6D391"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 xml:space="preserve">Other religious affiliation </w:t>
            </w:r>
          </w:p>
        </w:tc>
        <w:tc>
          <w:tcPr>
            <w:tcW w:w="961" w:type="dxa"/>
            <w:shd w:val="clear" w:color="auto" w:fill="auto"/>
            <w:vAlign w:val="center"/>
          </w:tcPr>
          <w:p w14:paraId="0943083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-0.113</w:t>
            </w:r>
          </w:p>
        </w:tc>
        <w:tc>
          <w:tcPr>
            <w:tcW w:w="959" w:type="dxa"/>
            <w:shd w:val="clear" w:color="auto" w:fill="auto"/>
            <w:vAlign w:val="center"/>
          </w:tcPr>
          <w:p w14:paraId="0943083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0.133</w:t>
            </w:r>
          </w:p>
        </w:tc>
        <w:tc>
          <w:tcPr>
            <w:tcW w:w="961" w:type="dxa"/>
            <w:vAlign w:val="center"/>
          </w:tcPr>
          <w:p w14:paraId="0943083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-0.106</w:t>
            </w:r>
          </w:p>
        </w:tc>
        <w:tc>
          <w:tcPr>
            <w:tcW w:w="959" w:type="dxa"/>
            <w:vAlign w:val="center"/>
          </w:tcPr>
          <w:p w14:paraId="0943083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0.133</w:t>
            </w:r>
          </w:p>
        </w:tc>
        <w:tc>
          <w:tcPr>
            <w:tcW w:w="961" w:type="dxa"/>
            <w:vAlign w:val="center"/>
          </w:tcPr>
          <w:p w14:paraId="0943083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0.426</w:t>
            </w:r>
          </w:p>
        </w:tc>
        <w:tc>
          <w:tcPr>
            <w:tcW w:w="959" w:type="dxa"/>
            <w:vAlign w:val="center"/>
          </w:tcPr>
          <w:p w14:paraId="0943083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-0.102</w:t>
            </w:r>
          </w:p>
        </w:tc>
        <w:tc>
          <w:tcPr>
            <w:tcW w:w="961" w:type="dxa"/>
            <w:vAlign w:val="center"/>
          </w:tcPr>
          <w:p w14:paraId="0943083B"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0.134</w:t>
            </w:r>
          </w:p>
        </w:tc>
        <w:tc>
          <w:tcPr>
            <w:tcW w:w="959" w:type="dxa"/>
            <w:vAlign w:val="center"/>
          </w:tcPr>
          <w:p w14:paraId="0943083C"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0.445</w:t>
            </w:r>
          </w:p>
        </w:tc>
        <w:tc>
          <w:tcPr>
            <w:tcW w:w="961" w:type="dxa"/>
            <w:shd w:val="clear" w:color="auto" w:fill="auto"/>
            <w:vAlign w:val="center"/>
          </w:tcPr>
          <w:p w14:paraId="0943083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0.395</w:t>
            </w:r>
          </w:p>
        </w:tc>
        <w:tc>
          <w:tcPr>
            <w:tcW w:w="959" w:type="dxa"/>
            <w:shd w:val="clear" w:color="auto" w:fill="auto"/>
            <w:vAlign w:val="center"/>
          </w:tcPr>
          <w:p w14:paraId="0943083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-0.126</w:t>
            </w:r>
          </w:p>
        </w:tc>
        <w:tc>
          <w:tcPr>
            <w:tcW w:w="961" w:type="dxa"/>
            <w:shd w:val="clear" w:color="auto" w:fill="auto"/>
            <w:vAlign w:val="center"/>
          </w:tcPr>
          <w:p w14:paraId="0943083F"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0.133</w:t>
            </w:r>
          </w:p>
        </w:tc>
        <w:tc>
          <w:tcPr>
            <w:tcW w:w="959" w:type="dxa"/>
            <w:shd w:val="clear" w:color="auto" w:fill="auto"/>
            <w:vAlign w:val="center"/>
          </w:tcPr>
          <w:p w14:paraId="09430840"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0.343</w:t>
            </w:r>
          </w:p>
        </w:tc>
      </w:tr>
      <w:tr w:rsidR="00FE3F56" w:rsidRPr="00FE3F56" w14:paraId="0943084F" w14:textId="77777777" w:rsidTr="00AF7503">
        <w:trPr>
          <w:trHeight w:val="290"/>
        </w:trPr>
        <w:tc>
          <w:tcPr>
            <w:tcW w:w="3261" w:type="dxa"/>
            <w:shd w:val="clear" w:color="auto" w:fill="auto"/>
          </w:tcPr>
          <w:p w14:paraId="09430842" w14:textId="77777777" w:rsidR="00901C90" w:rsidRPr="00FE3F56" w:rsidRDefault="00A34875">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Donor parent father</w:t>
            </w:r>
          </w:p>
        </w:tc>
        <w:tc>
          <w:tcPr>
            <w:tcW w:w="961" w:type="dxa"/>
            <w:shd w:val="clear" w:color="auto" w:fill="auto"/>
            <w:vAlign w:val="center"/>
          </w:tcPr>
          <w:p w14:paraId="0943084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-0.327</w:t>
            </w:r>
          </w:p>
        </w:tc>
        <w:tc>
          <w:tcPr>
            <w:tcW w:w="959" w:type="dxa"/>
            <w:shd w:val="clear" w:color="auto" w:fill="auto"/>
            <w:vAlign w:val="center"/>
          </w:tcPr>
          <w:p w14:paraId="0943084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0.071</w:t>
            </w:r>
          </w:p>
        </w:tc>
        <w:tc>
          <w:tcPr>
            <w:tcW w:w="961" w:type="dxa"/>
            <w:vAlign w:val="center"/>
          </w:tcPr>
          <w:p w14:paraId="09430845"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-0.411</w:t>
            </w:r>
          </w:p>
        </w:tc>
        <w:tc>
          <w:tcPr>
            <w:tcW w:w="959" w:type="dxa"/>
            <w:vAlign w:val="center"/>
          </w:tcPr>
          <w:p w14:paraId="09430846"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0.072</w:t>
            </w:r>
          </w:p>
        </w:tc>
        <w:tc>
          <w:tcPr>
            <w:tcW w:w="961" w:type="dxa"/>
            <w:vAlign w:val="center"/>
          </w:tcPr>
          <w:p w14:paraId="0943084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eastAsia="Times New Roman" w:cs="Times New Roman"/>
                <w:color w:val="000000" w:themeColor="text1"/>
                <w:lang w:val="en-GB"/>
              </w:rPr>
              <w:t>&gt;.001</w:t>
            </w:r>
          </w:p>
        </w:tc>
        <w:tc>
          <w:tcPr>
            <w:tcW w:w="959" w:type="dxa"/>
            <w:vAlign w:val="center"/>
          </w:tcPr>
          <w:p w14:paraId="0943084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-0.389</w:t>
            </w:r>
          </w:p>
        </w:tc>
        <w:tc>
          <w:tcPr>
            <w:tcW w:w="961" w:type="dxa"/>
            <w:vAlign w:val="center"/>
          </w:tcPr>
          <w:p w14:paraId="09430849"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0.073</w:t>
            </w:r>
          </w:p>
        </w:tc>
        <w:tc>
          <w:tcPr>
            <w:tcW w:w="959" w:type="dxa"/>
            <w:vAlign w:val="center"/>
          </w:tcPr>
          <w:p w14:paraId="0943084A" w14:textId="77777777" w:rsidR="00901C90" w:rsidRPr="00FE3F56" w:rsidRDefault="00A34875">
            <w:pPr>
              <w:widowControl w:val="0"/>
              <w:spacing w:after="0" w:line="240" w:lineRule="auto"/>
              <w:jc w:val="center"/>
              <w:rPr>
                <w:rFonts w:cs="Times New Roman"/>
                <w:color w:val="000000" w:themeColor="text1"/>
                <w:lang w:val="en-GB"/>
              </w:rPr>
            </w:pPr>
            <w:r w:rsidRPr="00FE3F56">
              <w:rPr>
                <w:rFonts w:eastAsia="Times New Roman" w:cs="Times New Roman"/>
                <w:color w:val="000000" w:themeColor="text1"/>
                <w:lang w:val="en-GB"/>
              </w:rPr>
              <w:t>&gt;.001</w:t>
            </w:r>
          </w:p>
        </w:tc>
        <w:tc>
          <w:tcPr>
            <w:tcW w:w="961" w:type="dxa"/>
            <w:shd w:val="clear" w:color="auto" w:fill="auto"/>
            <w:vAlign w:val="center"/>
          </w:tcPr>
          <w:p w14:paraId="0943084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0.000</w:t>
            </w:r>
          </w:p>
        </w:tc>
        <w:tc>
          <w:tcPr>
            <w:tcW w:w="959" w:type="dxa"/>
            <w:shd w:val="clear" w:color="auto" w:fill="auto"/>
            <w:vAlign w:val="center"/>
          </w:tcPr>
          <w:p w14:paraId="0943084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-0.332</w:t>
            </w:r>
          </w:p>
        </w:tc>
        <w:tc>
          <w:tcPr>
            <w:tcW w:w="961" w:type="dxa"/>
            <w:shd w:val="clear" w:color="auto" w:fill="auto"/>
            <w:vAlign w:val="center"/>
          </w:tcPr>
          <w:p w14:paraId="0943084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0.071</w:t>
            </w:r>
          </w:p>
        </w:tc>
        <w:tc>
          <w:tcPr>
            <w:tcW w:w="959" w:type="dxa"/>
            <w:shd w:val="clear" w:color="auto" w:fill="auto"/>
            <w:vAlign w:val="center"/>
          </w:tcPr>
          <w:p w14:paraId="0943084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0.000</w:t>
            </w:r>
          </w:p>
        </w:tc>
      </w:tr>
      <w:tr w:rsidR="00FE3F56" w:rsidRPr="00FE3F56" w14:paraId="0943085D" w14:textId="77777777" w:rsidTr="00AF7503">
        <w:trPr>
          <w:trHeight w:val="290"/>
        </w:trPr>
        <w:tc>
          <w:tcPr>
            <w:tcW w:w="3261" w:type="dxa"/>
            <w:shd w:val="clear" w:color="auto" w:fill="auto"/>
          </w:tcPr>
          <w:p w14:paraId="09430850" w14:textId="3E3F7CEA"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Age of the parent when the questionnaire was filled in</w:t>
            </w:r>
          </w:p>
        </w:tc>
        <w:tc>
          <w:tcPr>
            <w:tcW w:w="961" w:type="dxa"/>
            <w:shd w:val="clear" w:color="auto" w:fill="auto"/>
            <w:vAlign w:val="center"/>
          </w:tcPr>
          <w:p w14:paraId="09430851"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0.017</w:t>
            </w:r>
          </w:p>
        </w:tc>
        <w:tc>
          <w:tcPr>
            <w:tcW w:w="959" w:type="dxa"/>
            <w:shd w:val="clear" w:color="auto" w:fill="auto"/>
            <w:vAlign w:val="center"/>
          </w:tcPr>
          <w:p w14:paraId="09430852"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0.006</w:t>
            </w:r>
          </w:p>
        </w:tc>
        <w:tc>
          <w:tcPr>
            <w:tcW w:w="961" w:type="dxa"/>
            <w:vAlign w:val="center"/>
          </w:tcPr>
          <w:p w14:paraId="09430853"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0.013</w:t>
            </w:r>
          </w:p>
        </w:tc>
        <w:tc>
          <w:tcPr>
            <w:tcW w:w="959" w:type="dxa"/>
            <w:vAlign w:val="center"/>
          </w:tcPr>
          <w:p w14:paraId="09430854"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0.006</w:t>
            </w:r>
          </w:p>
        </w:tc>
        <w:tc>
          <w:tcPr>
            <w:tcW w:w="961" w:type="dxa"/>
            <w:vAlign w:val="center"/>
          </w:tcPr>
          <w:p w14:paraId="09430855"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0.027</w:t>
            </w:r>
          </w:p>
        </w:tc>
        <w:tc>
          <w:tcPr>
            <w:tcW w:w="959" w:type="dxa"/>
            <w:vAlign w:val="center"/>
          </w:tcPr>
          <w:p w14:paraId="09430856"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0.005</w:t>
            </w:r>
          </w:p>
        </w:tc>
        <w:tc>
          <w:tcPr>
            <w:tcW w:w="961" w:type="dxa"/>
            <w:vAlign w:val="center"/>
          </w:tcPr>
          <w:p w14:paraId="09430857"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0.006</w:t>
            </w:r>
          </w:p>
        </w:tc>
        <w:tc>
          <w:tcPr>
            <w:tcW w:w="959" w:type="dxa"/>
            <w:vAlign w:val="center"/>
          </w:tcPr>
          <w:p w14:paraId="09430858"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0.392</w:t>
            </w:r>
          </w:p>
        </w:tc>
        <w:tc>
          <w:tcPr>
            <w:tcW w:w="961" w:type="dxa"/>
            <w:shd w:val="clear" w:color="auto" w:fill="auto"/>
            <w:vAlign w:val="center"/>
          </w:tcPr>
          <w:p w14:paraId="09430859"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0.002</w:t>
            </w:r>
          </w:p>
        </w:tc>
        <w:tc>
          <w:tcPr>
            <w:tcW w:w="959" w:type="dxa"/>
            <w:shd w:val="clear" w:color="auto" w:fill="auto"/>
            <w:vAlign w:val="center"/>
          </w:tcPr>
          <w:p w14:paraId="0943085A"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0.016</w:t>
            </w:r>
          </w:p>
        </w:tc>
        <w:tc>
          <w:tcPr>
            <w:tcW w:w="961" w:type="dxa"/>
            <w:shd w:val="clear" w:color="auto" w:fill="auto"/>
            <w:vAlign w:val="center"/>
          </w:tcPr>
          <w:p w14:paraId="0943085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0.006</w:t>
            </w:r>
          </w:p>
        </w:tc>
        <w:tc>
          <w:tcPr>
            <w:tcW w:w="959" w:type="dxa"/>
            <w:shd w:val="clear" w:color="auto" w:fill="auto"/>
            <w:vAlign w:val="center"/>
          </w:tcPr>
          <w:p w14:paraId="0943085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0.006</w:t>
            </w:r>
          </w:p>
        </w:tc>
      </w:tr>
      <w:tr w:rsidR="00FE3F56" w:rsidRPr="00FE3F56" w14:paraId="0943086B" w14:textId="77777777" w:rsidTr="00AF7503">
        <w:trPr>
          <w:trHeight w:val="290"/>
        </w:trPr>
        <w:tc>
          <w:tcPr>
            <w:tcW w:w="3261" w:type="dxa"/>
            <w:shd w:val="clear" w:color="auto" w:fill="auto"/>
          </w:tcPr>
          <w:p w14:paraId="0943085E" w14:textId="5BFA85E3"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lastRenderedPageBreak/>
              <w:t>Parent was a whole blood donor</w:t>
            </w:r>
          </w:p>
        </w:tc>
        <w:tc>
          <w:tcPr>
            <w:tcW w:w="961" w:type="dxa"/>
            <w:shd w:val="clear" w:color="auto" w:fill="auto"/>
            <w:vAlign w:val="center"/>
          </w:tcPr>
          <w:p w14:paraId="0943085F"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860"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861"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862"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863"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864"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vAlign w:val="center"/>
          </w:tcPr>
          <w:p w14:paraId="09430865"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vAlign w:val="center"/>
          </w:tcPr>
          <w:p w14:paraId="09430866"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867"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868"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09430869" w14:textId="77777777" w:rsidR="00901C90" w:rsidRPr="00FE3F56" w:rsidRDefault="00901C90">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86A" w14:textId="77777777" w:rsidR="00901C90" w:rsidRPr="00FE3F56" w:rsidRDefault="00901C90">
            <w:pPr>
              <w:widowControl w:val="0"/>
              <w:spacing w:after="0" w:line="240" w:lineRule="auto"/>
              <w:jc w:val="center"/>
              <w:rPr>
                <w:rFonts w:eastAsia="Times New Roman" w:cs="Times New Roman"/>
                <w:color w:val="000000" w:themeColor="text1"/>
                <w:lang w:val="en-GB"/>
              </w:rPr>
            </w:pPr>
          </w:p>
        </w:tc>
      </w:tr>
      <w:tr w:rsidR="00FE3F56" w:rsidRPr="00FE3F56" w14:paraId="09430879" w14:textId="77777777" w:rsidTr="00BD3B3E">
        <w:trPr>
          <w:trHeight w:val="290"/>
        </w:trPr>
        <w:tc>
          <w:tcPr>
            <w:tcW w:w="3261" w:type="dxa"/>
            <w:shd w:val="clear" w:color="auto" w:fill="auto"/>
          </w:tcPr>
          <w:p w14:paraId="0943086C" w14:textId="5BD8FCC0"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 was a plasma donor</w:t>
            </w:r>
          </w:p>
        </w:tc>
        <w:tc>
          <w:tcPr>
            <w:tcW w:w="961" w:type="dxa"/>
            <w:shd w:val="clear" w:color="auto" w:fill="auto"/>
            <w:vAlign w:val="center"/>
          </w:tcPr>
          <w:p w14:paraId="0943086D"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0.055</w:t>
            </w:r>
          </w:p>
        </w:tc>
        <w:tc>
          <w:tcPr>
            <w:tcW w:w="959" w:type="dxa"/>
            <w:shd w:val="clear" w:color="auto" w:fill="auto"/>
            <w:vAlign w:val="center"/>
          </w:tcPr>
          <w:p w14:paraId="0943086E"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0.061</w:t>
            </w:r>
          </w:p>
        </w:tc>
        <w:tc>
          <w:tcPr>
            <w:tcW w:w="961" w:type="dxa"/>
            <w:vAlign w:val="center"/>
          </w:tcPr>
          <w:p w14:paraId="0943086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-0.143</w:t>
            </w:r>
          </w:p>
        </w:tc>
        <w:tc>
          <w:tcPr>
            <w:tcW w:w="959" w:type="dxa"/>
            <w:vAlign w:val="center"/>
          </w:tcPr>
          <w:p w14:paraId="0943087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0.070</w:t>
            </w:r>
          </w:p>
        </w:tc>
        <w:tc>
          <w:tcPr>
            <w:tcW w:w="961" w:type="dxa"/>
            <w:vAlign w:val="center"/>
          </w:tcPr>
          <w:p w14:paraId="0943087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0.038</w:t>
            </w:r>
          </w:p>
        </w:tc>
        <w:tc>
          <w:tcPr>
            <w:tcW w:w="959" w:type="dxa"/>
            <w:vAlign w:val="center"/>
          </w:tcPr>
          <w:p w14:paraId="0943087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-0.131</w:t>
            </w:r>
          </w:p>
        </w:tc>
        <w:tc>
          <w:tcPr>
            <w:tcW w:w="961" w:type="dxa"/>
            <w:vAlign w:val="center"/>
          </w:tcPr>
          <w:p w14:paraId="09430873"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0.070</w:t>
            </w:r>
          </w:p>
        </w:tc>
        <w:tc>
          <w:tcPr>
            <w:tcW w:w="959" w:type="dxa"/>
            <w:vAlign w:val="center"/>
          </w:tcPr>
          <w:p w14:paraId="09430874"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0.061</w:t>
            </w:r>
          </w:p>
        </w:tc>
        <w:tc>
          <w:tcPr>
            <w:tcW w:w="961" w:type="dxa"/>
            <w:shd w:val="clear" w:color="auto" w:fill="auto"/>
            <w:vAlign w:val="center"/>
          </w:tcPr>
          <w:p w14:paraId="0943087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0.364</w:t>
            </w:r>
          </w:p>
        </w:tc>
        <w:tc>
          <w:tcPr>
            <w:tcW w:w="959" w:type="dxa"/>
            <w:shd w:val="clear" w:color="auto" w:fill="auto"/>
            <w:vAlign w:val="center"/>
          </w:tcPr>
          <w:p w14:paraId="0943087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0.035</w:t>
            </w:r>
          </w:p>
        </w:tc>
        <w:tc>
          <w:tcPr>
            <w:tcW w:w="961" w:type="dxa"/>
            <w:shd w:val="clear" w:color="auto" w:fill="auto"/>
            <w:vAlign w:val="center"/>
          </w:tcPr>
          <w:p w14:paraId="09430877"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0.061</w:t>
            </w:r>
          </w:p>
        </w:tc>
        <w:tc>
          <w:tcPr>
            <w:tcW w:w="959" w:type="dxa"/>
            <w:shd w:val="clear" w:color="auto" w:fill="auto"/>
            <w:vAlign w:val="center"/>
          </w:tcPr>
          <w:p w14:paraId="09430878"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0.564</w:t>
            </w:r>
          </w:p>
        </w:tc>
      </w:tr>
      <w:tr w:rsidR="00FE3F56" w:rsidRPr="00FE3F56" w14:paraId="09430887" w14:textId="77777777" w:rsidTr="00BD3B3E">
        <w:trPr>
          <w:trHeight w:val="290"/>
        </w:trPr>
        <w:tc>
          <w:tcPr>
            <w:tcW w:w="3261" w:type="dxa"/>
            <w:shd w:val="clear" w:color="auto" w:fill="auto"/>
          </w:tcPr>
          <w:p w14:paraId="0943087A" w14:textId="7BC46053" w:rsidR="00901C90" w:rsidRPr="00FE3F56" w:rsidRDefault="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 was a plasma donor &amp; whole blood donor</w:t>
            </w:r>
          </w:p>
        </w:tc>
        <w:tc>
          <w:tcPr>
            <w:tcW w:w="961" w:type="dxa"/>
            <w:shd w:val="clear" w:color="auto" w:fill="auto"/>
            <w:vAlign w:val="center"/>
          </w:tcPr>
          <w:p w14:paraId="0943087B"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0.194</w:t>
            </w:r>
          </w:p>
        </w:tc>
        <w:tc>
          <w:tcPr>
            <w:tcW w:w="959" w:type="dxa"/>
            <w:shd w:val="clear" w:color="auto" w:fill="auto"/>
            <w:vAlign w:val="center"/>
          </w:tcPr>
          <w:p w14:paraId="0943087C"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0.136</w:t>
            </w:r>
          </w:p>
        </w:tc>
        <w:tc>
          <w:tcPr>
            <w:tcW w:w="961" w:type="dxa"/>
            <w:vAlign w:val="center"/>
          </w:tcPr>
          <w:p w14:paraId="0943087D"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-0.041</w:t>
            </w:r>
          </w:p>
        </w:tc>
        <w:tc>
          <w:tcPr>
            <w:tcW w:w="959" w:type="dxa"/>
            <w:vAlign w:val="center"/>
          </w:tcPr>
          <w:p w14:paraId="0943087E"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0.142</w:t>
            </w:r>
          </w:p>
        </w:tc>
        <w:tc>
          <w:tcPr>
            <w:tcW w:w="961" w:type="dxa"/>
            <w:vAlign w:val="center"/>
          </w:tcPr>
          <w:p w14:paraId="0943087F"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0.771</w:t>
            </w:r>
          </w:p>
        </w:tc>
        <w:tc>
          <w:tcPr>
            <w:tcW w:w="959" w:type="dxa"/>
            <w:vAlign w:val="center"/>
          </w:tcPr>
          <w:p w14:paraId="09430880"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-0.008</w:t>
            </w:r>
          </w:p>
        </w:tc>
        <w:tc>
          <w:tcPr>
            <w:tcW w:w="961" w:type="dxa"/>
            <w:vAlign w:val="center"/>
          </w:tcPr>
          <w:p w14:paraId="09430881"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0.145</w:t>
            </w:r>
          </w:p>
        </w:tc>
        <w:tc>
          <w:tcPr>
            <w:tcW w:w="959" w:type="dxa"/>
            <w:vAlign w:val="center"/>
          </w:tcPr>
          <w:p w14:paraId="09430882" w14:textId="77777777" w:rsidR="00901C90" w:rsidRPr="00FE3F56" w:rsidRDefault="00A34875">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0.958</w:t>
            </w:r>
          </w:p>
        </w:tc>
        <w:tc>
          <w:tcPr>
            <w:tcW w:w="961" w:type="dxa"/>
            <w:shd w:val="clear" w:color="auto" w:fill="auto"/>
            <w:vAlign w:val="center"/>
          </w:tcPr>
          <w:p w14:paraId="09430883"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0.152</w:t>
            </w:r>
          </w:p>
        </w:tc>
        <w:tc>
          <w:tcPr>
            <w:tcW w:w="959" w:type="dxa"/>
            <w:shd w:val="clear" w:color="auto" w:fill="auto"/>
            <w:vAlign w:val="center"/>
          </w:tcPr>
          <w:p w14:paraId="09430884"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0.184</w:t>
            </w:r>
          </w:p>
        </w:tc>
        <w:tc>
          <w:tcPr>
            <w:tcW w:w="961" w:type="dxa"/>
            <w:shd w:val="clear" w:color="auto" w:fill="auto"/>
            <w:vAlign w:val="center"/>
          </w:tcPr>
          <w:p w14:paraId="09430885"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0.136</w:t>
            </w:r>
          </w:p>
        </w:tc>
        <w:tc>
          <w:tcPr>
            <w:tcW w:w="959" w:type="dxa"/>
            <w:shd w:val="clear" w:color="auto" w:fill="auto"/>
            <w:vAlign w:val="center"/>
          </w:tcPr>
          <w:p w14:paraId="09430886" w14:textId="77777777" w:rsidR="00901C90" w:rsidRPr="00FE3F56" w:rsidRDefault="00A34875">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0.176</w:t>
            </w:r>
          </w:p>
        </w:tc>
      </w:tr>
      <w:tr w:rsidR="00FE3F56" w:rsidRPr="00FE3F56" w14:paraId="09430895" w14:textId="77777777" w:rsidTr="00BD3B3E">
        <w:trPr>
          <w:trHeight w:val="300"/>
        </w:trPr>
        <w:tc>
          <w:tcPr>
            <w:tcW w:w="3261" w:type="dxa"/>
            <w:shd w:val="clear" w:color="auto" w:fill="auto"/>
            <w:vAlign w:val="center"/>
          </w:tcPr>
          <w:p w14:paraId="09430888" w14:textId="004FB8AC" w:rsidR="00A61CC6" w:rsidRPr="00FE3F56" w:rsidRDefault="00A61CC6" w:rsidP="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Parent's donor identity</w:t>
            </w:r>
          </w:p>
        </w:tc>
        <w:tc>
          <w:tcPr>
            <w:tcW w:w="961" w:type="dxa"/>
            <w:shd w:val="clear" w:color="auto" w:fill="auto"/>
            <w:vAlign w:val="center"/>
          </w:tcPr>
          <w:p w14:paraId="09430889" w14:textId="30A63514"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943088A" w14:textId="75113835"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61" w:type="dxa"/>
            <w:vAlign w:val="center"/>
          </w:tcPr>
          <w:p w14:paraId="0943088B" w14:textId="4670EBC1"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vAlign w:val="center"/>
          </w:tcPr>
          <w:p w14:paraId="0943088C" w14:textId="44DC9288"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0.056</w:t>
            </w:r>
          </w:p>
        </w:tc>
        <w:tc>
          <w:tcPr>
            <w:tcW w:w="961" w:type="dxa"/>
            <w:vAlign w:val="center"/>
          </w:tcPr>
          <w:p w14:paraId="0943088D" w14:textId="5CEE4DDC"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0.010</w:t>
            </w:r>
          </w:p>
        </w:tc>
        <w:tc>
          <w:tcPr>
            <w:tcW w:w="959" w:type="dxa"/>
            <w:vAlign w:val="center"/>
          </w:tcPr>
          <w:p w14:paraId="0943088E" w14:textId="3D2DE4B0"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c>
          <w:tcPr>
            <w:tcW w:w="961" w:type="dxa"/>
            <w:vAlign w:val="center"/>
          </w:tcPr>
          <w:p w14:paraId="0943088F" w14:textId="24AAFFC4"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0.051</w:t>
            </w:r>
          </w:p>
        </w:tc>
        <w:tc>
          <w:tcPr>
            <w:tcW w:w="959" w:type="dxa"/>
            <w:vAlign w:val="center"/>
          </w:tcPr>
          <w:p w14:paraId="09430890" w14:textId="4F22D526"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0.010</w:t>
            </w:r>
          </w:p>
        </w:tc>
        <w:tc>
          <w:tcPr>
            <w:tcW w:w="961" w:type="dxa"/>
            <w:shd w:val="clear" w:color="auto" w:fill="auto"/>
            <w:vAlign w:val="center"/>
          </w:tcPr>
          <w:p w14:paraId="09430891" w14:textId="0657EF92"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c>
          <w:tcPr>
            <w:tcW w:w="959" w:type="dxa"/>
            <w:shd w:val="clear" w:color="auto" w:fill="auto"/>
            <w:vAlign w:val="center"/>
          </w:tcPr>
          <w:p w14:paraId="09430892" w14:textId="768E6291"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0.051</w:t>
            </w:r>
          </w:p>
        </w:tc>
        <w:tc>
          <w:tcPr>
            <w:tcW w:w="961" w:type="dxa"/>
            <w:shd w:val="clear" w:color="auto" w:fill="auto"/>
            <w:vAlign w:val="center"/>
          </w:tcPr>
          <w:p w14:paraId="09430893" w14:textId="4F684D29"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0.010</w:t>
            </w:r>
          </w:p>
        </w:tc>
        <w:tc>
          <w:tcPr>
            <w:tcW w:w="959" w:type="dxa"/>
            <w:shd w:val="clear" w:color="auto" w:fill="auto"/>
            <w:vAlign w:val="center"/>
          </w:tcPr>
          <w:p w14:paraId="09430894" w14:textId="6F64FABA"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&lt;.001</w:t>
            </w:r>
          </w:p>
        </w:tc>
      </w:tr>
      <w:tr w:rsidR="00FE3F56" w:rsidRPr="00FE3F56" w14:paraId="7DC1B89F" w14:textId="77777777" w:rsidTr="00BD3B3E">
        <w:trPr>
          <w:trHeight w:val="300"/>
        </w:trPr>
        <w:tc>
          <w:tcPr>
            <w:tcW w:w="3261" w:type="dxa"/>
            <w:shd w:val="clear" w:color="auto" w:fill="auto"/>
            <w:vAlign w:val="center"/>
          </w:tcPr>
          <w:p w14:paraId="5745C83B" w14:textId="0DD53BB7" w:rsidR="00A61CC6" w:rsidRPr="00FE3F56" w:rsidRDefault="00A61CC6" w:rsidP="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Frequency of blood donation</w:t>
            </w:r>
          </w:p>
        </w:tc>
        <w:tc>
          <w:tcPr>
            <w:tcW w:w="961" w:type="dxa"/>
            <w:shd w:val="clear" w:color="auto" w:fill="auto"/>
            <w:vAlign w:val="center"/>
          </w:tcPr>
          <w:p w14:paraId="2B1F7213"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shd w:val="clear" w:color="auto" w:fill="auto"/>
            <w:vAlign w:val="center"/>
          </w:tcPr>
          <w:p w14:paraId="7068194B"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649F3CA4"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vAlign w:val="center"/>
          </w:tcPr>
          <w:p w14:paraId="4BE65D15"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5F8DD1FB"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vAlign w:val="center"/>
          </w:tcPr>
          <w:p w14:paraId="5EBD84D7"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279E1335" w14:textId="0FF3B3CD"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0.008</w:t>
            </w:r>
          </w:p>
        </w:tc>
        <w:tc>
          <w:tcPr>
            <w:tcW w:w="959" w:type="dxa"/>
            <w:vAlign w:val="center"/>
          </w:tcPr>
          <w:p w14:paraId="7653AFB1" w14:textId="13456743"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0.001</w:t>
            </w:r>
          </w:p>
        </w:tc>
        <w:tc>
          <w:tcPr>
            <w:tcW w:w="961" w:type="dxa"/>
            <w:shd w:val="clear" w:color="auto" w:fill="auto"/>
            <w:vAlign w:val="center"/>
          </w:tcPr>
          <w:p w14:paraId="03881888" w14:textId="68973A1F"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c>
          <w:tcPr>
            <w:tcW w:w="959" w:type="dxa"/>
            <w:shd w:val="clear" w:color="auto" w:fill="auto"/>
            <w:vAlign w:val="center"/>
          </w:tcPr>
          <w:p w14:paraId="1721DD5E" w14:textId="0C9DADBA"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0.007</w:t>
            </w:r>
          </w:p>
        </w:tc>
        <w:tc>
          <w:tcPr>
            <w:tcW w:w="961" w:type="dxa"/>
            <w:shd w:val="clear" w:color="auto" w:fill="auto"/>
            <w:vAlign w:val="center"/>
          </w:tcPr>
          <w:p w14:paraId="09362F53" w14:textId="181E72B8"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0.001</w:t>
            </w:r>
          </w:p>
        </w:tc>
        <w:tc>
          <w:tcPr>
            <w:tcW w:w="959" w:type="dxa"/>
            <w:shd w:val="clear" w:color="auto" w:fill="auto"/>
            <w:vAlign w:val="center"/>
          </w:tcPr>
          <w:p w14:paraId="7EC24443" w14:textId="6323AE85"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&lt;.001</w:t>
            </w:r>
          </w:p>
        </w:tc>
      </w:tr>
      <w:tr w:rsidR="00FE3F56" w:rsidRPr="00FE3F56" w14:paraId="70B8B187" w14:textId="77777777" w:rsidTr="00BD3B3E">
        <w:trPr>
          <w:trHeight w:val="300"/>
        </w:trPr>
        <w:tc>
          <w:tcPr>
            <w:tcW w:w="3261" w:type="dxa"/>
            <w:shd w:val="clear" w:color="auto" w:fill="auto"/>
            <w:vAlign w:val="center"/>
          </w:tcPr>
          <w:p w14:paraId="708D7BBF" w14:textId="4860879D" w:rsidR="00A61CC6" w:rsidRPr="00FE3F56" w:rsidRDefault="00A61CC6" w:rsidP="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The parent donated during the child’s childhood period (3y-11y)</w:t>
            </w:r>
          </w:p>
        </w:tc>
        <w:tc>
          <w:tcPr>
            <w:tcW w:w="961" w:type="dxa"/>
            <w:shd w:val="clear" w:color="auto" w:fill="auto"/>
            <w:vAlign w:val="center"/>
          </w:tcPr>
          <w:p w14:paraId="7ED14D3D"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shd w:val="clear" w:color="auto" w:fill="auto"/>
            <w:vAlign w:val="center"/>
          </w:tcPr>
          <w:p w14:paraId="3E8D0AEE"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43E92A59"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vAlign w:val="center"/>
          </w:tcPr>
          <w:p w14:paraId="630A62A9"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2077CE6E"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vAlign w:val="center"/>
          </w:tcPr>
          <w:p w14:paraId="2F370E0E"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6E22FC7C"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vAlign w:val="center"/>
          </w:tcPr>
          <w:p w14:paraId="4F3D133D"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7517DE1A"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2FB08E92" w14:textId="6AEB0E90"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0.049</w:t>
            </w:r>
          </w:p>
        </w:tc>
        <w:tc>
          <w:tcPr>
            <w:tcW w:w="961" w:type="dxa"/>
            <w:shd w:val="clear" w:color="auto" w:fill="auto"/>
            <w:vAlign w:val="center"/>
          </w:tcPr>
          <w:p w14:paraId="235A4C16" w14:textId="569A99E1"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0.065</w:t>
            </w:r>
          </w:p>
        </w:tc>
        <w:tc>
          <w:tcPr>
            <w:tcW w:w="959" w:type="dxa"/>
            <w:shd w:val="clear" w:color="auto" w:fill="auto"/>
            <w:vAlign w:val="center"/>
          </w:tcPr>
          <w:p w14:paraId="5A25A1B0" w14:textId="040E386A"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0.448</w:t>
            </w:r>
          </w:p>
        </w:tc>
      </w:tr>
      <w:tr w:rsidR="00FE3F56" w:rsidRPr="00FE3F56" w14:paraId="06AD87C0" w14:textId="77777777" w:rsidTr="00BD3B3E">
        <w:trPr>
          <w:trHeight w:val="300"/>
        </w:trPr>
        <w:tc>
          <w:tcPr>
            <w:tcW w:w="3261" w:type="dxa"/>
            <w:shd w:val="clear" w:color="auto" w:fill="auto"/>
            <w:vAlign w:val="center"/>
          </w:tcPr>
          <w:p w14:paraId="4BD4878D" w14:textId="3A3F6B5A" w:rsidR="00A61CC6" w:rsidRPr="00FE3F56" w:rsidRDefault="00A61CC6" w:rsidP="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The parent donated during the child’s adolescence period (12y-18y)</w:t>
            </w:r>
          </w:p>
        </w:tc>
        <w:tc>
          <w:tcPr>
            <w:tcW w:w="961" w:type="dxa"/>
            <w:shd w:val="clear" w:color="auto" w:fill="auto"/>
            <w:vAlign w:val="center"/>
          </w:tcPr>
          <w:p w14:paraId="336111C0"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shd w:val="clear" w:color="auto" w:fill="auto"/>
            <w:vAlign w:val="center"/>
          </w:tcPr>
          <w:p w14:paraId="2DF2D150"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5754A661"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vAlign w:val="center"/>
          </w:tcPr>
          <w:p w14:paraId="657FB98B"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6FFDEF52"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vAlign w:val="center"/>
          </w:tcPr>
          <w:p w14:paraId="7BD31738"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vAlign w:val="center"/>
          </w:tcPr>
          <w:p w14:paraId="6C2EB80D"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vAlign w:val="center"/>
          </w:tcPr>
          <w:p w14:paraId="5757BC8A"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61" w:type="dxa"/>
            <w:shd w:val="clear" w:color="auto" w:fill="auto"/>
            <w:vAlign w:val="center"/>
          </w:tcPr>
          <w:p w14:paraId="5BE8D0AC"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shd w:val="clear" w:color="auto" w:fill="auto"/>
            <w:vAlign w:val="center"/>
          </w:tcPr>
          <w:p w14:paraId="0D9A4ED3" w14:textId="3096EEA9"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-0.226</w:t>
            </w:r>
          </w:p>
        </w:tc>
        <w:tc>
          <w:tcPr>
            <w:tcW w:w="961" w:type="dxa"/>
            <w:shd w:val="clear" w:color="auto" w:fill="auto"/>
            <w:vAlign w:val="center"/>
          </w:tcPr>
          <w:p w14:paraId="73CE9D30" w14:textId="294E8D0E"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0.065</w:t>
            </w:r>
          </w:p>
        </w:tc>
        <w:tc>
          <w:tcPr>
            <w:tcW w:w="959" w:type="dxa"/>
            <w:shd w:val="clear" w:color="auto" w:fill="auto"/>
            <w:vAlign w:val="center"/>
          </w:tcPr>
          <w:p w14:paraId="58711E8A" w14:textId="45862CC0"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cs="Times New Roman"/>
                <w:color w:val="000000" w:themeColor="text1"/>
                <w:lang w:val="en-GB"/>
              </w:rPr>
              <w:t>0.001</w:t>
            </w:r>
          </w:p>
        </w:tc>
      </w:tr>
      <w:tr w:rsidR="00FE3F56" w:rsidRPr="00FE3F56" w14:paraId="2C95F43C" w14:textId="77777777" w:rsidTr="00BD3B3E">
        <w:trPr>
          <w:trHeight w:val="300"/>
        </w:trPr>
        <w:tc>
          <w:tcPr>
            <w:tcW w:w="3261" w:type="dxa"/>
            <w:tcBorders>
              <w:bottom w:val="single" w:sz="4" w:space="0" w:color="auto"/>
            </w:tcBorders>
            <w:shd w:val="clear" w:color="auto" w:fill="auto"/>
            <w:vAlign w:val="center"/>
          </w:tcPr>
          <w:p w14:paraId="0AC24D17" w14:textId="2E0622F4" w:rsidR="00A61CC6" w:rsidRPr="00FE3F56" w:rsidRDefault="00A61CC6" w:rsidP="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The parent donated during the child’s emerging adulthood period (19y-22y)</w:t>
            </w:r>
          </w:p>
        </w:tc>
        <w:tc>
          <w:tcPr>
            <w:tcW w:w="961" w:type="dxa"/>
            <w:tcBorders>
              <w:bottom w:val="single" w:sz="4" w:space="0" w:color="auto"/>
            </w:tcBorders>
            <w:shd w:val="clear" w:color="auto" w:fill="auto"/>
            <w:vAlign w:val="center"/>
          </w:tcPr>
          <w:p w14:paraId="5B142859"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tcBorders>
              <w:bottom w:val="single" w:sz="4" w:space="0" w:color="auto"/>
            </w:tcBorders>
            <w:shd w:val="clear" w:color="auto" w:fill="auto"/>
            <w:vAlign w:val="center"/>
          </w:tcPr>
          <w:p w14:paraId="2F5CB2A1"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tcBorders>
              <w:bottom w:val="single" w:sz="4" w:space="0" w:color="auto"/>
            </w:tcBorders>
            <w:vAlign w:val="center"/>
          </w:tcPr>
          <w:p w14:paraId="123D8B3B"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tcBorders>
              <w:bottom w:val="single" w:sz="4" w:space="0" w:color="auto"/>
            </w:tcBorders>
            <w:vAlign w:val="center"/>
          </w:tcPr>
          <w:p w14:paraId="5E130783"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tcBorders>
              <w:bottom w:val="single" w:sz="4" w:space="0" w:color="auto"/>
            </w:tcBorders>
            <w:vAlign w:val="center"/>
          </w:tcPr>
          <w:p w14:paraId="1B140575"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tcBorders>
              <w:bottom w:val="single" w:sz="4" w:space="0" w:color="auto"/>
            </w:tcBorders>
            <w:vAlign w:val="center"/>
          </w:tcPr>
          <w:p w14:paraId="6A221D50"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61" w:type="dxa"/>
            <w:tcBorders>
              <w:bottom w:val="single" w:sz="4" w:space="0" w:color="auto"/>
            </w:tcBorders>
            <w:vAlign w:val="center"/>
          </w:tcPr>
          <w:p w14:paraId="39CB6EAA" w14:textId="77777777" w:rsidR="00A61CC6" w:rsidRPr="00FE3F56" w:rsidRDefault="00A61CC6" w:rsidP="00A61CC6">
            <w:pPr>
              <w:widowControl w:val="0"/>
              <w:spacing w:after="0" w:line="240" w:lineRule="auto"/>
              <w:jc w:val="center"/>
              <w:rPr>
                <w:rFonts w:cs="Times New Roman"/>
                <w:color w:val="000000" w:themeColor="text1"/>
                <w:lang w:val="en-GB"/>
              </w:rPr>
            </w:pPr>
          </w:p>
        </w:tc>
        <w:tc>
          <w:tcPr>
            <w:tcW w:w="959" w:type="dxa"/>
            <w:tcBorders>
              <w:bottom w:val="single" w:sz="4" w:space="0" w:color="auto"/>
            </w:tcBorders>
            <w:vAlign w:val="center"/>
          </w:tcPr>
          <w:p w14:paraId="4C61391D"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61" w:type="dxa"/>
            <w:tcBorders>
              <w:bottom w:val="single" w:sz="4" w:space="0" w:color="auto"/>
            </w:tcBorders>
            <w:shd w:val="clear" w:color="auto" w:fill="auto"/>
            <w:vAlign w:val="center"/>
          </w:tcPr>
          <w:p w14:paraId="48D8E0B5" w14:textId="77777777" w:rsidR="00A61CC6" w:rsidRPr="00FE3F56" w:rsidRDefault="00A61CC6" w:rsidP="00A61CC6">
            <w:pPr>
              <w:widowControl w:val="0"/>
              <w:spacing w:after="0" w:line="240" w:lineRule="auto"/>
              <w:jc w:val="center"/>
              <w:rPr>
                <w:rFonts w:eastAsia="Times New Roman" w:cs="Times New Roman"/>
                <w:color w:val="000000" w:themeColor="text1"/>
                <w:lang w:val="en-GB"/>
              </w:rPr>
            </w:pPr>
          </w:p>
        </w:tc>
        <w:tc>
          <w:tcPr>
            <w:tcW w:w="959" w:type="dxa"/>
            <w:tcBorders>
              <w:bottom w:val="single" w:sz="4" w:space="0" w:color="auto"/>
            </w:tcBorders>
            <w:shd w:val="clear" w:color="auto" w:fill="auto"/>
            <w:vAlign w:val="center"/>
          </w:tcPr>
          <w:p w14:paraId="43314B0F" w14:textId="476F9359"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0.316</w:t>
            </w:r>
          </w:p>
        </w:tc>
        <w:tc>
          <w:tcPr>
            <w:tcW w:w="961" w:type="dxa"/>
            <w:tcBorders>
              <w:bottom w:val="single" w:sz="4" w:space="0" w:color="auto"/>
            </w:tcBorders>
            <w:shd w:val="clear" w:color="auto" w:fill="auto"/>
            <w:vAlign w:val="center"/>
          </w:tcPr>
          <w:p w14:paraId="551946FB" w14:textId="1E748FC1"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0.061</w:t>
            </w:r>
          </w:p>
        </w:tc>
        <w:tc>
          <w:tcPr>
            <w:tcW w:w="959" w:type="dxa"/>
            <w:tcBorders>
              <w:bottom w:val="single" w:sz="4" w:space="0" w:color="auto"/>
            </w:tcBorders>
            <w:shd w:val="clear" w:color="auto" w:fill="auto"/>
            <w:vAlign w:val="center"/>
          </w:tcPr>
          <w:p w14:paraId="45C4DE6E" w14:textId="78BBB175"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&lt;.001</w:t>
            </w:r>
          </w:p>
        </w:tc>
      </w:tr>
      <w:tr w:rsidR="00A61CC6" w:rsidRPr="00FE3F56" w14:paraId="076FF99F" w14:textId="77777777" w:rsidTr="00BD3B3E">
        <w:trPr>
          <w:trHeight w:val="300"/>
        </w:trPr>
        <w:tc>
          <w:tcPr>
            <w:tcW w:w="3261" w:type="dxa"/>
            <w:tcBorders>
              <w:top w:val="single" w:sz="4" w:space="0" w:color="auto"/>
              <w:bottom w:val="single" w:sz="4" w:space="0" w:color="auto"/>
            </w:tcBorders>
            <w:shd w:val="clear" w:color="auto" w:fill="auto"/>
          </w:tcPr>
          <w:p w14:paraId="78DA1148" w14:textId="767AFDF8" w:rsidR="00A61CC6" w:rsidRPr="00FE3F56" w:rsidRDefault="00A61CC6" w:rsidP="00A61CC6">
            <w:pPr>
              <w:widowControl w:val="0"/>
              <w:spacing w:after="0" w:line="240" w:lineRule="auto"/>
              <w:rPr>
                <w:rFonts w:eastAsia="Times New Roman" w:cs="Times New Roman"/>
                <w:color w:val="000000" w:themeColor="text1"/>
                <w:lang w:val="en-GB"/>
              </w:rPr>
            </w:pPr>
            <w:r w:rsidRPr="00FE3F56">
              <w:rPr>
                <w:rFonts w:eastAsia="Times New Roman" w:cs="Times New Roman"/>
                <w:color w:val="000000" w:themeColor="text1"/>
                <w:lang w:val="en-GB"/>
              </w:rPr>
              <w:t>Constant</w:t>
            </w:r>
          </w:p>
        </w:tc>
        <w:tc>
          <w:tcPr>
            <w:tcW w:w="961" w:type="dxa"/>
            <w:tcBorders>
              <w:top w:val="single" w:sz="4" w:space="0" w:color="auto"/>
              <w:bottom w:val="single" w:sz="4" w:space="0" w:color="auto"/>
            </w:tcBorders>
            <w:shd w:val="clear" w:color="auto" w:fill="auto"/>
            <w:vAlign w:val="center"/>
          </w:tcPr>
          <w:p w14:paraId="60D5FC87" w14:textId="676E02CF"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-3.192</w:t>
            </w:r>
          </w:p>
        </w:tc>
        <w:tc>
          <w:tcPr>
            <w:tcW w:w="959" w:type="dxa"/>
            <w:tcBorders>
              <w:top w:val="single" w:sz="4" w:space="0" w:color="auto"/>
              <w:bottom w:val="single" w:sz="4" w:space="0" w:color="auto"/>
            </w:tcBorders>
            <w:shd w:val="clear" w:color="auto" w:fill="auto"/>
            <w:vAlign w:val="center"/>
          </w:tcPr>
          <w:p w14:paraId="0C45AD2C" w14:textId="026EB8D0"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0.367</w:t>
            </w:r>
          </w:p>
        </w:tc>
        <w:tc>
          <w:tcPr>
            <w:tcW w:w="961" w:type="dxa"/>
            <w:tcBorders>
              <w:top w:val="single" w:sz="4" w:space="0" w:color="auto"/>
              <w:bottom w:val="single" w:sz="4" w:space="0" w:color="auto"/>
            </w:tcBorders>
            <w:vAlign w:val="center"/>
          </w:tcPr>
          <w:p w14:paraId="68113A90" w14:textId="6CB4AF78"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-3.565</w:t>
            </w:r>
          </w:p>
        </w:tc>
        <w:tc>
          <w:tcPr>
            <w:tcW w:w="959" w:type="dxa"/>
            <w:tcBorders>
              <w:top w:val="single" w:sz="4" w:space="0" w:color="auto"/>
              <w:bottom w:val="single" w:sz="4" w:space="0" w:color="auto"/>
            </w:tcBorders>
            <w:vAlign w:val="center"/>
          </w:tcPr>
          <w:p w14:paraId="78008E63" w14:textId="6ABC795E"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0.376</w:t>
            </w:r>
          </w:p>
        </w:tc>
        <w:tc>
          <w:tcPr>
            <w:tcW w:w="961" w:type="dxa"/>
            <w:tcBorders>
              <w:top w:val="single" w:sz="4" w:space="0" w:color="auto"/>
              <w:bottom w:val="single" w:sz="4" w:space="0" w:color="auto"/>
            </w:tcBorders>
            <w:vAlign w:val="center"/>
          </w:tcPr>
          <w:p w14:paraId="48635145" w14:textId="5B88F5C5"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&gt;.001</w:t>
            </w:r>
          </w:p>
        </w:tc>
        <w:tc>
          <w:tcPr>
            <w:tcW w:w="959" w:type="dxa"/>
            <w:tcBorders>
              <w:top w:val="single" w:sz="4" w:space="0" w:color="auto"/>
              <w:bottom w:val="single" w:sz="4" w:space="0" w:color="auto"/>
            </w:tcBorders>
            <w:vAlign w:val="center"/>
          </w:tcPr>
          <w:p w14:paraId="25318DB9" w14:textId="3049729D"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-3.068</w:t>
            </w:r>
          </w:p>
        </w:tc>
        <w:tc>
          <w:tcPr>
            <w:tcW w:w="961" w:type="dxa"/>
            <w:tcBorders>
              <w:top w:val="single" w:sz="4" w:space="0" w:color="auto"/>
              <w:bottom w:val="single" w:sz="4" w:space="0" w:color="auto"/>
            </w:tcBorders>
            <w:vAlign w:val="center"/>
          </w:tcPr>
          <w:p w14:paraId="7916BAE2" w14:textId="0CBEC808"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0.420</w:t>
            </w:r>
          </w:p>
        </w:tc>
        <w:tc>
          <w:tcPr>
            <w:tcW w:w="959" w:type="dxa"/>
            <w:tcBorders>
              <w:top w:val="single" w:sz="4" w:space="0" w:color="auto"/>
              <w:bottom w:val="single" w:sz="4" w:space="0" w:color="auto"/>
            </w:tcBorders>
            <w:vAlign w:val="center"/>
          </w:tcPr>
          <w:p w14:paraId="780C77A5" w14:textId="0E0C89F7"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&gt;.001</w:t>
            </w:r>
          </w:p>
        </w:tc>
        <w:tc>
          <w:tcPr>
            <w:tcW w:w="961" w:type="dxa"/>
            <w:tcBorders>
              <w:top w:val="single" w:sz="4" w:space="0" w:color="auto"/>
              <w:bottom w:val="single" w:sz="4" w:space="0" w:color="auto"/>
            </w:tcBorders>
            <w:shd w:val="clear" w:color="auto" w:fill="auto"/>
            <w:vAlign w:val="center"/>
          </w:tcPr>
          <w:p w14:paraId="1156E569" w14:textId="12157EE8"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&gt;.001</w:t>
            </w:r>
          </w:p>
        </w:tc>
        <w:tc>
          <w:tcPr>
            <w:tcW w:w="959" w:type="dxa"/>
            <w:tcBorders>
              <w:top w:val="single" w:sz="4" w:space="0" w:color="auto"/>
              <w:bottom w:val="single" w:sz="4" w:space="0" w:color="auto"/>
            </w:tcBorders>
            <w:shd w:val="clear" w:color="auto" w:fill="auto"/>
            <w:vAlign w:val="center"/>
          </w:tcPr>
          <w:p w14:paraId="4DABB959" w14:textId="5DB24A45"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-3.627</w:t>
            </w:r>
          </w:p>
        </w:tc>
        <w:tc>
          <w:tcPr>
            <w:tcW w:w="961" w:type="dxa"/>
            <w:tcBorders>
              <w:top w:val="single" w:sz="4" w:space="0" w:color="auto"/>
              <w:bottom w:val="single" w:sz="4" w:space="0" w:color="auto"/>
            </w:tcBorders>
            <w:shd w:val="clear" w:color="auto" w:fill="auto"/>
            <w:vAlign w:val="center"/>
          </w:tcPr>
          <w:p w14:paraId="4FF25AC1" w14:textId="1BD8178E" w:rsidR="00A61CC6" w:rsidRPr="00FE3F56" w:rsidRDefault="00A61CC6" w:rsidP="00A61CC6">
            <w:pPr>
              <w:widowControl w:val="0"/>
              <w:spacing w:after="0" w:line="240" w:lineRule="auto"/>
              <w:jc w:val="center"/>
              <w:rPr>
                <w:rFonts w:cs="Times New Roman"/>
                <w:color w:val="000000" w:themeColor="text1"/>
                <w:lang w:val="en-GB"/>
              </w:rPr>
            </w:pPr>
            <w:r w:rsidRPr="00FE3F56">
              <w:rPr>
                <w:rFonts w:cs="Times New Roman"/>
                <w:color w:val="000000" w:themeColor="text1"/>
                <w:lang w:val="en-GB"/>
              </w:rPr>
              <w:t>0.376</w:t>
            </w:r>
          </w:p>
        </w:tc>
        <w:tc>
          <w:tcPr>
            <w:tcW w:w="959" w:type="dxa"/>
            <w:tcBorders>
              <w:top w:val="single" w:sz="4" w:space="0" w:color="auto"/>
              <w:bottom w:val="single" w:sz="4" w:space="0" w:color="auto"/>
            </w:tcBorders>
            <w:shd w:val="clear" w:color="auto" w:fill="auto"/>
            <w:vAlign w:val="center"/>
          </w:tcPr>
          <w:p w14:paraId="1F908CA3" w14:textId="4C0C57EF" w:rsidR="00A61CC6" w:rsidRPr="00FE3F56" w:rsidRDefault="00A61CC6" w:rsidP="00A61CC6">
            <w:pPr>
              <w:widowControl w:val="0"/>
              <w:spacing w:after="0" w:line="240" w:lineRule="auto"/>
              <w:jc w:val="center"/>
              <w:rPr>
                <w:rFonts w:eastAsia="Times New Roman" w:cs="Times New Roman"/>
                <w:color w:val="000000" w:themeColor="text1"/>
                <w:lang w:val="en-GB"/>
              </w:rPr>
            </w:pPr>
            <w:r w:rsidRPr="00FE3F56">
              <w:rPr>
                <w:rFonts w:eastAsia="Times New Roman" w:cs="Times New Roman"/>
                <w:color w:val="000000" w:themeColor="text1"/>
                <w:lang w:val="en-GB"/>
              </w:rPr>
              <w:t>&gt;.001</w:t>
            </w:r>
          </w:p>
        </w:tc>
      </w:tr>
    </w:tbl>
    <w:p w14:paraId="09430896" w14:textId="77777777" w:rsidR="00901C90" w:rsidRPr="00FE3F56" w:rsidRDefault="00901C90">
      <w:pPr>
        <w:rPr>
          <w:rFonts w:cs="Times New Roman"/>
          <w:b/>
          <w:bCs/>
          <w:color w:val="000000" w:themeColor="text1"/>
          <w:lang w:val="en-GB"/>
        </w:rPr>
      </w:pPr>
    </w:p>
    <w:p w14:paraId="09430897" w14:textId="77777777" w:rsidR="00901C90" w:rsidRPr="00FE3F56" w:rsidRDefault="00901C90">
      <w:pPr>
        <w:rPr>
          <w:rFonts w:cs="Times New Roman"/>
          <w:b/>
          <w:bCs/>
          <w:color w:val="000000" w:themeColor="text1"/>
          <w:lang w:val="en-GB"/>
        </w:rPr>
      </w:pPr>
    </w:p>
    <w:p w14:paraId="09430898" w14:textId="77777777" w:rsidR="00901C90" w:rsidRPr="00FE3F56" w:rsidRDefault="00901C90">
      <w:pPr>
        <w:rPr>
          <w:rFonts w:cs="Times New Roman"/>
          <w:b/>
          <w:bCs/>
          <w:color w:val="000000" w:themeColor="text1"/>
          <w:lang w:val="en-GB"/>
        </w:rPr>
      </w:pPr>
    </w:p>
    <w:sectPr w:rsidR="00901C90" w:rsidRPr="00FE3F56">
      <w:pgSz w:w="16838" w:h="11906" w:orient="landscape"/>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Nirmala UI"/>
    <w:charset w:val="00"/>
    <w:family w:val="swiss"/>
    <w:pitch w:val="variable"/>
    <w:sig w:usb0="80008023" w:usb1="00002046"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437"/>
    <w:multiLevelType w:val="multilevel"/>
    <w:tmpl w:val="654819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7242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S2sDAxszAxMTM2MzNR0lEKTi0uzszPAykwqwUAtv+ncCwAAAA="/>
  </w:docVars>
  <w:rsids>
    <w:rsidRoot w:val="00901C90"/>
    <w:rsid w:val="00002036"/>
    <w:rsid w:val="0000525C"/>
    <w:rsid w:val="00040F0C"/>
    <w:rsid w:val="00073CB8"/>
    <w:rsid w:val="00090D69"/>
    <w:rsid w:val="000C1861"/>
    <w:rsid w:val="000C7141"/>
    <w:rsid w:val="000E04E0"/>
    <w:rsid w:val="0011391B"/>
    <w:rsid w:val="001E612C"/>
    <w:rsid w:val="002206C1"/>
    <w:rsid w:val="002368A2"/>
    <w:rsid w:val="00306F41"/>
    <w:rsid w:val="003337D6"/>
    <w:rsid w:val="00333DD6"/>
    <w:rsid w:val="003434F4"/>
    <w:rsid w:val="003457D3"/>
    <w:rsid w:val="00350CED"/>
    <w:rsid w:val="0036406A"/>
    <w:rsid w:val="003A12F6"/>
    <w:rsid w:val="004039EC"/>
    <w:rsid w:val="00407DAB"/>
    <w:rsid w:val="00463E53"/>
    <w:rsid w:val="004A1003"/>
    <w:rsid w:val="004D272D"/>
    <w:rsid w:val="00530819"/>
    <w:rsid w:val="00580C49"/>
    <w:rsid w:val="00590C99"/>
    <w:rsid w:val="006009BD"/>
    <w:rsid w:val="006904B4"/>
    <w:rsid w:val="007F6167"/>
    <w:rsid w:val="00806D17"/>
    <w:rsid w:val="00826CAA"/>
    <w:rsid w:val="00846B51"/>
    <w:rsid w:val="00901C90"/>
    <w:rsid w:val="00945FB8"/>
    <w:rsid w:val="009A0E49"/>
    <w:rsid w:val="00A34875"/>
    <w:rsid w:val="00A61CC6"/>
    <w:rsid w:val="00AB060F"/>
    <w:rsid w:val="00AC72F3"/>
    <w:rsid w:val="00AF01FE"/>
    <w:rsid w:val="00AF7503"/>
    <w:rsid w:val="00B15E4C"/>
    <w:rsid w:val="00B230C5"/>
    <w:rsid w:val="00B24D1D"/>
    <w:rsid w:val="00B541C6"/>
    <w:rsid w:val="00B55D0B"/>
    <w:rsid w:val="00B67491"/>
    <w:rsid w:val="00BD3B3E"/>
    <w:rsid w:val="00BD78E8"/>
    <w:rsid w:val="00BE56BC"/>
    <w:rsid w:val="00C44E29"/>
    <w:rsid w:val="00C46D6B"/>
    <w:rsid w:val="00C93E1C"/>
    <w:rsid w:val="00D94C90"/>
    <w:rsid w:val="00DA7F14"/>
    <w:rsid w:val="00DF71BA"/>
    <w:rsid w:val="00E132D1"/>
    <w:rsid w:val="00E242D8"/>
    <w:rsid w:val="00E52E0C"/>
    <w:rsid w:val="00E7626C"/>
    <w:rsid w:val="00E94CBC"/>
    <w:rsid w:val="00F0307D"/>
    <w:rsid w:val="00F03E2D"/>
    <w:rsid w:val="00F752C4"/>
    <w:rsid w:val="00FA06DA"/>
    <w:rsid w:val="00FE3F56"/>
    <w:rsid w:val="145D35F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04C8"/>
  <w15:docId w15:val="{7B4328F1-54A6-4D3F-BCCC-4E1995CF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03"/>
    <w:pPr>
      <w:spacing w:after="160" w:line="480" w:lineRule="auto"/>
      <w:jc w:val="both"/>
    </w:pPr>
    <w:rPr>
      <w:rFonts w:ascii="Times New Roman" w:hAnsi="Times New Roman"/>
      <w:sz w:val="24"/>
    </w:rPr>
  </w:style>
  <w:style w:type="paragraph" w:styleId="Heading1">
    <w:name w:val="heading 1"/>
    <w:basedOn w:val="Normal"/>
    <w:next w:val="Normal"/>
    <w:link w:val="Heading1Char"/>
    <w:uiPriority w:val="9"/>
    <w:qFormat/>
    <w:rsid w:val="145D35FC"/>
    <w:pPr>
      <w:jc w:val="center"/>
      <w:outlineLvl w:val="0"/>
    </w:pPr>
    <w:rPr>
      <w:rFonts w:cs="Times New Roman"/>
      <w:color w:val="000000" w:themeColor="text1"/>
      <w:lang w:val="en-US"/>
    </w:rPr>
  </w:style>
  <w:style w:type="paragraph" w:styleId="Heading2">
    <w:name w:val="heading 2"/>
    <w:basedOn w:val="Normal"/>
    <w:next w:val="Normal"/>
    <w:link w:val="Heading2Char"/>
    <w:uiPriority w:val="9"/>
    <w:unhideWhenUsed/>
    <w:qFormat/>
    <w:rsid w:val="00A4280C"/>
    <w:pPr>
      <w:keepNext/>
      <w:keepLines/>
      <w:spacing w:before="2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D5420"/>
    <w:rPr>
      <w:sz w:val="16"/>
      <w:szCs w:val="16"/>
    </w:rPr>
  </w:style>
  <w:style w:type="character" w:customStyle="1" w:styleId="CommentTextChar">
    <w:name w:val="Comment Text Char"/>
    <w:basedOn w:val="DefaultParagraphFont"/>
    <w:link w:val="CommentText"/>
    <w:uiPriority w:val="99"/>
    <w:qFormat/>
    <w:rsid w:val="006D5420"/>
    <w:rPr>
      <w:sz w:val="20"/>
      <w:szCs w:val="20"/>
    </w:rPr>
  </w:style>
  <w:style w:type="character" w:customStyle="1" w:styleId="CommentSubjectChar">
    <w:name w:val="Comment Subject Char"/>
    <w:basedOn w:val="CommentTextChar"/>
    <w:link w:val="CommentSubject"/>
    <w:uiPriority w:val="99"/>
    <w:semiHidden/>
    <w:qFormat/>
    <w:rsid w:val="006D5420"/>
    <w:rPr>
      <w:b/>
      <w:bCs/>
      <w:sz w:val="20"/>
      <w:szCs w:val="20"/>
    </w:rPr>
  </w:style>
  <w:style w:type="character" w:customStyle="1" w:styleId="TitleChar">
    <w:name w:val="Title Char"/>
    <w:basedOn w:val="DefaultParagraphFont"/>
    <w:link w:val="Title"/>
    <w:uiPriority w:val="10"/>
    <w:qFormat/>
    <w:rsid w:val="00951FA1"/>
    <w:rPr>
      <w:rFonts w:ascii="Times New Roman" w:eastAsiaTheme="majorEastAsia" w:hAnsi="Times New Roman" w:cstheme="majorBidi"/>
      <w:spacing w:val="-10"/>
      <w:kern w:val="2"/>
      <w:sz w:val="36"/>
      <w:szCs w:val="56"/>
    </w:rPr>
  </w:style>
  <w:style w:type="character" w:customStyle="1" w:styleId="SubtitleChar">
    <w:name w:val="Subtitle Char"/>
    <w:basedOn w:val="DefaultParagraphFont"/>
    <w:link w:val="Subtitle"/>
    <w:uiPriority w:val="11"/>
    <w:qFormat/>
    <w:rsid w:val="00DB0371"/>
    <w:rPr>
      <w:rFonts w:eastAsiaTheme="minorEastAsia"/>
      <w:color w:val="5A5A5A" w:themeColor="text1" w:themeTint="A5"/>
      <w:spacing w:val="15"/>
    </w:rPr>
  </w:style>
  <w:style w:type="character" w:customStyle="1" w:styleId="TitleChar1">
    <w:name w:val="Title Char1"/>
    <w:basedOn w:val="DefaultParagraphFont"/>
    <w:uiPriority w:val="10"/>
    <w:qFormat/>
    <w:rsid w:val="00DB0371"/>
    <w:rPr>
      <w:rFonts w:asciiTheme="majorHAnsi" w:eastAsiaTheme="majorEastAsia" w:hAnsiTheme="majorHAnsi" w:cstheme="majorBidi"/>
      <w:spacing w:val="-10"/>
      <w:kern w:val="2"/>
      <w:sz w:val="56"/>
      <w:szCs w:val="56"/>
    </w:rPr>
  </w:style>
  <w:style w:type="character" w:customStyle="1" w:styleId="SubtitleChar1">
    <w:name w:val="Subtitle Char1"/>
    <w:basedOn w:val="DefaultParagraphFont"/>
    <w:uiPriority w:val="11"/>
    <w:qFormat/>
    <w:rsid w:val="00DB0371"/>
    <w:rPr>
      <w:rFonts w:eastAsiaTheme="minorEastAsia"/>
      <w:color w:val="5A5A5A" w:themeColor="text1" w:themeTint="A5"/>
      <w:spacing w:val="15"/>
    </w:rPr>
  </w:style>
  <w:style w:type="character" w:styleId="Hyperlink">
    <w:name w:val="Hyperlink"/>
    <w:basedOn w:val="DefaultParagraphFont"/>
    <w:uiPriority w:val="99"/>
    <w:unhideWhenUsed/>
    <w:rsid w:val="00735321"/>
    <w:rPr>
      <w:color w:val="0563C1" w:themeColor="hyperlink"/>
      <w:u w:val="single"/>
    </w:rPr>
  </w:style>
  <w:style w:type="character" w:styleId="UnresolvedMention">
    <w:name w:val="Unresolved Mention"/>
    <w:basedOn w:val="DefaultParagraphFont"/>
    <w:uiPriority w:val="99"/>
    <w:semiHidden/>
    <w:unhideWhenUsed/>
    <w:qFormat/>
    <w:rsid w:val="000D1852"/>
    <w:rPr>
      <w:color w:val="605E5C"/>
      <w:shd w:val="clear" w:color="auto" w:fill="E1DFDD"/>
    </w:rPr>
  </w:style>
  <w:style w:type="character" w:customStyle="1" w:styleId="Heading2Char">
    <w:name w:val="Heading 2 Char"/>
    <w:basedOn w:val="DefaultParagraphFont"/>
    <w:link w:val="Heading2"/>
    <w:uiPriority w:val="9"/>
    <w:qFormat/>
    <w:rsid w:val="00A4280C"/>
    <w:rPr>
      <w:rFonts w:ascii="Times New Roman" w:eastAsiaTheme="majorEastAsia" w:hAnsi="Times New Roman" w:cstheme="majorBidi"/>
      <w:b/>
      <w:color w:val="000000" w:themeColor="text1"/>
      <w:sz w:val="24"/>
      <w:szCs w:val="26"/>
    </w:rPr>
  </w:style>
  <w:style w:type="character" w:styleId="FollowedHyperlink">
    <w:name w:val="FollowedHyperlink"/>
    <w:basedOn w:val="DefaultParagraphFont"/>
    <w:uiPriority w:val="99"/>
    <w:semiHidden/>
    <w:unhideWhenUsed/>
    <w:rsid w:val="000B21C4"/>
    <w:rPr>
      <w:color w:val="954F72" w:themeColor="followedHyperlink"/>
      <w:u w:val="single"/>
    </w:rPr>
  </w:style>
  <w:style w:type="character" w:customStyle="1" w:styleId="Heading1Char">
    <w:name w:val="Heading 1 Char"/>
    <w:basedOn w:val="DefaultParagraphFont"/>
    <w:link w:val="Heading1"/>
    <w:uiPriority w:val="9"/>
    <w:qFormat/>
    <w:rsid w:val="00951FA1"/>
    <w:rPr>
      <w:rFonts w:ascii="Times New Roman" w:hAnsi="Times New Roman" w:cs="Times New Roman"/>
      <w:color w:val="000000" w:themeColor="text1"/>
      <w:sz w:val="24"/>
      <w:lang w:val="en-US"/>
    </w:rPr>
  </w:style>
  <w:style w:type="character" w:styleId="LineNumber">
    <w:name w:val="line number"/>
  </w:style>
  <w:style w:type="paragraph" w:customStyle="1" w:styleId="Kop">
    <w:name w:val="Kop"/>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Cs w:val="24"/>
    </w:rPr>
  </w:style>
  <w:style w:type="paragraph" w:customStyle="1" w:styleId="caption11">
    <w:name w:val="caption11"/>
    <w:basedOn w:val="Normal"/>
    <w:qFormat/>
    <w:pPr>
      <w:suppressLineNumbers/>
      <w:spacing w:before="120" w:after="120"/>
    </w:pPr>
    <w:rPr>
      <w:rFonts w:cs="Noto Sans Devanagari"/>
      <w:i/>
      <w:iCs/>
      <w:szCs w:val="24"/>
    </w:rPr>
  </w:style>
  <w:style w:type="paragraph" w:styleId="ListParagraph">
    <w:name w:val="List Paragraph"/>
    <w:basedOn w:val="Normal"/>
    <w:uiPriority w:val="34"/>
    <w:qFormat/>
    <w:rsid w:val="00E6276B"/>
    <w:pPr>
      <w:ind w:left="720"/>
      <w:contextualSpacing/>
    </w:pPr>
  </w:style>
  <w:style w:type="paragraph" w:styleId="CommentText">
    <w:name w:val="annotation text"/>
    <w:basedOn w:val="Normal"/>
    <w:link w:val="CommentTextChar"/>
    <w:uiPriority w:val="99"/>
    <w:unhideWhenUsed/>
    <w:qFormat/>
    <w:rsid w:val="006D542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D5420"/>
    <w:rPr>
      <w:b/>
      <w:bCs/>
    </w:rPr>
  </w:style>
  <w:style w:type="paragraph" w:styleId="Title">
    <w:name w:val="Title"/>
    <w:basedOn w:val="Normal"/>
    <w:next w:val="Normal"/>
    <w:link w:val="TitleChar"/>
    <w:uiPriority w:val="10"/>
    <w:qFormat/>
    <w:rsid w:val="00951FA1"/>
    <w:pPr>
      <w:spacing w:after="0" w:line="240" w:lineRule="auto"/>
      <w:contextualSpacing/>
    </w:pPr>
    <w:rPr>
      <w:rFonts w:eastAsiaTheme="majorEastAsia" w:cstheme="majorBidi"/>
      <w:spacing w:val="-10"/>
      <w:kern w:val="2"/>
      <w:sz w:val="36"/>
      <w:szCs w:val="56"/>
    </w:rPr>
  </w:style>
  <w:style w:type="paragraph" w:styleId="Subtitle">
    <w:name w:val="Subtitle"/>
    <w:basedOn w:val="Normal"/>
    <w:next w:val="Normal"/>
    <w:link w:val="SubtitleChar"/>
    <w:uiPriority w:val="11"/>
    <w:qFormat/>
    <w:rsid w:val="00DB0371"/>
    <w:rPr>
      <w:rFonts w:eastAsiaTheme="minorEastAsia"/>
      <w:color w:val="5A5A5A" w:themeColor="text1" w:themeTint="A5"/>
      <w:spacing w:val="15"/>
    </w:rPr>
  </w:style>
  <w:style w:type="paragraph" w:customStyle="1" w:styleId="western">
    <w:name w:val="western"/>
    <w:basedOn w:val="Normal"/>
    <w:qFormat/>
    <w:rsid w:val="008C21A3"/>
    <w:pPr>
      <w:suppressAutoHyphens w:val="0"/>
      <w:spacing w:beforeAutospacing="1" w:after="142" w:line="276" w:lineRule="auto"/>
    </w:pPr>
    <w:rPr>
      <w:rFonts w:ascii="Calibri" w:eastAsia="Times New Roman" w:hAnsi="Calibri" w:cs="Calibri"/>
      <w:color w:val="000000"/>
    </w:rPr>
  </w:style>
  <w:style w:type="paragraph" w:styleId="Revision">
    <w:name w:val="Revision"/>
    <w:uiPriority w:val="99"/>
    <w:semiHidden/>
    <w:qFormat/>
    <w:rsid w:val="005F040F"/>
    <w:pPr>
      <w:suppressAutoHyphens w:val="0"/>
    </w:pPr>
    <w:rPr>
      <w:sz w:val="22"/>
    </w:rPr>
  </w:style>
  <w:style w:type="paragraph" w:styleId="NormalWeb">
    <w:name w:val="Normal (Web)"/>
    <w:basedOn w:val="Normal"/>
    <w:uiPriority w:val="99"/>
    <w:unhideWhenUsed/>
    <w:qFormat/>
    <w:rsid w:val="007B0B84"/>
    <w:pPr>
      <w:suppressAutoHyphens w:val="0"/>
      <w:spacing w:beforeAutospacing="1" w:afterAutospacing="1" w:line="240" w:lineRule="auto"/>
    </w:pPr>
    <w:rPr>
      <w:rFonts w:eastAsia="Times New Roman" w:cs="Times New Roman"/>
      <w:szCs w:val="24"/>
    </w:rPr>
  </w:style>
  <w:style w:type="paragraph" w:customStyle="1" w:styleId="Inhoudtabel">
    <w:name w:val="Inhoud tabel"/>
    <w:basedOn w:val="Normal"/>
    <w:qFormat/>
    <w:pPr>
      <w:widowControl w:val="0"/>
      <w:suppressLineNumbers/>
    </w:pPr>
  </w:style>
  <w:style w:type="paragraph" w:customStyle="1" w:styleId="Tabelkop">
    <w:name w:val="Tabelkop"/>
    <w:basedOn w:val="Inhoudtabel"/>
    <w:qFormat/>
    <w:pPr>
      <w:jc w:val="center"/>
    </w:pPr>
    <w:rPr>
      <w:b/>
      <w:bCs/>
    </w:rPr>
  </w:style>
  <w:style w:type="table" w:styleId="TableGrid">
    <w:name w:val="Table Grid"/>
    <w:basedOn w:val="TableNormal"/>
    <w:uiPriority w:val="39"/>
    <w:rsid w:val="000B21C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A5E6-5288-404E-9E01-2EAE9C98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7782</Words>
  <Characters>44359</Characters>
  <Application>Microsoft Office Word</Application>
  <DocSecurity>0</DocSecurity>
  <Lines>369</Lines>
  <Paragraphs>104</Paragraphs>
  <ScaleCrop>false</ScaleCrop>
  <Company>Vrije Universiteit</Company>
  <LinksUpToDate>false</LinksUpToDate>
  <CharactersWithSpaces>52037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ciausescu</dc:creator>
  <dc:description/>
  <cp:lastModifiedBy>Mats Heemskerk</cp:lastModifiedBy>
  <cp:revision>21</cp:revision>
  <dcterms:created xsi:type="dcterms:W3CDTF">2023-05-30T13:35:00Z</dcterms:created>
  <dcterms:modified xsi:type="dcterms:W3CDTF">2023-06-06T11:20:00Z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55e0711dc3915f27c3ef97fb1e3ddd7a25645fbb3906399a3429970dcd720b59</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