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A941" w14:textId="02314D34" w:rsidR="006C2D40" w:rsidRPr="0042618B" w:rsidRDefault="003209E4" w:rsidP="004B7492">
      <w:pPr>
        <w:pStyle w:val="Heading2"/>
        <w:rPr>
          <w:color w:val="auto"/>
          <w:sz w:val="28"/>
          <w:szCs w:val="28"/>
        </w:rPr>
      </w:pPr>
      <w:bookmarkStart w:id="1" w:name="_Hlk136365139"/>
      <w:bookmarkStart w:id="2" w:name="_Hlk135294397"/>
      <w:r w:rsidRPr="0042618B">
        <w:rPr>
          <w:color w:val="auto"/>
          <w:sz w:val="28"/>
          <w:szCs w:val="28"/>
        </w:rPr>
        <w:t xml:space="preserve">Effectiveness is </w:t>
      </w:r>
      <w:r w:rsidR="002F4F58" w:rsidRPr="0042618B">
        <w:rPr>
          <w:color w:val="auto"/>
          <w:sz w:val="28"/>
          <w:szCs w:val="28"/>
        </w:rPr>
        <w:t>n</w:t>
      </w:r>
      <w:r w:rsidRPr="0042618B">
        <w:rPr>
          <w:color w:val="auto"/>
          <w:sz w:val="28"/>
          <w:szCs w:val="28"/>
        </w:rPr>
        <w:t xml:space="preserve">ot </w:t>
      </w:r>
      <w:r w:rsidR="002F4F58" w:rsidRPr="0042618B">
        <w:rPr>
          <w:color w:val="auto"/>
          <w:sz w:val="28"/>
          <w:szCs w:val="28"/>
        </w:rPr>
        <w:t>E</w:t>
      </w:r>
      <w:r w:rsidRPr="0042618B">
        <w:rPr>
          <w:color w:val="auto"/>
          <w:sz w:val="28"/>
          <w:szCs w:val="28"/>
        </w:rPr>
        <w:t>nough:</w:t>
      </w:r>
    </w:p>
    <w:p w14:paraId="79E5E854" w14:textId="3AAE942B" w:rsidR="003209E4" w:rsidRPr="0042618B" w:rsidRDefault="003209E4" w:rsidP="004B7492">
      <w:pPr>
        <w:pStyle w:val="Heading2"/>
        <w:rPr>
          <w:color w:val="auto"/>
          <w:sz w:val="28"/>
          <w:szCs w:val="28"/>
        </w:rPr>
      </w:pPr>
      <w:r w:rsidRPr="0042618B">
        <w:rPr>
          <w:color w:val="auto"/>
          <w:sz w:val="28"/>
          <w:szCs w:val="28"/>
        </w:rPr>
        <w:t>The</w:t>
      </w:r>
      <w:r w:rsidR="00E961A8" w:rsidRPr="0042618B">
        <w:rPr>
          <w:color w:val="auto"/>
          <w:sz w:val="28"/>
          <w:szCs w:val="28"/>
        </w:rPr>
        <w:t xml:space="preserve"> </w:t>
      </w:r>
      <w:r w:rsidR="003953AB">
        <w:rPr>
          <w:color w:val="auto"/>
          <w:sz w:val="28"/>
          <w:szCs w:val="28"/>
        </w:rPr>
        <w:t>Total Effect</w:t>
      </w:r>
      <w:r w:rsidRPr="0042618B">
        <w:rPr>
          <w:color w:val="auto"/>
          <w:sz w:val="28"/>
          <w:szCs w:val="28"/>
        </w:rPr>
        <w:t xml:space="preserve"> of </w:t>
      </w:r>
      <w:r w:rsidR="000427AF" w:rsidRPr="0042618B">
        <w:rPr>
          <w:color w:val="auto"/>
          <w:sz w:val="28"/>
          <w:szCs w:val="28"/>
        </w:rPr>
        <w:t xml:space="preserve">the </w:t>
      </w:r>
      <w:r w:rsidR="002F4F58" w:rsidRPr="0042618B">
        <w:rPr>
          <w:color w:val="auto"/>
          <w:sz w:val="28"/>
          <w:szCs w:val="28"/>
        </w:rPr>
        <w:t>T</w:t>
      </w:r>
      <w:r w:rsidRPr="0042618B">
        <w:rPr>
          <w:color w:val="auto"/>
          <w:sz w:val="28"/>
          <w:szCs w:val="28"/>
        </w:rPr>
        <w:t xml:space="preserve">ax </w:t>
      </w:r>
      <w:r w:rsidR="00557A32">
        <w:rPr>
          <w:color w:val="auto"/>
          <w:sz w:val="28"/>
          <w:szCs w:val="28"/>
        </w:rPr>
        <w:t>Policy</w:t>
      </w:r>
      <w:r w:rsidR="000427AF" w:rsidRPr="0042618B">
        <w:rPr>
          <w:color w:val="auto"/>
          <w:sz w:val="28"/>
          <w:szCs w:val="28"/>
        </w:rPr>
        <w:t xml:space="preserve"> </w:t>
      </w:r>
      <w:r w:rsidR="00557A32">
        <w:rPr>
          <w:color w:val="auto"/>
          <w:sz w:val="28"/>
          <w:szCs w:val="28"/>
        </w:rPr>
        <w:t>toward</w:t>
      </w:r>
      <w:r w:rsidR="000427AF" w:rsidRPr="0042618B">
        <w:rPr>
          <w:color w:val="auto"/>
          <w:sz w:val="28"/>
          <w:szCs w:val="28"/>
        </w:rPr>
        <w:t xml:space="preserve"> Charitable</w:t>
      </w:r>
      <w:r w:rsidR="005A53D6" w:rsidRPr="0042618B">
        <w:rPr>
          <w:color w:val="auto"/>
          <w:sz w:val="28"/>
          <w:szCs w:val="28"/>
        </w:rPr>
        <w:t xml:space="preserve"> </w:t>
      </w:r>
      <w:r w:rsidR="00CA5827" w:rsidRPr="0042618B">
        <w:rPr>
          <w:color w:val="auto"/>
          <w:sz w:val="28"/>
          <w:szCs w:val="28"/>
        </w:rPr>
        <w:t xml:space="preserve">Giving </w:t>
      </w:r>
      <w:r w:rsidR="009B0875" w:rsidRPr="0042618B">
        <w:rPr>
          <w:color w:val="auto"/>
          <w:sz w:val="28"/>
          <w:szCs w:val="28"/>
        </w:rPr>
        <w:t xml:space="preserve">– </w:t>
      </w:r>
      <w:r w:rsidR="00480C2D" w:rsidRPr="0042618B">
        <w:rPr>
          <w:color w:val="auto"/>
          <w:sz w:val="28"/>
          <w:szCs w:val="28"/>
        </w:rPr>
        <w:t>Boundaries</w:t>
      </w:r>
      <w:r w:rsidRPr="0042618B">
        <w:rPr>
          <w:color w:val="auto"/>
          <w:sz w:val="28"/>
          <w:szCs w:val="28"/>
        </w:rPr>
        <w:t xml:space="preserve">, </w:t>
      </w:r>
      <w:r w:rsidR="002F4F58" w:rsidRPr="0042618B">
        <w:rPr>
          <w:color w:val="auto"/>
          <w:sz w:val="28"/>
          <w:szCs w:val="28"/>
        </w:rPr>
        <w:t>T</w:t>
      </w:r>
      <w:r w:rsidRPr="0042618B">
        <w:rPr>
          <w:color w:val="auto"/>
          <w:sz w:val="28"/>
          <w:szCs w:val="28"/>
        </w:rPr>
        <w:t xml:space="preserve">ake-up, and </w:t>
      </w:r>
      <w:r w:rsidR="002F4F58" w:rsidRPr="0042618B">
        <w:rPr>
          <w:color w:val="auto"/>
          <w:sz w:val="28"/>
          <w:szCs w:val="28"/>
        </w:rPr>
        <w:t>E</w:t>
      </w:r>
      <w:r w:rsidRPr="0042618B">
        <w:rPr>
          <w:color w:val="auto"/>
          <w:sz w:val="28"/>
          <w:szCs w:val="28"/>
        </w:rPr>
        <w:t>ffectiveness</w:t>
      </w:r>
    </w:p>
    <w:bookmarkEnd w:id="1"/>
    <w:p w14:paraId="47E51D37" w14:textId="77777777" w:rsidR="003209E4" w:rsidRPr="004D7DFE" w:rsidRDefault="003209E4" w:rsidP="00DD22B5">
      <w:pPr>
        <w:ind w:firstLine="0"/>
        <w:jc w:val="center"/>
      </w:pPr>
    </w:p>
    <w:p w14:paraId="081866E6" w14:textId="7A1A8D9E" w:rsidR="00DD22B5" w:rsidRDefault="003209E4" w:rsidP="00DD22B5">
      <w:pPr>
        <w:ind w:firstLine="0"/>
        <w:jc w:val="center"/>
        <w:rPr>
          <w:sz w:val="24"/>
          <w:szCs w:val="24"/>
        </w:rPr>
      </w:pPr>
      <w:r w:rsidRPr="00DD22B5">
        <w:rPr>
          <w:sz w:val="24"/>
          <w:szCs w:val="24"/>
        </w:rPr>
        <w:t xml:space="preserve">Osnat Hazan, </w:t>
      </w:r>
      <w:r w:rsidR="005A53D6">
        <w:rPr>
          <w:sz w:val="24"/>
          <w:szCs w:val="24"/>
        </w:rPr>
        <w:t>Ph.D</w:t>
      </w:r>
      <w:r w:rsidRPr="00DD22B5">
        <w:rPr>
          <w:sz w:val="24"/>
          <w:szCs w:val="24"/>
        </w:rPr>
        <w:t>.</w:t>
      </w:r>
      <w:bookmarkEnd w:id="2"/>
    </w:p>
    <w:p w14:paraId="1DB60B4F" w14:textId="77777777" w:rsidR="00DD22B5" w:rsidRDefault="003209E4" w:rsidP="00DD22B5">
      <w:pPr>
        <w:ind w:firstLine="0"/>
        <w:jc w:val="center"/>
        <w:rPr>
          <w:sz w:val="24"/>
          <w:szCs w:val="24"/>
        </w:rPr>
      </w:pPr>
      <w:r w:rsidRPr="00DD22B5">
        <w:rPr>
          <w:sz w:val="24"/>
          <w:szCs w:val="24"/>
        </w:rPr>
        <w:t>The Institute for Law and Philanthropy</w:t>
      </w:r>
      <w:r w:rsidR="00A96B24" w:rsidRPr="00DD22B5">
        <w:rPr>
          <w:sz w:val="24"/>
          <w:szCs w:val="24"/>
        </w:rPr>
        <w:t>,</w:t>
      </w:r>
      <w:r w:rsidRPr="00DD22B5">
        <w:rPr>
          <w:sz w:val="24"/>
          <w:szCs w:val="24"/>
        </w:rPr>
        <w:t xml:space="preserve"> Buchmann Faculty of Law,</w:t>
      </w:r>
    </w:p>
    <w:p w14:paraId="46ED16D1" w14:textId="3AE6BE22" w:rsidR="003209E4" w:rsidRPr="00DD22B5" w:rsidRDefault="003209E4" w:rsidP="002C4152">
      <w:pPr>
        <w:ind w:firstLine="0"/>
        <w:jc w:val="center"/>
        <w:rPr>
          <w:sz w:val="24"/>
          <w:szCs w:val="24"/>
        </w:rPr>
      </w:pPr>
      <w:r w:rsidRPr="00DD22B5">
        <w:rPr>
          <w:sz w:val="24"/>
          <w:szCs w:val="24"/>
        </w:rPr>
        <w:t>Tel</w:t>
      </w:r>
      <w:r w:rsidR="00AC67BE">
        <w:rPr>
          <w:sz w:val="24"/>
          <w:szCs w:val="24"/>
        </w:rPr>
        <w:t xml:space="preserve"> </w:t>
      </w:r>
      <w:r w:rsidRPr="00DD22B5">
        <w:rPr>
          <w:sz w:val="24"/>
          <w:szCs w:val="24"/>
        </w:rPr>
        <w:t>Aviv University, ISRAEL</w:t>
      </w:r>
    </w:p>
    <w:p w14:paraId="10911E87" w14:textId="1AC7F7C2" w:rsidR="003209E4" w:rsidRPr="00DD22B5" w:rsidRDefault="003209E4">
      <w:pPr>
        <w:ind w:firstLine="0"/>
        <w:jc w:val="center"/>
        <w:rPr>
          <w:sz w:val="24"/>
          <w:szCs w:val="24"/>
        </w:rPr>
      </w:pPr>
      <w:r w:rsidRPr="00DD22B5">
        <w:rPr>
          <w:sz w:val="24"/>
          <w:szCs w:val="24"/>
        </w:rPr>
        <w:t>97</w:t>
      </w:r>
      <w:r w:rsidR="009B0875" w:rsidRPr="00DD22B5">
        <w:rPr>
          <w:sz w:val="24"/>
          <w:szCs w:val="24"/>
        </w:rPr>
        <w:t>2</w:t>
      </w:r>
      <w:r w:rsidR="00407071">
        <w:rPr>
          <w:sz w:val="24"/>
          <w:szCs w:val="24"/>
        </w:rPr>
        <w:t>-</w:t>
      </w:r>
      <w:r w:rsidRPr="00DD22B5">
        <w:rPr>
          <w:sz w:val="24"/>
          <w:szCs w:val="24"/>
        </w:rPr>
        <w:t>50</w:t>
      </w:r>
      <w:r w:rsidR="00AC67BE">
        <w:rPr>
          <w:sz w:val="24"/>
          <w:szCs w:val="24"/>
        </w:rPr>
        <w:t>-</w:t>
      </w:r>
      <w:r w:rsidR="005B74F1" w:rsidRPr="00DD22B5">
        <w:rPr>
          <w:sz w:val="24"/>
          <w:szCs w:val="24"/>
          <w:rtl/>
        </w:rPr>
        <w:t>6</w:t>
      </w:r>
      <w:r w:rsidRPr="00DD22B5">
        <w:rPr>
          <w:sz w:val="24"/>
          <w:szCs w:val="24"/>
        </w:rPr>
        <w:t>238334</w:t>
      </w:r>
    </w:p>
    <w:p w14:paraId="2A4CE947" w14:textId="77777777" w:rsidR="003209E4" w:rsidRPr="00DD22B5" w:rsidRDefault="00000000" w:rsidP="00DD22B5">
      <w:pPr>
        <w:ind w:firstLine="0"/>
        <w:jc w:val="center"/>
        <w:rPr>
          <w:sz w:val="24"/>
          <w:szCs w:val="24"/>
        </w:rPr>
      </w:pPr>
      <w:hyperlink r:id="rId8" w:history="1">
        <w:r w:rsidR="003209E4" w:rsidRPr="00DD22B5">
          <w:rPr>
            <w:rStyle w:val="Hyperlink"/>
            <w:sz w:val="24"/>
            <w:szCs w:val="24"/>
          </w:rPr>
          <w:t>osnati@tauex.tau.ac.il</w:t>
        </w:r>
      </w:hyperlink>
    </w:p>
    <w:p w14:paraId="78CDA4DB" w14:textId="57816F0B" w:rsidR="00C9627A" w:rsidRDefault="00E961A8" w:rsidP="0064718F">
      <w:pPr>
        <w:pStyle w:val="Title"/>
      </w:pPr>
      <w:r>
        <w:t>Abstract</w:t>
      </w:r>
    </w:p>
    <w:p w14:paraId="3F792E03" w14:textId="56B4EC1F" w:rsidR="003209E4" w:rsidRPr="00C9627A" w:rsidRDefault="003209E4">
      <w:r w:rsidRPr="00C9627A">
        <w:t>Tax benefit</w:t>
      </w:r>
      <w:r w:rsidR="00AC67BE">
        <w:t>s</w:t>
      </w:r>
      <w:r w:rsidRPr="00C9627A">
        <w:t xml:space="preserve"> for charitable giving </w:t>
      </w:r>
      <w:r w:rsidR="00AC67BE">
        <w:t xml:space="preserve">are </w:t>
      </w:r>
      <w:r w:rsidRPr="00C9627A">
        <w:t>very common. Governments w</w:t>
      </w:r>
      <w:r w:rsidR="00DC6FB3" w:rsidRPr="00C9627A">
        <w:t>ai</w:t>
      </w:r>
      <w:r w:rsidRPr="00C9627A">
        <w:t>ve tax revenues</w:t>
      </w:r>
      <w:r w:rsidR="005A53D6">
        <w:t xml:space="preserve"> </w:t>
      </w:r>
      <w:r w:rsidRPr="00C9627A">
        <w:t xml:space="preserve">aiming </w:t>
      </w:r>
      <w:r w:rsidR="009911A2">
        <w:t>to</w:t>
      </w:r>
      <w:r w:rsidR="0043393C">
        <w:t xml:space="preserve"> </w:t>
      </w:r>
      <w:r w:rsidRPr="00C9627A">
        <w:t>encourag</w:t>
      </w:r>
      <w:r w:rsidR="009911A2">
        <w:t xml:space="preserve">e </w:t>
      </w:r>
      <w:r w:rsidRPr="00C9627A">
        <w:t xml:space="preserve">donors to increase their giving to </w:t>
      </w:r>
      <w:r w:rsidR="009911A2">
        <w:t>nonprofits</w:t>
      </w:r>
      <w:r w:rsidRPr="00C9627A">
        <w:t xml:space="preserve">. Yet we know very little about </w:t>
      </w:r>
      <w:r w:rsidR="00AC67BE">
        <w:t xml:space="preserve">the </w:t>
      </w:r>
      <w:r w:rsidR="003953AB">
        <w:t>total effect</w:t>
      </w:r>
      <w:r w:rsidR="00AC67BE">
        <w:t xml:space="preserve"> of such policies</w:t>
      </w:r>
      <w:r w:rsidRPr="00C9627A">
        <w:t xml:space="preserve">. </w:t>
      </w:r>
      <w:r w:rsidR="00AC67BE">
        <w:t>The e</w:t>
      </w:r>
      <w:r w:rsidRPr="00C9627A">
        <w:t xml:space="preserve">ffectiveness of tax benefits </w:t>
      </w:r>
      <w:r w:rsidR="00AC67BE">
        <w:t xml:space="preserve">has been </w:t>
      </w:r>
      <w:r w:rsidRPr="00C9627A">
        <w:t xml:space="preserve">widely researched. However, while effectiveness </w:t>
      </w:r>
      <w:r w:rsidR="00AC67BE">
        <w:t xml:space="preserve">deals with </w:t>
      </w:r>
      <w:r w:rsidRPr="00C9627A">
        <w:t xml:space="preserve">the potential </w:t>
      </w:r>
      <w:r w:rsidR="00BC0973">
        <w:t xml:space="preserve">upward </w:t>
      </w:r>
      <w:r w:rsidR="00AC67BE">
        <w:t xml:space="preserve">impact </w:t>
      </w:r>
      <w:r w:rsidRPr="00C9627A">
        <w:t xml:space="preserve">of a tax benefit on donations, it is limited to </w:t>
      </w:r>
      <w:r w:rsidR="0043393C">
        <w:t>benefit-</w:t>
      </w:r>
      <w:r w:rsidRPr="00C9627A">
        <w:t xml:space="preserve">eligible donations and </w:t>
      </w:r>
      <w:r w:rsidR="00AC67BE">
        <w:t xml:space="preserve">is </w:t>
      </w:r>
      <w:r w:rsidRPr="00C9627A">
        <w:t>relevant only to donations for which the benefit is actually claimed.</w:t>
      </w:r>
    </w:p>
    <w:p w14:paraId="009AC539" w14:textId="359C569E" w:rsidR="003209E4" w:rsidRPr="00C9627A" w:rsidRDefault="003209E4">
      <w:r w:rsidRPr="00C9627A">
        <w:t>Based on administrative data and complementary surveys, studying</w:t>
      </w:r>
      <w:r w:rsidR="005A53D6">
        <w:t xml:space="preserve"> Israel in</w:t>
      </w:r>
      <w:r w:rsidRPr="00C9627A">
        <w:t xml:space="preserve"> 2018 as a</w:t>
      </w:r>
      <w:r w:rsidR="0043393C">
        <w:t xml:space="preserve"> test </w:t>
      </w:r>
      <w:r w:rsidR="007A1F15">
        <w:t>case</w:t>
      </w:r>
      <w:r w:rsidRPr="00C9627A">
        <w:t xml:space="preserve">, </w:t>
      </w:r>
      <w:r w:rsidR="005C5C10">
        <w:t>I find</w:t>
      </w:r>
      <w:r w:rsidR="00CA5827">
        <w:t xml:space="preserve"> </w:t>
      </w:r>
      <w:r w:rsidRPr="00C9627A">
        <w:t xml:space="preserve">that donors claim </w:t>
      </w:r>
      <w:r w:rsidR="00AC67BE">
        <w:t xml:space="preserve">a </w:t>
      </w:r>
      <w:r w:rsidRPr="00C9627A">
        <w:t xml:space="preserve">tax benefit for 36% of </w:t>
      </w:r>
      <w:r w:rsidR="009F48CC">
        <w:t xml:space="preserve">their </w:t>
      </w:r>
      <w:r w:rsidRPr="00C9627A">
        <w:t>total donations</w:t>
      </w:r>
      <w:r w:rsidR="00D46215">
        <w:t>;</w:t>
      </w:r>
      <w:r w:rsidR="00BC0973">
        <w:t xml:space="preserve"> that</w:t>
      </w:r>
      <w:r w:rsidRPr="00C9627A">
        <w:t xml:space="preserve"> 23% of total donations are </w:t>
      </w:r>
      <w:r w:rsidR="009F48CC">
        <w:t>in</w:t>
      </w:r>
      <w:r w:rsidRPr="00C9627A">
        <w:t xml:space="preserve">eligible </w:t>
      </w:r>
      <w:r w:rsidR="009F48CC">
        <w:t xml:space="preserve">for the benefit </w:t>
      </w:r>
      <w:r w:rsidR="00D46215">
        <w:t>due to its boundaries</w:t>
      </w:r>
      <w:r w:rsidRPr="00C9627A">
        <w:t xml:space="preserve"> (</w:t>
      </w:r>
      <w:r w:rsidR="00203555" w:rsidRPr="00C9627A">
        <w:t>ceiling</w:t>
      </w:r>
      <w:r w:rsidR="009411B2">
        <w:t>s</w:t>
      </w:r>
      <w:r w:rsidRPr="00C9627A">
        <w:t>, floor</w:t>
      </w:r>
      <w:r w:rsidR="009F48CC">
        <w:t>,</w:t>
      </w:r>
      <w:r w:rsidRPr="00C9627A">
        <w:t xml:space="preserve"> and qualified </w:t>
      </w:r>
      <w:r w:rsidR="000357EF" w:rsidRPr="00C9627A">
        <w:t>nonprofit</w:t>
      </w:r>
      <w:r w:rsidRPr="00C9627A">
        <w:t>s)</w:t>
      </w:r>
      <w:r w:rsidR="00D46215">
        <w:t>; A</w:t>
      </w:r>
      <w:r w:rsidRPr="00C9627A">
        <w:t xml:space="preserve">nd </w:t>
      </w:r>
      <w:r w:rsidR="00BC0973">
        <w:t>that</w:t>
      </w:r>
      <w:r w:rsidR="00D46215">
        <w:t xml:space="preserve"> </w:t>
      </w:r>
      <w:r w:rsidRPr="00C9627A">
        <w:t>41% of total donations</w:t>
      </w:r>
      <w:r w:rsidR="00D46215">
        <w:t xml:space="preserve"> are eligible for a </w:t>
      </w:r>
      <w:r w:rsidRPr="00C9627A">
        <w:t>benefit</w:t>
      </w:r>
      <w:r w:rsidR="00D46215">
        <w:t xml:space="preserve"> yet </w:t>
      </w:r>
      <w:r w:rsidR="009911A2">
        <w:t>a benefit is not claimed</w:t>
      </w:r>
      <w:r w:rsidR="005C5C10">
        <w:t xml:space="preserve"> for them</w:t>
      </w:r>
      <w:r w:rsidRPr="00C9627A">
        <w:t xml:space="preserve">. </w:t>
      </w:r>
      <w:r w:rsidR="0073569B" w:rsidRPr="00C9627A">
        <w:t>A</w:t>
      </w:r>
      <w:r w:rsidRPr="00C9627A">
        <w:t>lmost 70% of unclaimed tax benefit</w:t>
      </w:r>
      <w:r w:rsidR="00CF2BFB">
        <w:t>s</w:t>
      </w:r>
      <w:r w:rsidRPr="00C9627A">
        <w:t xml:space="preserve"> </w:t>
      </w:r>
      <w:r w:rsidR="00DA1A57">
        <w:t>apply to</w:t>
      </w:r>
      <w:r w:rsidR="009F48CC">
        <w:t xml:space="preserve"> </w:t>
      </w:r>
      <w:r w:rsidRPr="00C9627A">
        <w:t>individuals</w:t>
      </w:r>
      <w:r w:rsidR="00E501A8">
        <w:t>’</w:t>
      </w:r>
      <w:r w:rsidRPr="00C9627A">
        <w:t xml:space="preserve"> donations below</w:t>
      </w:r>
      <w:r w:rsidR="009411B2">
        <w:t xml:space="preserve"> NIS</w:t>
      </w:r>
      <w:r w:rsidR="006473DD">
        <w:t xml:space="preserve"> </w:t>
      </w:r>
      <w:r w:rsidRPr="00C9627A">
        <w:t>20,000</w:t>
      </w:r>
      <w:r w:rsidR="009911A2">
        <w:t xml:space="preserve"> (</w:t>
      </w:r>
      <w:r w:rsidR="009911A2" w:rsidRPr="004D7DFE">
        <w:t>about €5</w:t>
      </w:r>
      <w:r w:rsidR="009911A2">
        <w:t>,0</w:t>
      </w:r>
      <w:r w:rsidR="009911A2" w:rsidRPr="004D7DFE">
        <w:t>00)</w:t>
      </w:r>
      <w:r w:rsidRPr="00C9627A">
        <w:t>. This pattern</w:t>
      </w:r>
      <w:r w:rsidR="00DA1A57">
        <w:t xml:space="preserve"> </w:t>
      </w:r>
      <w:r w:rsidRPr="00C9627A">
        <w:t>significantly undermi</w:t>
      </w:r>
      <w:r w:rsidR="00DA1A57">
        <w:t xml:space="preserve">nes </w:t>
      </w:r>
      <w:r w:rsidRPr="00C9627A">
        <w:t>the pluralistic agenda implicit in</w:t>
      </w:r>
      <w:r w:rsidR="00F30A0E">
        <w:t xml:space="preserve"> the</w:t>
      </w:r>
      <w:r w:rsidRPr="00C9627A">
        <w:t xml:space="preserve"> tax policy, leaving the privilege </w:t>
      </w:r>
      <w:r w:rsidR="009F48CC">
        <w:t xml:space="preserve">of </w:t>
      </w:r>
      <w:r w:rsidRPr="00C9627A">
        <w:t>allocat</w:t>
      </w:r>
      <w:r w:rsidR="009F48CC">
        <w:t>ing</w:t>
      </w:r>
      <w:r w:rsidRPr="00C9627A">
        <w:t xml:space="preserve"> public resources to fewer donors, mostly those who </w:t>
      </w:r>
      <w:r w:rsidR="009F48CC">
        <w:t xml:space="preserve">make </w:t>
      </w:r>
      <w:r w:rsidRPr="00C9627A">
        <w:t xml:space="preserve">large donations.  </w:t>
      </w:r>
    </w:p>
    <w:p w14:paraId="4C8CC405" w14:textId="389A1860" w:rsidR="003209E4" w:rsidRPr="00C9627A" w:rsidRDefault="00766BC8">
      <w:r>
        <w:t>Thus</w:t>
      </w:r>
      <w:r w:rsidR="003209E4" w:rsidRPr="00C9627A">
        <w:t xml:space="preserve">, to reveal the </w:t>
      </w:r>
      <w:r w:rsidR="003953AB">
        <w:t>total effect</w:t>
      </w:r>
      <w:r w:rsidR="003209E4" w:rsidRPr="00C9627A">
        <w:t xml:space="preserve"> of </w:t>
      </w:r>
      <w:r w:rsidR="009411B2">
        <w:t>the</w:t>
      </w:r>
      <w:r w:rsidR="003209E4" w:rsidRPr="00C9627A">
        <w:t xml:space="preserve"> tax policy </w:t>
      </w:r>
      <w:r w:rsidR="00557A32">
        <w:t>toward charitable giving</w:t>
      </w:r>
      <w:r w:rsidR="003209E4" w:rsidRPr="00C9627A">
        <w:t xml:space="preserve">, it is important to study not only the effectiveness of </w:t>
      </w:r>
      <w:r w:rsidR="00BC0973">
        <w:t>the</w:t>
      </w:r>
      <w:r w:rsidR="003209E4" w:rsidRPr="00C9627A">
        <w:t xml:space="preserve"> tax benefit but also the scope and </w:t>
      </w:r>
      <w:r>
        <w:t xml:space="preserve">the </w:t>
      </w:r>
      <w:r w:rsidR="003209E4" w:rsidRPr="00C9627A">
        <w:t xml:space="preserve">patterns of ineligible donations and unclaimed tax benefits. </w:t>
      </w:r>
      <w:r w:rsidR="00677686">
        <w:t>Such</w:t>
      </w:r>
      <w:r w:rsidR="009F48CC" w:rsidRPr="00DA1A57">
        <w:t xml:space="preserve"> </w:t>
      </w:r>
      <w:r w:rsidR="00677686">
        <w:t xml:space="preserve">a </w:t>
      </w:r>
      <w:r w:rsidR="003209E4" w:rsidRPr="00DA1A57">
        <w:t xml:space="preserve">comprehensive approach </w:t>
      </w:r>
      <w:r w:rsidR="009F48CC" w:rsidRPr="00DA1A57">
        <w:t xml:space="preserve">proposed in this </w:t>
      </w:r>
      <w:r w:rsidR="00DA1A57">
        <w:t>paper</w:t>
      </w:r>
      <w:r w:rsidR="009F48CC" w:rsidRPr="00DA1A57">
        <w:t xml:space="preserve"> yields</w:t>
      </w:r>
      <w:r w:rsidR="009F48CC">
        <w:t xml:space="preserve"> </w:t>
      </w:r>
      <w:r w:rsidR="003209E4" w:rsidRPr="00C9627A">
        <w:t xml:space="preserve">a detailed picture </w:t>
      </w:r>
      <w:r w:rsidR="009F48CC">
        <w:t xml:space="preserve">that </w:t>
      </w:r>
      <w:r w:rsidR="003209E4" w:rsidRPr="00C9627A">
        <w:t>reflect</w:t>
      </w:r>
      <w:r w:rsidR="009F48CC">
        <w:t xml:space="preserve">s </w:t>
      </w:r>
      <w:r w:rsidR="003209E4" w:rsidRPr="00C9627A">
        <w:t xml:space="preserve">the actual realization of </w:t>
      </w:r>
      <w:r w:rsidR="00DA1A57">
        <w:t xml:space="preserve">the </w:t>
      </w:r>
      <w:r w:rsidR="005C5C10">
        <w:t>tax policy</w:t>
      </w:r>
      <w:r w:rsidR="003209E4" w:rsidRPr="00C9627A">
        <w:t xml:space="preserve">. </w:t>
      </w:r>
    </w:p>
    <w:p w14:paraId="4F48C304" w14:textId="77777777" w:rsidR="003209E4" w:rsidRPr="00C9627A" w:rsidRDefault="003209E4" w:rsidP="00C9627A"/>
    <w:p w14:paraId="356E5588" w14:textId="72C0799E" w:rsidR="003209E4" w:rsidRPr="00C9627A" w:rsidRDefault="003209E4" w:rsidP="00C9627A">
      <w:r w:rsidRPr="00C9627A">
        <w:t xml:space="preserve">Keywords: Tax benefit, </w:t>
      </w:r>
      <w:r w:rsidR="00CF2BFB">
        <w:t>Donations</w:t>
      </w:r>
      <w:r w:rsidRPr="00C9627A">
        <w:t>, Public policy, Philanthropy</w:t>
      </w:r>
      <w:r w:rsidR="00AF66F6">
        <w:t>, Pluralism</w:t>
      </w:r>
      <w:r w:rsidRPr="00C9627A">
        <w:t xml:space="preserve">. </w:t>
      </w:r>
    </w:p>
    <w:p w14:paraId="68ED744D" w14:textId="0FB5D681" w:rsidR="001660E8" w:rsidRPr="004D7DFE" w:rsidRDefault="004A54A7" w:rsidP="0064718F">
      <w:pPr>
        <w:pStyle w:val="Title"/>
      </w:pPr>
      <w:r w:rsidRPr="004D7DFE">
        <w:t>Introduction</w:t>
      </w:r>
    </w:p>
    <w:p w14:paraId="70DF0AE2" w14:textId="36F025F8" w:rsidR="002A52E5" w:rsidRPr="004D7DFE" w:rsidRDefault="007A1F15" w:rsidP="002C4152">
      <w:pPr>
        <w:rPr>
          <w:rtl/>
        </w:rPr>
      </w:pPr>
      <w:r>
        <w:t xml:space="preserve">Most </w:t>
      </w:r>
      <w:r w:rsidR="004A54A7" w:rsidRPr="004D7DFE">
        <w:t xml:space="preserve">countries </w:t>
      </w:r>
      <w:r w:rsidR="00A871FA">
        <w:t>world</w:t>
      </w:r>
      <w:r w:rsidR="00F30A0E">
        <w:t>wide</w:t>
      </w:r>
      <w:r w:rsidR="00A871FA">
        <w:t xml:space="preserve"> </w:t>
      </w:r>
      <w:r w:rsidR="00EF475B">
        <w:t>and almost 90% of high-income countries</w:t>
      </w:r>
      <w:r w:rsidR="00EF475B" w:rsidRPr="004D7DFE">
        <w:t xml:space="preserve"> </w:t>
      </w:r>
      <w:r w:rsidR="00840EB0" w:rsidRPr="004D7DFE">
        <w:t xml:space="preserve">offer tax </w:t>
      </w:r>
      <w:r w:rsidR="00C76B4A">
        <w:t>benefit</w:t>
      </w:r>
      <w:r w:rsidR="00840EB0" w:rsidRPr="004D7DFE">
        <w:t>s for charitable giving to</w:t>
      </w:r>
      <w:r w:rsidR="00EF475B">
        <w:t xml:space="preserve"> </w:t>
      </w:r>
      <w:r w:rsidR="00840EB0" w:rsidRPr="004D7DFE">
        <w:t>Public Benefit Organizations</w:t>
      </w:r>
      <w:r w:rsidR="00EF475B">
        <w:t xml:space="preserve"> (PBOs</w:t>
      </w:r>
      <w:r w:rsidR="00840EB0" w:rsidRPr="004D7DFE">
        <w:t>)</w:t>
      </w:r>
      <w:r w:rsidR="00076355">
        <w:t xml:space="preserve"> </w:t>
      </w:r>
      <w:r w:rsidR="00A871FA">
        <w:t>(</w:t>
      </w:r>
      <w:r w:rsidR="00A871FA" w:rsidRPr="007850F8">
        <w:rPr>
          <w:szCs w:val="24"/>
        </w:rPr>
        <w:t>Pickering, Quick,</w:t>
      </w:r>
      <w:r w:rsidR="00A871FA">
        <w:rPr>
          <w:szCs w:val="24"/>
        </w:rPr>
        <w:t xml:space="preserve"> and</w:t>
      </w:r>
      <w:r w:rsidR="00A871FA" w:rsidRPr="007850F8">
        <w:rPr>
          <w:szCs w:val="24"/>
        </w:rPr>
        <w:t xml:space="preserve"> Kruse,</w:t>
      </w:r>
      <w:r w:rsidR="00A871FA">
        <w:rPr>
          <w:szCs w:val="24"/>
        </w:rPr>
        <w:t xml:space="preserve"> 2014).</w:t>
      </w:r>
      <w:r w:rsidR="001B5051">
        <w:t xml:space="preserve"> </w:t>
      </w:r>
      <w:r w:rsidR="00C76A6C">
        <w:t xml:space="preserve">Such benefits are delivered in </w:t>
      </w:r>
      <w:r w:rsidR="00EF475B">
        <w:t>different</w:t>
      </w:r>
      <w:r w:rsidR="00C26166" w:rsidRPr="004D7DFE">
        <w:t xml:space="preserve"> </w:t>
      </w:r>
      <w:r w:rsidR="005A5E2B">
        <w:t xml:space="preserve">methods </w:t>
      </w:r>
      <w:r w:rsidR="001B5051">
        <w:t>(</w:t>
      </w:r>
      <w:r w:rsidR="00EF475B">
        <w:t>deduction, credit</w:t>
      </w:r>
      <w:r w:rsidR="00C76A6C">
        <w:t>,</w:t>
      </w:r>
      <w:r w:rsidR="001B5051">
        <w:t xml:space="preserve"> or matching) and </w:t>
      </w:r>
      <w:r w:rsidR="00C76A6C">
        <w:t xml:space="preserve">are </w:t>
      </w:r>
      <w:r w:rsidR="001B5051">
        <w:t xml:space="preserve">usually bounded by various conditions </w:t>
      </w:r>
      <w:r w:rsidR="005C2BCC">
        <w:t>(</w:t>
      </w:r>
      <w:r w:rsidR="00C26166" w:rsidRPr="001B5051">
        <w:t>OECD, 2</w:t>
      </w:r>
      <w:r w:rsidR="001B5051">
        <w:t>020).</w:t>
      </w:r>
      <w:r w:rsidR="00A871FA">
        <w:t xml:space="preserve"> </w:t>
      </w:r>
    </w:p>
    <w:p w14:paraId="67FE8493" w14:textId="43B495D9" w:rsidR="005A0E66" w:rsidRPr="004D7DFE" w:rsidRDefault="001B5051">
      <w:r>
        <w:t>The tax benefit for charitable giving is also referred to as "tax incentive"</w:t>
      </w:r>
      <w:r>
        <w:rPr>
          <w:rStyle w:val="FootnoteReference"/>
        </w:rPr>
        <w:footnoteReference w:id="1"/>
      </w:r>
      <w:r w:rsidR="00CF2BFB">
        <w:t xml:space="preserve"> since </w:t>
      </w:r>
      <w:r w:rsidR="00BD1343">
        <w:t xml:space="preserve">governments </w:t>
      </w:r>
      <w:r w:rsidR="00BD1343" w:rsidRPr="00C9627A">
        <w:t xml:space="preserve">waive </w:t>
      </w:r>
      <w:r w:rsidR="005A5E2B">
        <w:t>t</w:t>
      </w:r>
      <w:r w:rsidR="00BD1343" w:rsidRPr="00C9627A">
        <w:t xml:space="preserve">ax revenues </w:t>
      </w:r>
      <w:r w:rsidR="00BD1343">
        <w:t xml:space="preserve">aiming to </w:t>
      </w:r>
      <w:r w:rsidR="00F30A0E">
        <w:t xml:space="preserve">incentivize donors </w:t>
      </w:r>
      <w:r w:rsidR="00C64585" w:rsidRPr="004D7DFE">
        <w:t>to increase their charitable giving to PBOs.</w:t>
      </w:r>
      <w:r w:rsidR="00814941" w:rsidRPr="004D7DFE">
        <w:t xml:space="preserve"> </w:t>
      </w:r>
      <w:r w:rsidR="00141787">
        <w:t xml:space="preserve">Thus, </w:t>
      </w:r>
      <w:r w:rsidR="00BD1343">
        <w:t>the tax benefit is</w:t>
      </w:r>
      <w:r w:rsidR="00483834">
        <w:t xml:space="preserve"> tantamount to </w:t>
      </w:r>
      <w:r w:rsidR="00BD1343">
        <w:t xml:space="preserve">indirect governmental support </w:t>
      </w:r>
      <w:r w:rsidR="00C76A6C">
        <w:t xml:space="preserve">for </w:t>
      </w:r>
      <w:r w:rsidR="00BD1343">
        <w:t>PBOs</w:t>
      </w:r>
      <w:r w:rsidR="00483834">
        <w:t>.</w:t>
      </w:r>
      <w:r w:rsidR="00AF66F6">
        <w:t xml:space="preserve"> It is </w:t>
      </w:r>
      <w:r w:rsidR="00BD1343">
        <w:t xml:space="preserve">sometimes regarded </w:t>
      </w:r>
      <w:r w:rsidR="00814941" w:rsidRPr="004D7DFE">
        <w:t xml:space="preserve">as an alternative to direct </w:t>
      </w:r>
      <w:r w:rsidR="00C76A6C">
        <w:t xml:space="preserve">PBO </w:t>
      </w:r>
      <w:r w:rsidR="00814941" w:rsidRPr="004D7DFE">
        <w:t>funding (Brooks, 200</w:t>
      </w:r>
      <w:r w:rsidR="00FA4A76">
        <w:t>4</w:t>
      </w:r>
      <w:r w:rsidR="00814941" w:rsidRPr="004D7DFE">
        <w:t>). Some</w:t>
      </w:r>
      <w:r w:rsidR="00141787">
        <w:t xml:space="preserve"> </w:t>
      </w:r>
      <w:r w:rsidR="00C76A6C">
        <w:t xml:space="preserve">find </w:t>
      </w:r>
      <w:r w:rsidR="00814941" w:rsidRPr="004D7DFE">
        <w:t xml:space="preserve">this </w:t>
      </w:r>
      <w:r w:rsidR="00483834">
        <w:t xml:space="preserve">scheme </w:t>
      </w:r>
      <w:r w:rsidR="00814941" w:rsidRPr="004D7DFE">
        <w:t>more eff</w:t>
      </w:r>
      <w:r w:rsidR="001E35F6" w:rsidRPr="004D7DFE">
        <w:t>ective</w:t>
      </w:r>
      <w:r w:rsidR="00814941" w:rsidRPr="004D7DFE">
        <w:t xml:space="preserve"> for support</w:t>
      </w:r>
      <w:r w:rsidR="007E3718">
        <w:t>ing</w:t>
      </w:r>
      <w:r w:rsidR="00C76A6C">
        <w:t xml:space="preserve"> </w:t>
      </w:r>
      <w:r w:rsidR="001E35F6" w:rsidRPr="004D7DFE">
        <w:t>public</w:t>
      </w:r>
      <w:r w:rsidR="00141787">
        <w:t>-</w:t>
      </w:r>
      <w:r w:rsidR="001E35F6" w:rsidRPr="004D7DFE">
        <w:t xml:space="preserve">benefit </w:t>
      </w:r>
      <w:r w:rsidR="00C76A6C">
        <w:t xml:space="preserve">goals than </w:t>
      </w:r>
      <w:r w:rsidR="001E35F6" w:rsidRPr="004D7DFE">
        <w:t>tax collection and governmental allocation</w:t>
      </w:r>
      <w:r w:rsidR="00876268">
        <w:t>:</w:t>
      </w:r>
      <w:r w:rsidR="00974F38">
        <w:t xml:space="preserve"> </w:t>
      </w:r>
      <w:r w:rsidR="001E35F6" w:rsidRPr="004D7DFE">
        <w:t xml:space="preserve">It is more efficient </w:t>
      </w:r>
      <w:r w:rsidR="00C67C53" w:rsidRPr="004D7DFE">
        <w:t xml:space="preserve">in terms of </w:t>
      </w:r>
      <w:r w:rsidR="001E35F6" w:rsidRPr="004D7DFE">
        <w:t>administrative</w:t>
      </w:r>
      <w:r w:rsidR="00C67C53" w:rsidRPr="004D7DFE">
        <w:t xml:space="preserve"> </w:t>
      </w:r>
      <w:r w:rsidR="001E35F6" w:rsidRPr="004D7DFE">
        <w:t>cost</w:t>
      </w:r>
      <w:r w:rsidR="00974F38">
        <w:t xml:space="preserve"> and</w:t>
      </w:r>
      <w:r w:rsidR="001E35F6" w:rsidRPr="004D7DFE">
        <w:t xml:space="preserve"> it tends to </w:t>
      </w:r>
      <w:r w:rsidR="00C67C53" w:rsidRPr="004D7DFE">
        <w:t>expand</w:t>
      </w:r>
      <w:r w:rsidR="001E35F6" w:rsidRPr="004D7DFE">
        <w:t xml:space="preserve"> </w:t>
      </w:r>
      <w:r w:rsidR="00340DD9">
        <w:t>total resource</w:t>
      </w:r>
      <w:r w:rsidR="00483834">
        <w:t>s</w:t>
      </w:r>
      <w:r w:rsidR="00340DD9">
        <w:t xml:space="preserve"> </w:t>
      </w:r>
      <w:r w:rsidR="00483834">
        <w:t>available</w:t>
      </w:r>
      <w:r w:rsidR="00340DD9">
        <w:t xml:space="preserve"> to </w:t>
      </w:r>
      <w:r w:rsidR="001E35F6" w:rsidRPr="004D7DFE">
        <w:t>public</w:t>
      </w:r>
      <w:r w:rsidR="00BC0973">
        <w:t xml:space="preserve"> causes</w:t>
      </w:r>
      <w:r w:rsidR="00974F38">
        <w:t>,</w:t>
      </w:r>
      <w:r w:rsidR="001E35F6" w:rsidRPr="004D7DFE">
        <w:t xml:space="preserve"> thereby </w:t>
      </w:r>
      <w:r w:rsidR="00BC0973">
        <w:t xml:space="preserve">amplifying </w:t>
      </w:r>
      <w:r w:rsidR="001E35F6" w:rsidRPr="004D7DFE">
        <w:t>social utility (Margalioth, 2017)</w:t>
      </w:r>
      <w:r w:rsidR="00340DD9">
        <w:t xml:space="preserve">. Others </w:t>
      </w:r>
      <w:r w:rsidR="00C67C53" w:rsidRPr="004D7DFE">
        <w:t>emphasize</w:t>
      </w:r>
      <w:r w:rsidR="005A0E66" w:rsidRPr="004D7DFE">
        <w:t xml:space="preserve"> the pluralistic benefit that this kind of indirect support brings about</w:t>
      </w:r>
      <w:r w:rsidR="00BC0973">
        <w:t xml:space="preserve"> by</w:t>
      </w:r>
      <w:r w:rsidR="005A0E66" w:rsidRPr="004D7DFE">
        <w:t xml:space="preserve"> enabling </w:t>
      </w:r>
      <w:r w:rsidR="00340DD9">
        <w:t xml:space="preserve">a large </w:t>
      </w:r>
      <w:r w:rsidR="005A0E66" w:rsidRPr="004D7DFE">
        <w:t>public to allocate public resources (Solnik, 2019).</w:t>
      </w:r>
    </w:p>
    <w:p w14:paraId="7A4D4F5A" w14:textId="48D7320A" w:rsidR="00A74913" w:rsidRDefault="00780C38">
      <w:r w:rsidRPr="004D7DFE">
        <w:t xml:space="preserve">The </w:t>
      </w:r>
      <w:r w:rsidR="00FE5251">
        <w:t xml:space="preserve">primary </w:t>
      </w:r>
      <w:r w:rsidR="00974F38" w:rsidRPr="004D7DFE">
        <w:t>purpose</w:t>
      </w:r>
      <w:r w:rsidR="00DC6FB3" w:rsidRPr="004D7DFE">
        <w:t xml:space="preserve"> of</w:t>
      </w:r>
      <w:r w:rsidRPr="004D7DFE">
        <w:t xml:space="preserve"> the tax </w:t>
      </w:r>
      <w:r w:rsidR="00C76B4A">
        <w:t>benefit</w:t>
      </w:r>
      <w:r w:rsidR="00BD1343">
        <w:t xml:space="preserve"> – </w:t>
      </w:r>
      <w:r w:rsidR="00340DD9">
        <w:t xml:space="preserve">creating </w:t>
      </w:r>
      <w:r w:rsidR="00BD1343">
        <w:t xml:space="preserve">an incentive – </w:t>
      </w:r>
      <w:r w:rsidRPr="004D7DFE">
        <w:t>is</w:t>
      </w:r>
      <w:r w:rsidR="00974F38">
        <w:t xml:space="preserve"> also</w:t>
      </w:r>
      <w:r w:rsidRPr="004D7DFE">
        <w:t xml:space="preserve"> reflected in the most researched question re</w:t>
      </w:r>
      <w:r w:rsidR="00DC6FB3" w:rsidRPr="004D7DFE">
        <w:t xml:space="preserve">garding tax </w:t>
      </w:r>
      <w:r w:rsidR="00C76B4A">
        <w:t>benefit</w:t>
      </w:r>
      <w:r w:rsidR="00DC6FB3" w:rsidRPr="004D7DFE">
        <w:t>s for charitable giving</w:t>
      </w:r>
      <w:r w:rsidR="00974F38">
        <w:t>, t</w:t>
      </w:r>
      <w:r w:rsidR="00DC6FB3" w:rsidRPr="004D7DFE">
        <w:t xml:space="preserve">hat </w:t>
      </w:r>
      <w:r w:rsidR="00340DD9">
        <w:t xml:space="preserve">of </w:t>
      </w:r>
      <w:r w:rsidR="00DC6FB3" w:rsidRPr="004D7DFE">
        <w:t xml:space="preserve">effectiveness. An effective </w:t>
      </w:r>
      <w:r w:rsidR="00C50B30" w:rsidRPr="004D7DFE">
        <w:t xml:space="preserve">tax </w:t>
      </w:r>
      <w:r w:rsidR="00DC6FB3" w:rsidRPr="004D7DFE">
        <w:t xml:space="preserve">policy </w:t>
      </w:r>
      <w:r w:rsidR="00EA7E66">
        <w:t>sh</w:t>
      </w:r>
      <w:r w:rsidR="00BD1343">
        <w:t xml:space="preserve">ould </w:t>
      </w:r>
      <w:r w:rsidR="00DC6FB3" w:rsidRPr="004D7DFE">
        <w:t>encourage</w:t>
      </w:r>
      <w:r w:rsidR="000C15B4" w:rsidRPr="004D7DFE">
        <w:t xml:space="preserve"> private </w:t>
      </w:r>
      <w:r w:rsidR="00DC6FB3" w:rsidRPr="004D7DFE">
        <w:t xml:space="preserve">donors to </w:t>
      </w:r>
      <w:r w:rsidR="00E501A8">
        <w:t xml:space="preserve">give more </w:t>
      </w:r>
      <w:r w:rsidR="00DC6FB3" w:rsidRPr="004D7DFE">
        <w:t xml:space="preserve">due to </w:t>
      </w:r>
      <w:r w:rsidR="00974F38">
        <w:t xml:space="preserve">the </w:t>
      </w:r>
      <w:r w:rsidR="00DC6FB3" w:rsidRPr="004D7DFE">
        <w:t xml:space="preserve">tax </w:t>
      </w:r>
      <w:r w:rsidR="00C76B4A">
        <w:t>benefit</w:t>
      </w:r>
      <w:r w:rsidR="00E501A8">
        <w:t>,</w:t>
      </w:r>
      <w:r w:rsidR="00DC6FB3" w:rsidRPr="004D7DFE">
        <w:t xml:space="preserve"> </w:t>
      </w:r>
      <w:r w:rsidR="00891031">
        <w:t>to</w:t>
      </w:r>
      <w:r w:rsidR="00E501A8">
        <w:t xml:space="preserve"> </w:t>
      </w:r>
      <w:r w:rsidR="00EA7E66">
        <w:t xml:space="preserve">an extent that exceeds </w:t>
      </w:r>
      <w:r w:rsidR="00DC6FB3" w:rsidRPr="004D7DFE">
        <w:t xml:space="preserve">the </w:t>
      </w:r>
      <w:r w:rsidR="000C15B4" w:rsidRPr="004D7DFE">
        <w:t xml:space="preserve">public </w:t>
      </w:r>
      <w:r w:rsidR="00DC6FB3" w:rsidRPr="004D7DFE">
        <w:t>cost</w:t>
      </w:r>
      <w:r w:rsidR="000C15B4" w:rsidRPr="004D7DFE">
        <w:t xml:space="preserve"> of th</w:t>
      </w:r>
      <w:r w:rsidR="00974F38">
        <w:t>e</w:t>
      </w:r>
      <w:r w:rsidR="000C15B4" w:rsidRPr="004D7DFE">
        <w:t xml:space="preserve"> </w:t>
      </w:r>
      <w:r w:rsidR="00C76B4A">
        <w:t>benefit</w:t>
      </w:r>
      <w:r w:rsidR="00DC6FB3" w:rsidRPr="004D7DFE">
        <w:t xml:space="preserve"> (</w:t>
      </w:r>
      <w:r w:rsidR="00E501A8">
        <w:t xml:space="preserve">the </w:t>
      </w:r>
      <w:r w:rsidR="00DC6FB3" w:rsidRPr="004D7DFE">
        <w:t>government</w:t>
      </w:r>
      <w:r w:rsidR="00E501A8">
        <w:t>’s</w:t>
      </w:r>
      <w:r w:rsidR="00DC6FB3" w:rsidRPr="004D7DFE">
        <w:t xml:space="preserve"> waiver o</w:t>
      </w:r>
      <w:r w:rsidR="000C15B4" w:rsidRPr="004D7DFE">
        <w:t>f</w:t>
      </w:r>
      <w:r w:rsidR="00DC6FB3" w:rsidRPr="004D7DFE">
        <w:t xml:space="preserve"> tax revenues)</w:t>
      </w:r>
      <w:r w:rsidR="000C15B4" w:rsidRPr="004D7DFE">
        <w:t xml:space="preserve">. </w:t>
      </w:r>
      <w:r w:rsidR="00AF6BA8" w:rsidRPr="004D7DFE">
        <w:t xml:space="preserve">There is ample empirical research on the </w:t>
      </w:r>
      <w:r w:rsidR="00AF6BA8">
        <w:t xml:space="preserve">question of </w:t>
      </w:r>
      <w:r w:rsidR="00AF6BA8" w:rsidRPr="004D7DFE">
        <w:t>effectiveness</w:t>
      </w:r>
      <w:r w:rsidR="00AF6BA8">
        <w:t xml:space="preserve">, beginning with </w:t>
      </w:r>
      <w:r w:rsidR="00AF6BA8" w:rsidRPr="004D7DFE">
        <w:t>early works</w:t>
      </w:r>
      <w:r w:rsidR="00AF6BA8">
        <w:t xml:space="preserve"> (e.g.</w:t>
      </w:r>
      <w:r w:rsidR="00EA7E66">
        <w:t>,</w:t>
      </w:r>
      <w:r w:rsidR="00AF6BA8">
        <w:t xml:space="preserve"> C</w:t>
      </w:r>
      <w:r w:rsidR="00AF6BA8" w:rsidRPr="00B6522B">
        <w:t>lotfelter</w:t>
      </w:r>
      <w:r w:rsidR="00AF6BA8">
        <w:t xml:space="preserve">, 1985; </w:t>
      </w:r>
      <w:r w:rsidR="00AF6BA8" w:rsidRPr="00690C78">
        <w:t>Randolph</w:t>
      </w:r>
      <w:r w:rsidR="00AF6BA8">
        <w:t>, 1995</w:t>
      </w:r>
      <w:r w:rsidR="007E3718">
        <w:t>;</w:t>
      </w:r>
      <w:r w:rsidR="007E3718" w:rsidRPr="007E3718">
        <w:t xml:space="preserve"> </w:t>
      </w:r>
      <w:r w:rsidR="007E3718" w:rsidRPr="00DA3D9B">
        <w:t>Steinberg</w:t>
      </w:r>
      <w:r w:rsidR="007E3718">
        <w:t>, 1990</w:t>
      </w:r>
      <w:r w:rsidR="00AF6BA8">
        <w:t>)</w:t>
      </w:r>
      <w:r w:rsidR="00D61161">
        <w:t>;</w:t>
      </w:r>
      <w:r w:rsidR="00AF6BA8">
        <w:t xml:space="preserve"> </w:t>
      </w:r>
      <w:r w:rsidR="0016212B">
        <w:t>followed by</w:t>
      </w:r>
      <w:r w:rsidR="00AF6BA8">
        <w:t xml:space="preserve"> later works</w:t>
      </w:r>
      <w:r w:rsidR="00D61161">
        <w:t xml:space="preserve">, some </w:t>
      </w:r>
      <w:r w:rsidR="00AF6BA8">
        <w:t>complicat</w:t>
      </w:r>
      <w:r w:rsidR="00EA7E66">
        <w:t>e</w:t>
      </w:r>
      <w:r w:rsidR="00AF6BA8">
        <w:t xml:space="preserve"> the analysis </w:t>
      </w:r>
      <w:r w:rsidR="00EA7E66">
        <w:t xml:space="preserve">by </w:t>
      </w:r>
      <w:r w:rsidR="00802C7D">
        <w:t xml:space="preserve">differentiating </w:t>
      </w:r>
      <w:r w:rsidR="00891031">
        <w:t>among</w:t>
      </w:r>
      <w:r w:rsidR="00AF6BA8">
        <w:t xml:space="preserve"> </w:t>
      </w:r>
      <w:r w:rsidR="00EA7E66">
        <w:t xml:space="preserve">various </w:t>
      </w:r>
      <w:r w:rsidR="00AF6BA8">
        <w:t>target fields (</w:t>
      </w:r>
      <w:r w:rsidR="00AF6BA8" w:rsidRPr="00DA3D9B">
        <w:t>Bradley</w:t>
      </w:r>
      <w:r w:rsidR="00AF6BA8">
        <w:t>,</w:t>
      </w:r>
      <w:r w:rsidR="00AF6BA8" w:rsidRPr="00DA3D9B">
        <w:t xml:space="preserve"> Holden</w:t>
      </w:r>
      <w:r w:rsidR="001B5051">
        <w:t>,</w:t>
      </w:r>
      <w:r w:rsidR="00AF6BA8">
        <w:t xml:space="preserve"> and</w:t>
      </w:r>
      <w:r w:rsidR="00AF6BA8" w:rsidRPr="00DA3D9B">
        <w:t xml:space="preserve"> McClelland</w:t>
      </w:r>
      <w:r w:rsidR="00AF6BA8">
        <w:t>, 2005; Brooks, 2007)</w:t>
      </w:r>
      <w:r w:rsidR="00802C7D">
        <w:t>,</w:t>
      </w:r>
      <w:r w:rsidR="007E3718">
        <w:t xml:space="preserve"> while </w:t>
      </w:r>
      <w:r w:rsidR="00D61161">
        <w:t xml:space="preserve">others </w:t>
      </w:r>
      <w:r w:rsidR="00802C7D">
        <w:t xml:space="preserve">provide a </w:t>
      </w:r>
      <w:r w:rsidR="00AF6BA8">
        <w:t>meta-analysis</w:t>
      </w:r>
      <w:r w:rsidR="007E3718">
        <w:t xml:space="preserve"> of past research </w:t>
      </w:r>
      <w:r w:rsidR="00AF6BA8">
        <w:t xml:space="preserve"> (</w:t>
      </w:r>
      <w:proofErr w:type="spellStart"/>
      <w:r w:rsidR="00AF6BA8" w:rsidRPr="003306C4">
        <w:t>Peloza</w:t>
      </w:r>
      <w:proofErr w:type="spellEnd"/>
      <w:r w:rsidR="00AF6BA8">
        <w:t xml:space="preserve"> and</w:t>
      </w:r>
      <w:r w:rsidR="00AF6BA8" w:rsidRPr="003306C4">
        <w:t xml:space="preserve"> Steel</w:t>
      </w:r>
      <w:r w:rsidR="00AF6BA8">
        <w:t>, 2005)</w:t>
      </w:r>
      <w:r w:rsidR="00D61161">
        <w:t>;</w:t>
      </w:r>
      <w:r w:rsidR="00AF6BA8">
        <w:t xml:space="preserve"> </w:t>
      </w:r>
      <w:r w:rsidR="0016212B">
        <w:t>to</w:t>
      </w:r>
      <w:r w:rsidR="00D61161">
        <w:t xml:space="preserve"> </w:t>
      </w:r>
      <w:r w:rsidR="00AF6BA8" w:rsidRPr="004D7DFE">
        <w:t>contemporary works</w:t>
      </w:r>
      <w:r w:rsidR="0016212B">
        <w:t>, for example</w:t>
      </w:r>
      <w:r w:rsidR="00EA7E66">
        <w:t xml:space="preserve">, </w:t>
      </w:r>
      <w:r w:rsidR="00AF6BA8">
        <w:t xml:space="preserve">the collection of chapters on tax effectiveness in the recent handbook edited by </w:t>
      </w:r>
      <w:r w:rsidR="00AF6BA8" w:rsidRPr="00AF6BA8">
        <w:t>Peter</w:t>
      </w:r>
      <w:r w:rsidR="00AF6BA8">
        <w:t xml:space="preserve"> and </w:t>
      </w:r>
      <w:proofErr w:type="spellStart"/>
      <w:r w:rsidR="00AF6BA8" w:rsidRPr="00AF6BA8">
        <w:t>Lideikyte</w:t>
      </w:r>
      <w:proofErr w:type="spellEnd"/>
      <w:r w:rsidR="00AF6BA8" w:rsidRPr="00AF6BA8">
        <w:t xml:space="preserve"> Huber</w:t>
      </w:r>
      <w:r w:rsidR="0016212B">
        <w:t xml:space="preserve"> </w:t>
      </w:r>
      <w:r w:rsidR="007E3718">
        <w:t>(</w:t>
      </w:r>
      <w:r w:rsidR="00AF6BA8">
        <w:t>202</w:t>
      </w:r>
      <w:r w:rsidR="00577DBB">
        <w:t>1</w:t>
      </w:r>
      <w:r w:rsidR="00AF6BA8">
        <w:t>)</w:t>
      </w:r>
      <w:r w:rsidR="00AF6BA8" w:rsidRPr="004D7DFE">
        <w:t>. Most of the</w:t>
      </w:r>
      <w:r w:rsidR="00FE5251">
        <w:t xml:space="preserve"> studies</w:t>
      </w:r>
      <w:r w:rsidR="00AF6BA8" w:rsidRPr="004D7DFE">
        <w:t xml:space="preserve"> </w:t>
      </w:r>
      <w:r w:rsidR="00802C7D">
        <w:t xml:space="preserve">explore </w:t>
      </w:r>
      <w:r w:rsidR="00AF6BA8" w:rsidRPr="004D7DFE">
        <w:t>tax deduction</w:t>
      </w:r>
      <w:r w:rsidR="00EA7E66">
        <w:t xml:space="preserve">; </w:t>
      </w:r>
      <w:r w:rsidR="00AF6BA8">
        <w:t xml:space="preserve">very few </w:t>
      </w:r>
      <w:r w:rsidR="00802C7D">
        <w:t xml:space="preserve">study </w:t>
      </w:r>
      <w:r w:rsidR="00AF6BA8">
        <w:t xml:space="preserve">tax </w:t>
      </w:r>
      <w:r w:rsidR="00AF6BA8" w:rsidRPr="004D7DFE">
        <w:t xml:space="preserve">reforms </w:t>
      </w:r>
      <w:r w:rsidR="00802C7D">
        <w:t xml:space="preserve">in a </w:t>
      </w:r>
      <w:r w:rsidR="00AF6BA8" w:rsidRPr="004D7DFE">
        <w:t>credit</w:t>
      </w:r>
      <w:r w:rsidR="00BD1343">
        <w:t xml:space="preserve"> </w:t>
      </w:r>
      <w:r w:rsidR="00F05A37">
        <w:t>method</w:t>
      </w:r>
      <w:r w:rsidR="00AF6BA8">
        <w:t xml:space="preserve"> (</w:t>
      </w:r>
      <w:r w:rsidR="00FE5251">
        <w:t xml:space="preserve">e.g., </w:t>
      </w:r>
      <w:r w:rsidR="00AF6BA8" w:rsidRPr="00690C78">
        <w:t>Fack</w:t>
      </w:r>
      <w:r w:rsidR="00AF6BA8">
        <w:t xml:space="preserve"> and</w:t>
      </w:r>
      <w:r w:rsidR="00AF6BA8" w:rsidRPr="00690C78">
        <w:t xml:space="preserve"> Landais</w:t>
      </w:r>
      <w:r w:rsidR="00AF6BA8">
        <w:t>, 2010)</w:t>
      </w:r>
      <w:r w:rsidR="00A74913">
        <w:t>.</w:t>
      </w:r>
    </w:p>
    <w:p w14:paraId="2375F7FB" w14:textId="04C0E9AD" w:rsidR="00E7710D" w:rsidRPr="004D7DFE" w:rsidRDefault="000C15B4">
      <w:r w:rsidRPr="004D7DFE">
        <w:t>However</w:t>
      </w:r>
      <w:r w:rsidR="00E7710D" w:rsidRPr="004D7DFE">
        <w:t xml:space="preserve">, while effectiveness </w:t>
      </w:r>
      <w:r w:rsidR="00EA7E66">
        <w:t>relates to</w:t>
      </w:r>
      <w:r w:rsidR="00E7710D" w:rsidRPr="004D7DFE">
        <w:t xml:space="preserve"> the potential </w:t>
      </w:r>
      <w:r w:rsidR="00EA7E66">
        <w:t xml:space="preserve">impact </w:t>
      </w:r>
      <w:r w:rsidR="00E7710D" w:rsidRPr="004D7DFE">
        <w:t xml:space="preserve">of a tax benefit on increasing </w:t>
      </w:r>
      <w:r w:rsidR="00EA7E66">
        <w:t xml:space="preserve">total </w:t>
      </w:r>
      <w:r w:rsidR="00E7710D" w:rsidRPr="004D7DFE">
        <w:t xml:space="preserve">donations, it is limited to </w:t>
      </w:r>
      <w:r w:rsidR="007E3718">
        <w:t>benefit-</w:t>
      </w:r>
      <w:r w:rsidR="00E7710D" w:rsidRPr="004D7DFE">
        <w:t xml:space="preserve">eligible donations and </w:t>
      </w:r>
      <w:r w:rsidR="00EA7E66">
        <w:t xml:space="preserve">is </w:t>
      </w:r>
      <w:r w:rsidR="00E7710D" w:rsidRPr="004D7DFE">
        <w:t>relevant only to donations for which the benefit is actually claimed. Therefore, the measure</w:t>
      </w:r>
      <w:r w:rsidR="005D797A">
        <w:t>ment</w:t>
      </w:r>
      <w:r w:rsidR="00E7710D" w:rsidRPr="004D7DFE">
        <w:t xml:space="preserve"> of effectiveness </w:t>
      </w:r>
      <w:r w:rsidR="00EA7E66">
        <w:t xml:space="preserve">yields </w:t>
      </w:r>
      <w:r w:rsidR="00E7710D" w:rsidRPr="004D7DFE">
        <w:t xml:space="preserve">only partial </w:t>
      </w:r>
      <w:r w:rsidR="00EA7E66">
        <w:t xml:space="preserve">information </w:t>
      </w:r>
      <w:r w:rsidR="00E7710D" w:rsidRPr="004D7DFE">
        <w:t xml:space="preserve">about the </w:t>
      </w:r>
      <w:r w:rsidR="003953AB">
        <w:t>total effect</w:t>
      </w:r>
      <w:r w:rsidR="00E7710D" w:rsidRPr="004D7DFE">
        <w:t xml:space="preserve"> of the tax </w:t>
      </w:r>
      <w:r w:rsidR="006A6FF7" w:rsidRPr="004D7DFE">
        <w:t>policy</w:t>
      </w:r>
      <w:r w:rsidR="00E7710D" w:rsidRPr="004D7DFE">
        <w:t xml:space="preserve">. </w:t>
      </w:r>
      <w:r w:rsidR="006A6FF7" w:rsidRPr="004D7DFE">
        <w:t xml:space="preserve">For example, </w:t>
      </w:r>
      <w:r w:rsidR="00E7710D" w:rsidRPr="004D7DFE">
        <w:t xml:space="preserve">a specific tax policy </w:t>
      </w:r>
      <w:r w:rsidR="00EA7E66">
        <w:t xml:space="preserve">may be highly </w:t>
      </w:r>
      <w:r w:rsidR="00E7710D" w:rsidRPr="004D7DFE">
        <w:t>effective in t</w:t>
      </w:r>
      <w:r w:rsidR="00974F38">
        <w:t xml:space="preserve">erms of </w:t>
      </w:r>
      <w:r w:rsidR="00E7710D" w:rsidRPr="004D7DFE">
        <w:t>giv</w:t>
      </w:r>
      <w:r w:rsidR="00974F38">
        <w:t>ing</w:t>
      </w:r>
      <w:r w:rsidR="00E7710D" w:rsidRPr="004D7DFE">
        <w:t xml:space="preserve"> donors a strong </w:t>
      </w:r>
      <w:r w:rsidR="00974F38">
        <w:t>incentive</w:t>
      </w:r>
      <w:r w:rsidR="00E7710D" w:rsidRPr="004D7DFE">
        <w:t xml:space="preserve"> to increase </w:t>
      </w:r>
      <w:r w:rsidR="00E7710D" w:rsidRPr="004D7DFE">
        <w:lastRenderedPageBreak/>
        <w:t xml:space="preserve">their donations, </w:t>
      </w:r>
      <w:r w:rsidR="00EA7E66">
        <w:t xml:space="preserve">but </w:t>
      </w:r>
      <w:r w:rsidR="00E7710D" w:rsidRPr="004D7DFE">
        <w:t xml:space="preserve">donors who claim the benefit (and thus </w:t>
      </w:r>
      <w:r w:rsidR="006D7E5A">
        <w:t xml:space="preserve">are likely to </w:t>
      </w:r>
      <w:r w:rsidR="00E35081">
        <w:t>be</w:t>
      </w:r>
      <w:r w:rsidR="00E7710D" w:rsidRPr="004D7DFE">
        <w:t xml:space="preserve"> influenced by the policy) </w:t>
      </w:r>
      <w:r w:rsidR="00EA7E66">
        <w:t xml:space="preserve">give </w:t>
      </w:r>
      <w:r w:rsidR="00E7710D" w:rsidRPr="004D7DFE">
        <w:t xml:space="preserve">only 10% of </w:t>
      </w:r>
      <w:r w:rsidR="00EA7E66">
        <w:t xml:space="preserve">the </w:t>
      </w:r>
      <w:r w:rsidR="00E7710D" w:rsidRPr="004D7DFE">
        <w:t>total donations</w:t>
      </w:r>
      <w:r w:rsidR="00EA7E66">
        <w:t xml:space="preserve">. In this case, an ostensibly </w:t>
      </w:r>
      <w:r w:rsidR="00E7710D" w:rsidRPr="004D7DFE">
        <w:t xml:space="preserve">effective policy </w:t>
      </w:r>
      <w:r w:rsidR="00EA7E66">
        <w:t xml:space="preserve">actually </w:t>
      </w:r>
      <w:r w:rsidR="00E7710D" w:rsidRPr="004D7DFE">
        <w:t xml:space="preserve">has a very narrow effect. </w:t>
      </w:r>
    </w:p>
    <w:p w14:paraId="1092EAB2" w14:textId="6033CBE8" w:rsidR="00135BBC" w:rsidRPr="004D7DFE" w:rsidRDefault="00135BBC">
      <w:r w:rsidRPr="004D7DFE">
        <w:t>Alongside the ample research on effectiveness</w:t>
      </w:r>
      <w:r w:rsidR="00B03706">
        <w:t>,</w:t>
      </w:r>
      <w:r w:rsidRPr="004D7DFE">
        <w:t xml:space="preserve"> there are some account</w:t>
      </w:r>
      <w:r w:rsidR="001B66AE" w:rsidRPr="004D7DFE">
        <w:t>s</w:t>
      </w:r>
      <w:r w:rsidRPr="004D7DFE">
        <w:t xml:space="preserve"> o</w:t>
      </w:r>
      <w:r w:rsidR="00821872">
        <w:t>f</w:t>
      </w:r>
      <w:r w:rsidRPr="004D7DFE">
        <w:t xml:space="preserve"> the percentage of taxpayer</w:t>
      </w:r>
      <w:r w:rsidR="00B03706">
        <w:t>s</w:t>
      </w:r>
      <w:r w:rsidRPr="004D7DFE">
        <w:t xml:space="preserve"> who claim the tax benefit</w:t>
      </w:r>
      <w:r w:rsidR="00BD1343">
        <w:t xml:space="preserve"> (e.g., </w:t>
      </w:r>
      <w:r w:rsidR="00BD1343" w:rsidRPr="00BD1343">
        <w:t>Huber, Pittavino, and Peter, 2021</w:t>
      </w:r>
      <w:r w:rsidR="00BD1343">
        <w:t>).</w:t>
      </w:r>
      <w:r w:rsidRPr="004D7DFE">
        <w:t xml:space="preserve"> </w:t>
      </w:r>
      <w:r w:rsidR="001B66AE" w:rsidRPr="004D7DFE">
        <w:t>At face value</w:t>
      </w:r>
      <w:r w:rsidR="00B03706">
        <w:t>,</w:t>
      </w:r>
      <w:r w:rsidR="001B66AE" w:rsidRPr="004D7DFE">
        <w:t xml:space="preserve"> this approach </w:t>
      </w:r>
      <w:r w:rsidR="00E501A8">
        <w:t xml:space="preserve">answers </w:t>
      </w:r>
      <w:r w:rsidR="001B66AE" w:rsidRPr="004D7DFE">
        <w:t xml:space="preserve">the quest </w:t>
      </w:r>
      <w:r w:rsidR="00BD1343">
        <w:t>for</w:t>
      </w:r>
      <w:r w:rsidR="001B66AE" w:rsidRPr="004D7DFE">
        <w:t xml:space="preserve"> measuring the take</w:t>
      </w:r>
      <w:r w:rsidR="00821872">
        <w:t>-</w:t>
      </w:r>
      <w:r w:rsidR="001B66AE" w:rsidRPr="004D7DFE">
        <w:t xml:space="preserve">up of the benefit. </w:t>
      </w:r>
      <w:r w:rsidR="008C1F37">
        <w:t>The question of take-up arises u</w:t>
      </w:r>
      <w:r w:rsidR="00A74913" w:rsidRPr="004D7DFE">
        <w:t>sually</w:t>
      </w:r>
      <w:r w:rsidR="008C1F37">
        <w:t xml:space="preserve"> regarding</w:t>
      </w:r>
      <w:r w:rsidR="001B66AE" w:rsidRPr="004D7DFE">
        <w:t xml:space="preserve"> social </w:t>
      </w:r>
      <w:r w:rsidR="00805E79" w:rsidRPr="004D7DFE">
        <w:t xml:space="preserve">benefits </w:t>
      </w:r>
      <w:r w:rsidR="008C1F37">
        <w:t xml:space="preserve">that </w:t>
      </w:r>
      <w:r w:rsidR="00805E79" w:rsidRPr="004D7DFE">
        <w:t xml:space="preserve">aim </w:t>
      </w:r>
      <w:r w:rsidR="0082456D">
        <w:t xml:space="preserve">to enhance </w:t>
      </w:r>
      <w:r w:rsidR="001B66AE" w:rsidRPr="004D7DFE">
        <w:t xml:space="preserve">distributive justice by </w:t>
      </w:r>
      <w:r w:rsidR="00805E79" w:rsidRPr="004D7DFE">
        <w:t xml:space="preserve">improving </w:t>
      </w:r>
      <w:r w:rsidR="0082456D">
        <w:t>recipients</w:t>
      </w:r>
      <w:r w:rsidR="00E501A8">
        <w:t>’</w:t>
      </w:r>
      <w:r w:rsidR="0082456D">
        <w:t xml:space="preserve"> </w:t>
      </w:r>
      <w:r w:rsidR="00805E79" w:rsidRPr="004D7DFE">
        <w:t>conditions</w:t>
      </w:r>
      <w:r w:rsidR="00243293" w:rsidRPr="004D7DFE">
        <w:t>. Th</w:t>
      </w:r>
      <w:r w:rsidR="00805E79" w:rsidRPr="004D7DFE">
        <w:t>us</w:t>
      </w:r>
      <w:r w:rsidR="002F4F58" w:rsidRPr="004D7DFE">
        <w:t>,</w:t>
      </w:r>
      <w:r w:rsidR="00805E79" w:rsidRPr="004D7DFE">
        <w:t xml:space="preserve"> </w:t>
      </w:r>
      <w:r w:rsidR="00243293" w:rsidRPr="004D7DFE">
        <w:t xml:space="preserve">to know whether </w:t>
      </w:r>
      <w:r w:rsidR="00A74913">
        <w:t>a</w:t>
      </w:r>
      <w:r w:rsidR="00243293" w:rsidRPr="004D7DFE">
        <w:t xml:space="preserve"> policy </w:t>
      </w:r>
      <w:r w:rsidR="0082456D">
        <w:t xml:space="preserve">is </w:t>
      </w:r>
      <w:r w:rsidR="00243293" w:rsidRPr="004D7DFE">
        <w:t>me</w:t>
      </w:r>
      <w:r w:rsidR="0082456D">
        <w:t xml:space="preserve">eting </w:t>
      </w:r>
      <w:r w:rsidR="00243293" w:rsidRPr="004D7DFE">
        <w:t xml:space="preserve">its goals, </w:t>
      </w:r>
      <w:r w:rsidR="0082456D">
        <w:t xml:space="preserve">one has </w:t>
      </w:r>
      <w:r w:rsidR="00E501A8">
        <w:t xml:space="preserve">to </w:t>
      </w:r>
      <w:r w:rsidR="00243293" w:rsidRPr="004D7DFE">
        <w:t>monitor</w:t>
      </w:r>
      <w:r w:rsidR="00805E79" w:rsidRPr="004D7DFE">
        <w:t xml:space="preserve"> </w:t>
      </w:r>
      <w:r w:rsidR="00243293" w:rsidRPr="004D7DFE">
        <w:t>beneficiaries</w:t>
      </w:r>
      <w:r w:rsidR="00E501A8">
        <w:t>’</w:t>
      </w:r>
      <w:r w:rsidR="00243293" w:rsidRPr="004D7DFE">
        <w:t xml:space="preserve"> take-up</w:t>
      </w:r>
      <w:r w:rsidR="0082456D">
        <w:t xml:space="preserve"> and aspire to </w:t>
      </w:r>
      <w:r w:rsidR="00243293" w:rsidRPr="004D7DFE">
        <w:t xml:space="preserve">a high percentage of beneficiaries </w:t>
      </w:r>
      <w:r w:rsidR="0082456D">
        <w:t xml:space="preserve">who exercise </w:t>
      </w:r>
      <w:r w:rsidR="00243293" w:rsidRPr="004D7DFE">
        <w:t>their rights</w:t>
      </w:r>
      <w:r w:rsidR="0082456D">
        <w:t>.</w:t>
      </w:r>
      <w:r w:rsidR="00243293" w:rsidRPr="004D7DFE">
        <w:t xml:space="preserve"> </w:t>
      </w:r>
      <w:r w:rsidR="001B66AE" w:rsidRPr="004D7DFE">
        <w:t>(For a review</w:t>
      </w:r>
      <w:r w:rsidR="0082456D">
        <w:t>,</w:t>
      </w:r>
      <w:r w:rsidR="001B66AE" w:rsidRPr="004D7DFE">
        <w:t xml:space="preserve"> see Currie, 2004)</w:t>
      </w:r>
      <w:r w:rsidR="00B03706">
        <w:t>.</w:t>
      </w:r>
      <w:r w:rsidR="00805E79" w:rsidRPr="004D7DFE">
        <w:t xml:space="preserve"> </w:t>
      </w:r>
      <w:r w:rsidR="0082456D">
        <w:t>T</w:t>
      </w:r>
      <w:r w:rsidR="00805E79" w:rsidRPr="004D7DFE">
        <w:t xml:space="preserve">he </w:t>
      </w:r>
      <w:r w:rsidR="001B66AE" w:rsidRPr="004D7DFE">
        <w:t xml:space="preserve">case of </w:t>
      </w:r>
      <w:r w:rsidR="0082456D">
        <w:t xml:space="preserve">a </w:t>
      </w:r>
      <w:r w:rsidR="00805E79" w:rsidRPr="004D7DFE">
        <w:t>tax benefit for charitable giving</w:t>
      </w:r>
      <w:r w:rsidR="0082456D">
        <w:t>, however,</w:t>
      </w:r>
      <w:r w:rsidR="00805E79" w:rsidRPr="004D7DFE">
        <w:t xml:space="preserve"> is </w:t>
      </w:r>
      <w:r w:rsidR="001B66AE" w:rsidRPr="004D7DFE">
        <w:t>different</w:t>
      </w:r>
      <w:r w:rsidR="0082456D">
        <w:t xml:space="preserve"> because it </w:t>
      </w:r>
      <w:r w:rsidR="00805E79" w:rsidRPr="004D7DFE">
        <w:t>actually aim</w:t>
      </w:r>
      <w:r w:rsidR="0082456D">
        <w:t xml:space="preserve">s to improve </w:t>
      </w:r>
      <w:r w:rsidR="001B66AE" w:rsidRPr="004D7DFE">
        <w:t>the conditions of a third party</w:t>
      </w:r>
      <w:r w:rsidR="00821872">
        <w:t xml:space="preserve"> </w:t>
      </w:r>
      <w:r w:rsidR="0082456D">
        <w:t>–</w:t>
      </w:r>
      <w:r w:rsidR="00821872">
        <w:t xml:space="preserve"> the</w:t>
      </w:r>
      <w:r w:rsidR="001B66AE" w:rsidRPr="004D7DFE">
        <w:t xml:space="preserve"> PBO</w:t>
      </w:r>
      <w:r w:rsidR="00243293" w:rsidRPr="004D7DFE">
        <w:t>s</w:t>
      </w:r>
      <w:r w:rsidR="001B66AE" w:rsidRPr="004D7DFE">
        <w:t xml:space="preserve">. </w:t>
      </w:r>
      <w:r w:rsidR="002B02B4">
        <w:t xml:space="preserve">Although it is </w:t>
      </w:r>
      <w:r w:rsidR="001B66AE" w:rsidRPr="004D7DFE">
        <w:t>donor</w:t>
      </w:r>
      <w:r w:rsidR="002B02B4">
        <w:t>s</w:t>
      </w:r>
      <w:r w:rsidR="001B66AE" w:rsidRPr="004D7DFE">
        <w:t xml:space="preserve"> </w:t>
      </w:r>
      <w:r w:rsidR="002B02B4">
        <w:t xml:space="preserve">who </w:t>
      </w:r>
      <w:r w:rsidR="001B66AE" w:rsidRPr="004D7DFE">
        <w:t xml:space="preserve">can claim the tax benefit, the policy </w:t>
      </w:r>
      <w:r w:rsidR="00E501A8">
        <w:t xml:space="preserve">seeks </w:t>
      </w:r>
      <w:r w:rsidR="002B02B4">
        <w:t xml:space="preserve">not to improve their </w:t>
      </w:r>
      <w:r w:rsidR="001B66AE" w:rsidRPr="004D7DFE">
        <w:t>condition</w:t>
      </w:r>
      <w:r w:rsidR="00243293" w:rsidRPr="004D7DFE">
        <w:t>s</w:t>
      </w:r>
      <w:r w:rsidR="001B66AE" w:rsidRPr="004D7DFE">
        <w:t xml:space="preserve"> but </w:t>
      </w:r>
      <w:r w:rsidR="002B02B4">
        <w:t xml:space="preserve">to induce </w:t>
      </w:r>
      <w:r w:rsidR="001B66AE" w:rsidRPr="004D7DFE">
        <w:t>them to donate more</w:t>
      </w:r>
      <w:r w:rsidR="00117C5B" w:rsidRPr="004D7DFE">
        <w:t xml:space="preserve"> to PBOs</w:t>
      </w:r>
      <w:r w:rsidR="001B66AE" w:rsidRPr="004D7DFE">
        <w:t xml:space="preserve">. </w:t>
      </w:r>
      <w:r w:rsidR="00117C5B" w:rsidRPr="004D7DFE">
        <w:t xml:space="preserve">Thus, the realization of the </w:t>
      </w:r>
      <w:r w:rsidR="002C4152">
        <w:t xml:space="preserve">purpose of the </w:t>
      </w:r>
      <w:r w:rsidR="00C76B4A">
        <w:t>benefit</w:t>
      </w:r>
      <w:r w:rsidR="002C4152">
        <w:t xml:space="preserve"> </w:t>
      </w:r>
      <w:r w:rsidR="00117C5B" w:rsidRPr="004D7DFE">
        <w:t xml:space="preserve">– increasing </w:t>
      </w:r>
      <w:r w:rsidR="002C4152">
        <w:t xml:space="preserve">total </w:t>
      </w:r>
      <w:r w:rsidR="00117C5B" w:rsidRPr="004D7DFE">
        <w:t>donations to PBOs</w:t>
      </w:r>
      <w:r w:rsidR="00577DBB">
        <w:t xml:space="preserve"> </w:t>
      </w:r>
      <w:r w:rsidR="00117C5B" w:rsidRPr="004D7DFE">
        <w:t xml:space="preserve">– is </w:t>
      </w:r>
      <w:r w:rsidR="00A74913">
        <w:t>contingent on</w:t>
      </w:r>
      <w:r w:rsidR="00117C5B" w:rsidRPr="004D7DFE">
        <w:t xml:space="preserve"> the </w:t>
      </w:r>
      <w:r w:rsidR="00821872" w:rsidRPr="004D7DFE">
        <w:t>share</w:t>
      </w:r>
      <w:r w:rsidR="00117C5B" w:rsidRPr="004D7DFE">
        <w:t xml:space="preserve"> of donations for which the </w:t>
      </w:r>
      <w:r w:rsidR="00C76B4A">
        <w:t>benefit</w:t>
      </w:r>
      <w:r w:rsidR="00117C5B" w:rsidRPr="004D7DFE">
        <w:t xml:space="preserve"> </w:t>
      </w:r>
      <w:r w:rsidR="002C4152">
        <w:t xml:space="preserve">is </w:t>
      </w:r>
      <w:r w:rsidR="00117C5B" w:rsidRPr="004D7DFE">
        <w:t xml:space="preserve">actually </w:t>
      </w:r>
      <w:r w:rsidR="00821872">
        <w:t>received</w:t>
      </w:r>
      <w:r w:rsidR="00117C5B" w:rsidRPr="004D7DFE">
        <w:t xml:space="preserve">. </w:t>
      </w:r>
      <w:r w:rsidR="000B4B4C" w:rsidRPr="004D7DFE">
        <w:t>Therefore</w:t>
      </w:r>
      <w:r w:rsidR="00117C5B" w:rsidRPr="004D7DFE">
        <w:t xml:space="preserve">, </w:t>
      </w:r>
      <w:r w:rsidR="001B66AE" w:rsidRPr="004D7DFE">
        <w:t>to estimate the take</w:t>
      </w:r>
      <w:r w:rsidR="00821872">
        <w:t>-</w:t>
      </w:r>
      <w:r w:rsidR="001B66AE" w:rsidRPr="004D7DFE">
        <w:t>up of the tax benefi</w:t>
      </w:r>
      <w:r w:rsidR="00117C5B" w:rsidRPr="004D7DFE">
        <w:t>t</w:t>
      </w:r>
      <w:r w:rsidR="001B66AE" w:rsidRPr="004D7DFE">
        <w:t xml:space="preserve"> for charitable giving</w:t>
      </w:r>
      <w:r w:rsidR="002C4152">
        <w:t>,</w:t>
      </w:r>
      <w:r w:rsidR="00577DBB">
        <w:t xml:space="preserve"> it may be valuable to </w:t>
      </w:r>
      <w:r w:rsidR="00117C5B" w:rsidRPr="004D7DFE">
        <w:t>estimat</w:t>
      </w:r>
      <w:r w:rsidR="00577DBB">
        <w:t>e</w:t>
      </w:r>
      <w:r w:rsidR="00117C5B" w:rsidRPr="004D7DFE">
        <w:t xml:space="preserve"> the extent of donations </w:t>
      </w:r>
      <w:r w:rsidR="00243293" w:rsidRPr="004D7DFE">
        <w:t xml:space="preserve">for which the benefit </w:t>
      </w:r>
      <w:r w:rsidR="002C4152">
        <w:t xml:space="preserve">is </w:t>
      </w:r>
      <w:r w:rsidR="00243293" w:rsidRPr="004D7DFE">
        <w:t xml:space="preserve">claimed. </w:t>
      </w:r>
      <w:r w:rsidR="002C4152">
        <w:t xml:space="preserve">Interestingly, </w:t>
      </w:r>
      <w:r w:rsidR="00B1150A">
        <w:t xml:space="preserve">the </w:t>
      </w:r>
      <w:r w:rsidR="002C4152">
        <w:t xml:space="preserve">expression </w:t>
      </w:r>
      <w:r w:rsidR="00E501A8">
        <w:t>“</w:t>
      </w:r>
      <w:r w:rsidR="00B1150A">
        <w:t>tax benefit</w:t>
      </w:r>
      <w:r w:rsidR="00E501A8">
        <w:t>”</w:t>
      </w:r>
      <w:r w:rsidR="00B1150A">
        <w:t xml:space="preserve"> immediately brings to mind the issue of take-up, which is </w:t>
      </w:r>
      <w:r w:rsidR="008C1F37">
        <w:t>easily</w:t>
      </w:r>
      <w:r w:rsidR="00B1150A">
        <w:t xml:space="preserve"> ignore</w:t>
      </w:r>
      <w:r w:rsidR="008C1F37">
        <w:t>d</w:t>
      </w:r>
      <w:r w:rsidR="00B1150A">
        <w:t xml:space="preserve"> </w:t>
      </w:r>
      <w:r w:rsidR="002C4152">
        <w:t xml:space="preserve">when one thinks of a </w:t>
      </w:r>
      <w:r w:rsidR="00E501A8">
        <w:t>“</w:t>
      </w:r>
      <w:r w:rsidR="00B1150A" w:rsidRPr="004D7DFE">
        <w:t xml:space="preserve">tax </w:t>
      </w:r>
      <w:r w:rsidR="00B1150A">
        <w:t>incentive</w:t>
      </w:r>
      <w:r w:rsidR="00E501A8">
        <w:t>”</w:t>
      </w:r>
      <w:r w:rsidR="00242684">
        <w:t>.</w:t>
      </w:r>
    </w:p>
    <w:p w14:paraId="75B971A2" w14:textId="38795E8B" w:rsidR="00F31843" w:rsidRDefault="00922A47">
      <w:r>
        <w:t xml:space="preserve">To explore the </w:t>
      </w:r>
      <w:r w:rsidR="003953AB">
        <w:t>total effect</w:t>
      </w:r>
      <w:r>
        <w:t xml:space="preserve"> of the tax policy</w:t>
      </w:r>
      <w:r w:rsidR="001A1B44">
        <w:t>,</w:t>
      </w:r>
      <w:r>
        <w:t xml:space="preserve"> </w:t>
      </w:r>
      <w:r w:rsidR="001A1B44">
        <w:t>I</w:t>
      </w:r>
      <w:r w:rsidR="00242684">
        <w:t xml:space="preserve"> therefore</w:t>
      </w:r>
      <w:r w:rsidR="001A1B44">
        <w:t xml:space="preserve"> </w:t>
      </w:r>
      <w:r w:rsidR="00950DA3">
        <w:t>suggest</w:t>
      </w:r>
      <w:r>
        <w:t xml:space="preserve"> a more</w:t>
      </w:r>
      <w:r w:rsidR="006A6FF7" w:rsidRPr="004D7DFE">
        <w:t xml:space="preserve"> comprehensive </w:t>
      </w:r>
      <w:r w:rsidR="001A1B44">
        <w:t xml:space="preserve">two-stage </w:t>
      </w:r>
      <w:r w:rsidR="006A6FF7" w:rsidRPr="004D7DFE">
        <w:t>approach</w:t>
      </w:r>
      <w:r w:rsidR="000A73B7" w:rsidRPr="004D7DFE">
        <w:t>. First</w:t>
      </w:r>
      <w:r w:rsidR="00821872">
        <w:t>,</w:t>
      </w:r>
      <w:r w:rsidR="000A73B7" w:rsidRPr="004D7DFE">
        <w:t xml:space="preserve"> </w:t>
      </w:r>
      <w:r w:rsidR="001A1B44">
        <w:t>map</w:t>
      </w:r>
      <w:r w:rsidR="00950DA3">
        <w:t>ping</w:t>
      </w:r>
      <w:r w:rsidR="001A1B44">
        <w:t xml:space="preserve"> </w:t>
      </w:r>
      <w:r w:rsidR="000A73B7" w:rsidRPr="004D7DFE">
        <w:t xml:space="preserve">donations in </w:t>
      </w:r>
      <w:r w:rsidR="001A1B44">
        <w:t xml:space="preserve">view </w:t>
      </w:r>
      <w:r w:rsidR="000A73B7" w:rsidRPr="004D7DFE">
        <w:t>of the policy: a)</w:t>
      </w:r>
      <w:r w:rsidR="001A1B44">
        <w:t> </w:t>
      </w:r>
      <w:r w:rsidR="00F67AF3" w:rsidRPr="004D7DFE">
        <w:t xml:space="preserve">drawing </w:t>
      </w:r>
      <w:r w:rsidR="000A73B7" w:rsidRPr="004D7DFE">
        <w:t xml:space="preserve">the </w:t>
      </w:r>
      <w:r w:rsidR="00E501A8">
        <w:t xml:space="preserve">boundaries </w:t>
      </w:r>
      <w:r w:rsidR="006A6FF7" w:rsidRPr="004D7DFE">
        <w:t xml:space="preserve">of eligibility, </w:t>
      </w:r>
      <w:r w:rsidR="00B83B85" w:rsidRPr="004D7DFE">
        <w:t>estimating</w:t>
      </w:r>
      <w:r w:rsidR="00F67AF3" w:rsidRPr="004D7DFE">
        <w:t xml:space="preserve"> </w:t>
      </w:r>
      <w:r w:rsidR="006A6FF7" w:rsidRPr="004D7DFE">
        <w:t xml:space="preserve">the percentage of donations that are left out of the tax policy due to </w:t>
      </w:r>
      <w:r w:rsidR="001A1B44">
        <w:t xml:space="preserve">these </w:t>
      </w:r>
      <w:r w:rsidR="00E501A8">
        <w:t>boundaries</w:t>
      </w:r>
      <w:r w:rsidR="000A73B7" w:rsidRPr="004D7DFE">
        <w:t>; b)</w:t>
      </w:r>
      <w:r w:rsidR="001A1B44">
        <w:t> a</w:t>
      </w:r>
      <w:r w:rsidR="0017225D" w:rsidRPr="004D7DFE">
        <w:t>ssessing the relevance of the policy</w:t>
      </w:r>
      <w:r w:rsidR="0017225D">
        <w:t xml:space="preserve"> by </w:t>
      </w:r>
      <w:r w:rsidR="00A57CC1">
        <w:t xml:space="preserve">calculating the share of </w:t>
      </w:r>
      <w:r w:rsidR="0017225D">
        <w:t xml:space="preserve">the donations </w:t>
      </w:r>
      <w:r w:rsidR="001A1B44">
        <w:t xml:space="preserve">that are </w:t>
      </w:r>
      <w:r w:rsidR="0017225D">
        <w:t>reported to the tax authority in order to claim the benefi</w:t>
      </w:r>
      <w:r w:rsidR="00247269">
        <w:t>t (</w:t>
      </w:r>
      <w:r w:rsidR="00E501A8">
        <w:t>“</w:t>
      </w:r>
      <w:r w:rsidR="00247269">
        <w:t>reporting</w:t>
      </w:r>
      <w:r w:rsidR="00E501A8">
        <w:t>”</w:t>
      </w:r>
      <w:r w:rsidR="00247269">
        <w:t xml:space="preserve"> is </w:t>
      </w:r>
      <w:r w:rsidR="001A1B44">
        <w:t xml:space="preserve">tantamount to </w:t>
      </w:r>
      <w:r w:rsidR="00247269">
        <w:t>claiming the tax benefit)</w:t>
      </w:r>
      <w:r w:rsidR="001A1B44">
        <w:t>;</w:t>
      </w:r>
      <w:r w:rsidR="0017225D">
        <w:t xml:space="preserve"> and thereby c)</w:t>
      </w:r>
      <w:r w:rsidR="001A1B44">
        <w:t> r</w:t>
      </w:r>
      <w:r w:rsidR="0017225D">
        <w:t xml:space="preserve">evealing the extent of </w:t>
      </w:r>
      <w:r w:rsidR="00B860E8">
        <w:t xml:space="preserve">eligible </w:t>
      </w:r>
      <w:r w:rsidR="00821872" w:rsidRPr="004D7DFE">
        <w:t xml:space="preserve">donations for which donors </w:t>
      </w:r>
      <w:r w:rsidR="001A1B44">
        <w:t xml:space="preserve">do </w:t>
      </w:r>
      <w:r w:rsidR="00821872" w:rsidRPr="004D7DFE">
        <w:t>not claim the tax benefit</w:t>
      </w:r>
      <w:r w:rsidR="00F67AF3" w:rsidRPr="004D7DFE">
        <w:t>.</w:t>
      </w:r>
      <w:r w:rsidR="00D421F1" w:rsidRPr="004D7DFE">
        <w:t xml:space="preserve"> </w:t>
      </w:r>
      <w:r w:rsidR="001A1B44">
        <w:t xml:space="preserve">This creates </w:t>
      </w:r>
      <w:r w:rsidR="00821872">
        <w:t xml:space="preserve">a </w:t>
      </w:r>
      <w:r w:rsidR="000A73B7" w:rsidRPr="004D7DFE">
        <w:t>map</w:t>
      </w:r>
      <w:r w:rsidR="00D6237A" w:rsidRPr="004D7DFE">
        <w:t xml:space="preserve"> with three </w:t>
      </w:r>
      <w:r w:rsidR="00B860E8">
        <w:t>zones</w:t>
      </w:r>
      <w:r w:rsidR="00821872">
        <w:t>: ineligible donations, unclaimed benefit</w:t>
      </w:r>
      <w:r w:rsidR="001A1B44">
        <w:t>-</w:t>
      </w:r>
      <w:r w:rsidR="00B860E8">
        <w:t>eligible</w:t>
      </w:r>
      <w:r w:rsidR="002672BA">
        <w:t xml:space="preserve"> donations, and </w:t>
      </w:r>
      <w:r w:rsidR="0017225D">
        <w:t>reported donations</w:t>
      </w:r>
      <w:r w:rsidR="004F3545">
        <w:t xml:space="preserve"> (</w:t>
      </w:r>
      <w:r w:rsidR="002672BA">
        <w:t xml:space="preserve">benefit </w:t>
      </w:r>
      <w:r w:rsidR="0017225D">
        <w:t>take-up</w:t>
      </w:r>
      <w:r w:rsidR="004F3545">
        <w:t>)</w:t>
      </w:r>
      <w:r w:rsidR="002672BA">
        <w:t>. O</w:t>
      </w:r>
      <w:r w:rsidR="00D6237A" w:rsidRPr="004D7DFE">
        <w:t xml:space="preserve">nly then </w:t>
      </w:r>
      <w:r w:rsidR="002672BA">
        <w:t xml:space="preserve">can </w:t>
      </w:r>
      <w:r w:rsidR="00950DA3">
        <w:t>we</w:t>
      </w:r>
      <w:r w:rsidR="001A1B44">
        <w:t xml:space="preserve"> advance to </w:t>
      </w:r>
      <w:r w:rsidR="00D421F1" w:rsidRPr="004D7DFE">
        <w:t xml:space="preserve">the </w:t>
      </w:r>
      <w:r w:rsidR="000A73B7" w:rsidRPr="004D7DFE">
        <w:t>second</w:t>
      </w:r>
      <w:r w:rsidR="00D421F1" w:rsidRPr="004D7DFE">
        <w:t xml:space="preserve"> stage</w:t>
      </w:r>
      <w:r w:rsidR="001A1B44">
        <w:t xml:space="preserve">: </w:t>
      </w:r>
      <w:r w:rsidR="00D421F1" w:rsidRPr="004D7DFE">
        <w:t>explor</w:t>
      </w:r>
      <w:r w:rsidR="001A1B44">
        <w:t>ing</w:t>
      </w:r>
      <w:r w:rsidR="00D421F1" w:rsidRPr="004D7DFE">
        <w:t xml:space="preserve"> the effectiveness of </w:t>
      </w:r>
      <w:r w:rsidR="001A1B44">
        <w:t>the</w:t>
      </w:r>
      <w:r w:rsidR="00D421F1" w:rsidRPr="004D7DFE">
        <w:t xml:space="preserve"> policy</w:t>
      </w:r>
      <w:r w:rsidR="001A1B44">
        <w:t xml:space="preserve"> and</w:t>
      </w:r>
      <w:r w:rsidR="00D421F1" w:rsidRPr="004D7DFE">
        <w:t xml:space="preserve"> estimating the increase in donations due to the tax </w:t>
      </w:r>
      <w:r w:rsidR="00C76B4A">
        <w:t>benefit</w:t>
      </w:r>
      <w:r>
        <w:t xml:space="preserve"> </w:t>
      </w:r>
      <w:r w:rsidR="001A1B44">
        <w:t xml:space="preserve">against </w:t>
      </w:r>
      <w:r>
        <w:t>its public cost</w:t>
      </w:r>
      <w:r w:rsidR="00D421F1" w:rsidRPr="004D7DFE">
        <w:t xml:space="preserve">. </w:t>
      </w:r>
      <w:r w:rsidR="001A1B44">
        <w:t>T</w:t>
      </w:r>
      <w:r w:rsidR="00D421F1" w:rsidRPr="004D7DFE">
        <w:t xml:space="preserve">hese </w:t>
      </w:r>
      <w:r w:rsidR="00D6237A" w:rsidRPr="004D7DFE">
        <w:t>two</w:t>
      </w:r>
      <w:r w:rsidR="00D421F1" w:rsidRPr="004D7DFE">
        <w:t xml:space="preserve"> stages do not add up to one single number</w:t>
      </w:r>
      <w:r w:rsidR="001A1B44">
        <w:t>, of course</w:t>
      </w:r>
      <w:r w:rsidR="00D421F1" w:rsidRPr="004D7DFE">
        <w:t>. Furthermore, they are not always independent</w:t>
      </w:r>
      <w:r w:rsidR="001A1B44">
        <w:t>.</w:t>
      </w:r>
      <w:r w:rsidR="00D421F1" w:rsidRPr="004D7DFE">
        <w:t xml:space="preserve"> </w:t>
      </w:r>
      <w:r w:rsidR="001A1B44">
        <w:t>F</w:t>
      </w:r>
      <w:r w:rsidR="00D421F1" w:rsidRPr="004D7DFE">
        <w:t>or example, donors may not take</w:t>
      </w:r>
      <w:r w:rsidR="001A1B44">
        <w:t xml:space="preserve"> </w:t>
      </w:r>
      <w:r w:rsidR="00D421F1" w:rsidRPr="004D7DFE">
        <w:t xml:space="preserve">up the benefit due to </w:t>
      </w:r>
      <w:r w:rsidR="00B83B85" w:rsidRPr="004D7DFE">
        <w:t xml:space="preserve">a </w:t>
      </w:r>
      <w:r w:rsidR="00D421F1" w:rsidRPr="004D7DFE">
        <w:t xml:space="preserve">weak </w:t>
      </w:r>
      <w:r w:rsidR="00247269">
        <w:t>incentive</w:t>
      </w:r>
      <w:r w:rsidR="001A1B44">
        <w:t>.</w:t>
      </w:r>
      <w:r w:rsidR="00D421F1" w:rsidRPr="004D7DFE">
        <w:t xml:space="preserve"> Nevertheless, a comprehensive approach </w:t>
      </w:r>
      <w:r w:rsidR="001A1B44" w:rsidRPr="004D7DFE">
        <w:t xml:space="preserve">such </w:t>
      </w:r>
      <w:r w:rsidR="001A1B44">
        <w:t xml:space="preserve">as this </w:t>
      </w:r>
      <w:r w:rsidR="00D421F1" w:rsidRPr="004D7DFE">
        <w:t xml:space="preserve">may reveal the </w:t>
      </w:r>
      <w:r w:rsidR="003953AB">
        <w:t>total effect</w:t>
      </w:r>
      <w:r w:rsidR="00A57CC1">
        <w:t xml:space="preserve"> </w:t>
      </w:r>
      <w:r w:rsidR="001A1B44">
        <w:t xml:space="preserve">of a given </w:t>
      </w:r>
      <w:r w:rsidR="00D421F1" w:rsidRPr="004D7DFE">
        <w:t>policy.</w:t>
      </w:r>
      <w:r w:rsidR="00B83B85" w:rsidRPr="004D7DFE">
        <w:t xml:space="preserve"> As </w:t>
      </w:r>
      <w:r w:rsidR="001A1B44">
        <w:t xml:space="preserve">specified below, </w:t>
      </w:r>
      <w:r w:rsidR="00950DA3" w:rsidRPr="004D7DFE">
        <w:t xml:space="preserve">our insights </w:t>
      </w:r>
      <w:r w:rsidR="00950DA3">
        <w:t>get deeper</w:t>
      </w:r>
      <w:r w:rsidR="00950DA3" w:rsidRPr="004D7DFE" w:rsidDel="001A1B44">
        <w:t xml:space="preserve"> </w:t>
      </w:r>
      <w:r w:rsidR="00950DA3">
        <w:t xml:space="preserve">as </w:t>
      </w:r>
      <w:r w:rsidR="00B83B85" w:rsidRPr="004D7DFE">
        <w:t>the exploration differentiat</w:t>
      </w:r>
      <w:r w:rsidR="001A1B44">
        <w:t>es</w:t>
      </w:r>
      <w:r w:rsidR="00B83B85" w:rsidRPr="004D7DFE">
        <w:t xml:space="preserve"> donations (by source and </w:t>
      </w:r>
      <w:r>
        <w:t>size</w:t>
      </w:r>
      <w:r w:rsidR="00B83B85" w:rsidRPr="004D7DFE">
        <w:t>).</w:t>
      </w:r>
      <w:r w:rsidR="00D421F1" w:rsidRPr="004D7DFE">
        <w:t xml:space="preserve"> </w:t>
      </w:r>
      <w:r w:rsidR="00AA4E2D" w:rsidRPr="004D7DFE">
        <w:t>In this paper</w:t>
      </w:r>
      <w:r w:rsidR="001A1B44">
        <w:t>,</w:t>
      </w:r>
      <w:r w:rsidR="00AA4E2D" w:rsidRPr="004D7DFE">
        <w:t xml:space="preserve"> </w:t>
      </w:r>
      <w:r w:rsidR="004F3545">
        <w:t>taking 2018 in Israel as a</w:t>
      </w:r>
      <w:r w:rsidR="0082666E">
        <w:t xml:space="preserve"> </w:t>
      </w:r>
      <w:r w:rsidR="004F3545">
        <w:t>case</w:t>
      </w:r>
      <w:r w:rsidR="0082666E">
        <w:t xml:space="preserve"> study</w:t>
      </w:r>
      <w:r w:rsidR="004F3545">
        <w:t>,</w:t>
      </w:r>
      <w:r w:rsidR="004F3545" w:rsidRPr="004D7DFE">
        <w:t xml:space="preserve"> </w:t>
      </w:r>
      <w:r w:rsidR="00AA4E2D" w:rsidRPr="004D7DFE">
        <w:t xml:space="preserve">I apply the first stage </w:t>
      </w:r>
      <w:r w:rsidR="002672BA">
        <w:t xml:space="preserve">in detail and provide </w:t>
      </w:r>
      <w:r w:rsidR="001A1B44">
        <w:t xml:space="preserve">a </w:t>
      </w:r>
      <w:r w:rsidR="002672BA">
        <w:t>preliminary analysis for the second stage</w:t>
      </w:r>
      <w:r w:rsidR="004F3545">
        <w:t>.</w:t>
      </w:r>
    </w:p>
    <w:p w14:paraId="7A9498AE" w14:textId="5A7F6663" w:rsidR="001D6A25" w:rsidRDefault="004F3545">
      <w:r>
        <w:t xml:space="preserve">In what follows, I describe the tax policies </w:t>
      </w:r>
      <w:r w:rsidR="00F31843">
        <w:t xml:space="preserve">available, </w:t>
      </w:r>
      <w:r w:rsidR="001A1B44">
        <w:t xml:space="preserve">elaborate on </w:t>
      </w:r>
      <w:r>
        <w:t>the methods used</w:t>
      </w:r>
      <w:r w:rsidR="00F31843">
        <w:t xml:space="preserve"> in this study, </w:t>
      </w:r>
      <w:r>
        <w:t>pr</w:t>
      </w:r>
      <w:r w:rsidR="00F31843">
        <w:t>ovide</w:t>
      </w:r>
      <w:r>
        <w:t xml:space="preserve"> descriptive statistics on the data in Israel and some comparative data</w:t>
      </w:r>
      <w:r w:rsidR="00F31843">
        <w:t>, present the results of this study</w:t>
      </w:r>
      <w:r w:rsidR="001A1B44">
        <w:t>,</w:t>
      </w:r>
      <w:r w:rsidR="00F31843">
        <w:t xml:space="preserve"> and </w:t>
      </w:r>
      <w:r w:rsidR="001A1B44">
        <w:t xml:space="preserve">conclude by </w:t>
      </w:r>
      <w:r w:rsidR="00F31843">
        <w:t>discuss</w:t>
      </w:r>
      <w:r w:rsidR="001A1B44">
        <w:t>ing</w:t>
      </w:r>
      <w:r w:rsidR="00F31843">
        <w:t xml:space="preserve"> the findings and offer</w:t>
      </w:r>
      <w:r w:rsidR="001A1B44">
        <w:t>ing</w:t>
      </w:r>
      <w:r w:rsidR="00F31843">
        <w:t xml:space="preserve"> some insights </w:t>
      </w:r>
      <w:r w:rsidR="001A1B44">
        <w:t>on their basis</w:t>
      </w:r>
      <w:r w:rsidR="00F31843">
        <w:t>.</w:t>
      </w:r>
      <w:r w:rsidR="00AA4E2D" w:rsidRPr="004D7DFE">
        <w:t xml:space="preserve"> </w:t>
      </w:r>
    </w:p>
    <w:p w14:paraId="11D8C328" w14:textId="78BD0AD0" w:rsidR="001B5051" w:rsidRPr="004D7DFE" w:rsidRDefault="001B5051">
      <w:pPr>
        <w:pStyle w:val="Heading1"/>
      </w:pPr>
      <w:r>
        <w:t>Tax benefit for charitable giving</w:t>
      </w:r>
    </w:p>
    <w:p w14:paraId="65DF26A4" w14:textId="19880A15" w:rsidR="00EF475B" w:rsidRPr="004D7DFE" w:rsidRDefault="001A1B44">
      <w:r>
        <w:t>T</w:t>
      </w:r>
      <w:r w:rsidR="00EF475B">
        <w:t>he tax benefit</w:t>
      </w:r>
      <w:r w:rsidRPr="001A1B44">
        <w:t xml:space="preserve"> </w:t>
      </w:r>
      <w:r>
        <w:t xml:space="preserve">for charitable giving is offered in various </w:t>
      </w:r>
      <w:r w:rsidR="00F05A37">
        <w:t>method</w:t>
      </w:r>
      <w:r w:rsidR="00076298">
        <w:t>s</w:t>
      </w:r>
      <w:r w:rsidR="00EF475B" w:rsidRPr="004D7DFE">
        <w:t>.</w:t>
      </w:r>
      <w:r w:rsidR="005623C6">
        <w:t xml:space="preserve"> </w:t>
      </w:r>
      <w:r w:rsidR="00EF475B">
        <w:t xml:space="preserve">According to a </w:t>
      </w:r>
      <w:r w:rsidR="00F31685">
        <w:t xml:space="preserve">recent </w:t>
      </w:r>
      <w:r w:rsidR="00EF475B">
        <w:t>review by the OECD (</w:t>
      </w:r>
      <w:hyperlink r:id="rId9" w:history="1">
        <w:r w:rsidR="00EF475B" w:rsidRPr="00076298">
          <w:rPr>
            <w:rStyle w:val="Hyperlink"/>
            <w:u w:val="none"/>
          </w:rPr>
          <w:t>OECD, 2020</w:t>
        </w:r>
      </w:hyperlink>
      <w:r w:rsidR="00EF475B">
        <w:rPr>
          <w:rStyle w:val="Hyperlink"/>
        </w:rPr>
        <w:t>)</w:t>
      </w:r>
      <w:r w:rsidR="00EF475B">
        <w:t xml:space="preserve">, </w:t>
      </w:r>
      <w:r w:rsidR="00F31685">
        <w:t xml:space="preserve">22 of </w:t>
      </w:r>
      <w:r w:rsidR="00EF475B" w:rsidRPr="004D7DFE">
        <w:t>40 OECD member and participa</w:t>
      </w:r>
      <w:r w:rsidR="00F31685">
        <w:t>ting countries</w:t>
      </w:r>
      <w:r w:rsidR="00EF475B" w:rsidRPr="004D7DFE">
        <w:t xml:space="preserve"> offer </w:t>
      </w:r>
      <w:r w:rsidR="00F31685">
        <w:t xml:space="preserve">a </w:t>
      </w:r>
      <w:r w:rsidR="00EF475B" w:rsidRPr="004D7DFE">
        <w:t xml:space="preserve">tax deduction </w:t>
      </w:r>
      <w:r w:rsidR="00EF475B">
        <w:t xml:space="preserve">for </w:t>
      </w:r>
      <w:r w:rsidR="00EF475B" w:rsidRPr="004D7DFE">
        <w:t>individual</w:t>
      </w:r>
      <w:r w:rsidR="00F31685">
        <w:t>s</w:t>
      </w:r>
      <w:r w:rsidR="00E501A8">
        <w:t>’</w:t>
      </w:r>
      <w:r w:rsidR="00F31685">
        <w:t xml:space="preserve"> </w:t>
      </w:r>
      <w:r w:rsidR="00EF475B" w:rsidRPr="004D7DFE">
        <w:t xml:space="preserve">donations (e.g., </w:t>
      </w:r>
      <w:r w:rsidR="00F31685">
        <w:t xml:space="preserve">the U.S., </w:t>
      </w:r>
      <w:r w:rsidR="00EF475B" w:rsidRPr="004D7DFE">
        <w:t>Germany</w:t>
      </w:r>
      <w:r w:rsidR="00F31685">
        <w:t>,</w:t>
      </w:r>
      <w:r w:rsidR="00EF475B" w:rsidRPr="004D7DFE">
        <w:t xml:space="preserve"> and Japan).</w:t>
      </w:r>
      <w:r w:rsidR="00EF475B">
        <w:t xml:space="preserve"> </w:t>
      </w:r>
      <w:r w:rsidR="00F31685">
        <w:t xml:space="preserve">The </w:t>
      </w:r>
      <w:r w:rsidR="00EF475B" w:rsidRPr="004D7DFE">
        <w:t xml:space="preserve">deduction </w:t>
      </w:r>
      <w:r w:rsidR="00EF475B">
        <w:t xml:space="preserve">is given by </w:t>
      </w:r>
      <w:r w:rsidR="00EF475B" w:rsidRPr="004D7DFE">
        <w:t>subtract</w:t>
      </w:r>
      <w:r w:rsidR="00EF475B">
        <w:t>ing</w:t>
      </w:r>
      <w:r w:rsidR="00EF475B" w:rsidRPr="004D7DFE">
        <w:t xml:space="preserve"> the</w:t>
      </w:r>
      <w:r w:rsidR="00503F29">
        <w:t xml:space="preserve"> sum donated </w:t>
      </w:r>
      <w:r w:rsidR="00EF475B" w:rsidRPr="004D7DFE">
        <w:t>from the personal income</w:t>
      </w:r>
      <w:r w:rsidR="00503F29">
        <w:t>-</w:t>
      </w:r>
      <w:r w:rsidR="00EF475B" w:rsidRPr="004D7DFE">
        <w:t xml:space="preserve">tax base before the tax liability is computed. </w:t>
      </w:r>
      <w:r w:rsidR="00503F29">
        <w:t xml:space="preserve">Consequently, </w:t>
      </w:r>
      <w:r w:rsidR="00EF475B" w:rsidRPr="004D7DFE">
        <w:t xml:space="preserve">in countries </w:t>
      </w:r>
      <w:r w:rsidR="00503F29">
        <w:t xml:space="preserve">that apply </w:t>
      </w:r>
      <w:r w:rsidR="00EF475B" w:rsidRPr="004D7DFE">
        <w:t>a progressive personal income tax, th</w:t>
      </w:r>
      <w:r w:rsidR="00503F29">
        <w:t xml:space="preserve">e </w:t>
      </w:r>
      <w:r w:rsidR="00EF475B">
        <w:t>benefit</w:t>
      </w:r>
      <w:r w:rsidR="00EF475B" w:rsidRPr="004D7DFE">
        <w:t xml:space="preserve"> is regressive</w:t>
      </w:r>
      <w:r w:rsidR="00503F29">
        <w:t xml:space="preserve"> because </w:t>
      </w:r>
      <w:r w:rsidR="00E501A8">
        <w:t xml:space="preserve">it makes </w:t>
      </w:r>
      <w:r w:rsidR="00EF475B" w:rsidRPr="004D7DFE">
        <w:t xml:space="preserve">the </w:t>
      </w:r>
      <w:r w:rsidR="00076298">
        <w:t>"price"</w:t>
      </w:r>
      <w:r w:rsidR="00EF475B" w:rsidRPr="004D7DFE">
        <w:t xml:space="preserve"> of giving lower for the wealth</w:t>
      </w:r>
      <w:r w:rsidR="00EF475B">
        <w:t>ier</w:t>
      </w:r>
      <w:r w:rsidR="00EF475B" w:rsidRPr="004D7DFE">
        <w:t xml:space="preserve">. </w:t>
      </w:r>
      <w:r w:rsidR="00503F29">
        <w:t xml:space="preserve">Twelve </w:t>
      </w:r>
      <w:r w:rsidR="00EF475B" w:rsidRPr="004D7DFE">
        <w:t xml:space="preserve">countries offer </w:t>
      </w:r>
      <w:r w:rsidR="00503F29">
        <w:t xml:space="preserve">a </w:t>
      </w:r>
      <w:r w:rsidR="00EF475B" w:rsidRPr="004D7DFE">
        <w:t>tax credit (e.g., Canada, Sweden and France)</w:t>
      </w:r>
      <w:r w:rsidR="00503F29">
        <w:t xml:space="preserve"> – </w:t>
      </w:r>
      <w:r w:rsidR="00EF475B" w:rsidRPr="004D7DFE">
        <w:t xml:space="preserve">an amount subtracted from the tax liability (assuming the </w:t>
      </w:r>
      <w:r w:rsidR="00503F29">
        <w:t xml:space="preserve">sum </w:t>
      </w:r>
      <w:r w:rsidR="00E501A8">
        <w:t>of the</w:t>
      </w:r>
      <w:r w:rsidR="00E501A8" w:rsidRPr="00E501A8">
        <w:t xml:space="preserve"> </w:t>
      </w:r>
      <w:r w:rsidR="00E501A8" w:rsidRPr="004D7DFE">
        <w:t xml:space="preserve">credit </w:t>
      </w:r>
      <w:r w:rsidR="00EF475B" w:rsidRPr="004D7DFE">
        <w:t xml:space="preserve">is </w:t>
      </w:r>
      <w:r w:rsidR="00E501A8">
        <w:t xml:space="preserve">smaller </w:t>
      </w:r>
      <w:r w:rsidR="00EF475B" w:rsidRPr="004D7DFE">
        <w:t xml:space="preserve">than the liability). </w:t>
      </w:r>
      <w:r w:rsidR="00503F29">
        <w:t xml:space="preserve">This sum </w:t>
      </w:r>
      <w:r w:rsidR="00EF475B" w:rsidRPr="004D7DFE">
        <w:t>is usually a fix</w:t>
      </w:r>
      <w:r w:rsidR="00503F29">
        <w:t>ed</w:t>
      </w:r>
      <w:r w:rsidR="00EF475B" w:rsidRPr="004D7DFE">
        <w:t xml:space="preserve"> percentage of the donation amount and is equal </w:t>
      </w:r>
      <w:r w:rsidR="00503F29">
        <w:t xml:space="preserve">among </w:t>
      </w:r>
      <w:r w:rsidR="00EF475B" w:rsidRPr="004D7DFE">
        <w:t xml:space="preserve">all donors. </w:t>
      </w:r>
      <w:r w:rsidR="00503F29">
        <w:t>F</w:t>
      </w:r>
      <w:r w:rsidR="00EF475B" w:rsidRPr="004D7DFE">
        <w:t xml:space="preserve">our countries </w:t>
      </w:r>
      <w:r w:rsidR="00503F29">
        <w:t xml:space="preserve">offer </w:t>
      </w:r>
      <w:r w:rsidR="00EF475B" w:rsidRPr="004D7DFE">
        <w:t xml:space="preserve">a matching </w:t>
      </w:r>
      <w:r w:rsidR="00F05A37">
        <w:t>method</w:t>
      </w:r>
      <w:r w:rsidR="00503F29">
        <w:t xml:space="preserve">, in which </w:t>
      </w:r>
      <w:r w:rsidR="00EF475B" w:rsidRPr="004D7DFE">
        <w:t xml:space="preserve">the </w:t>
      </w:r>
      <w:r w:rsidR="00503F29">
        <w:t xml:space="preserve">recipient </w:t>
      </w:r>
      <w:r w:rsidR="00EF475B" w:rsidRPr="004D7DFE">
        <w:t>organization can claim a tax benefit and get a fix</w:t>
      </w:r>
      <w:r w:rsidR="00E501A8">
        <w:t>ed</w:t>
      </w:r>
      <w:r w:rsidR="00EF475B" w:rsidRPr="004D7DFE">
        <w:t xml:space="preserve"> </w:t>
      </w:r>
      <w:r w:rsidR="00503F29">
        <w:t xml:space="preserve">share </w:t>
      </w:r>
      <w:r w:rsidR="00EF475B" w:rsidRPr="004D7DFE">
        <w:t>of the donation from the government. In some cases</w:t>
      </w:r>
      <w:r w:rsidR="00503F29">
        <w:t xml:space="preserve"> (</w:t>
      </w:r>
      <w:r w:rsidR="00503F29" w:rsidRPr="004D7DFE">
        <w:t xml:space="preserve">e.g., </w:t>
      </w:r>
      <w:r w:rsidR="00503F29">
        <w:t xml:space="preserve">the UK </w:t>
      </w:r>
      <w:r w:rsidR="00503F29" w:rsidRPr="004D7DFE">
        <w:t>and Singapore)</w:t>
      </w:r>
      <w:r w:rsidR="00EF475B" w:rsidRPr="004D7DFE">
        <w:t>, high</w:t>
      </w:r>
      <w:r w:rsidR="00EF475B">
        <w:t>-</w:t>
      </w:r>
      <w:r w:rsidR="00EF475B" w:rsidRPr="004D7DFE">
        <w:t>rate taxpayers can claim a complementary deduction</w:t>
      </w:r>
      <w:r w:rsidR="00EF475B">
        <w:t>. L</w:t>
      </w:r>
      <w:r w:rsidR="00EF475B" w:rsidRPr="004D7DFE">
        <w:t xml:space="preserve">ast, four countries </w:t>
      </w:r>
      <w:r w:rsidR="00503F29">
        <w:t xml:space="preserve">allow </w:t>
      </w:r>
      <w:r w:rsidR="00EF475B" w:rsidRPr="004D7DFE">
        <w:t>donors</w:t>
      </w:r>
      <w:r w:rsidR="00076298">
        <w:t xml:space="preserve"> to</w:t>
      </w:r>
      <w:r w:rsidR="00EF475B" w:rsidRPr="004D7DFE">
        <w:t xml:space="preserve"> designate</w:t>
      </w:r>
      <w:r w:rsidR="00B85A80">
        <w:t xml:space="preserve"> </w:t>
      </w:r>
      <w:r w:rsidR="00EF475B" w:rsidRPr="004D7DFE">
        <w:t>a fix</w:t>
      </w:r>
      <w:r w:rsidR="00503F29">
        <w:t>ed</w:t>
      </w:r>
      <w:r w:rsidR="00EF475B" w:rsidRPr="004D7DFE">
        <w:t xml:space="preserve"> percentage of their tax liabilities to entitled PBOs (e.g., Portugal and Hungary). Although this allocation </w:t>
      </w:r>
      <w:r w:rsidR="00F05A37">
        <w:t>method</w:t>
      </w:r>
      <w:r w:rsidR="00EF475B" w:rsidRPr="004D7DFE">
        <w:t xml:space="preserve"> </w:t>
      </w:r>
      <w:r w:rsidR="00503F29">
        <w:t xml:space="preserve">does </w:t>
      </w:r>
      <w:r w:rsidR="00EF475B" w:rsidRPr="004D7DFE">
        <w:t>not incentiviz</w:t>
      </w:r>
      <w:r w:rsidR="00503F29">
        <w:t>e</w:t>
      </w:r>
      <w:r w:rsidR="00EF475B" w:rsidRPr="004D7DFE">
        <w:t xml:space="preserve"> private giving </w:t>
      </w:r>
      <w:r w:rsidR="00503F29">
        <w:t xml:space="preserve">because </w:t>
      </w:r>
      <w:r w:rsidR="00EF475B" w:rsidRPr="004D7DFE">
        <w:t xml:space="preserve">it actually </w:t>
      </w:r>
      <w:r w:rsidR="00503F29">
        <w:t xml:space="preserve">allocates </w:t>
      </w:r>
      <w:r w:rsidR="00EF475B" w:rsidRPr="004D7DFE">
        <w:t xml:space="preserve">public money according to private preferences, it is included in the OECD review of tax </w:t>
      </w:r>
      <w:r w:rsidR="00722500">
        <w:t>incentives</w:t>
      </w:r>
      <w:r w:rsidR="00EF475B" w:rsidRPr="004D7DFE">
        <w:t xml:space="preserve"> </w:t>
      </w:r>
      <w:r w:rsidR="00503F29">
        <w:t xml:space="preserve">because </w:t>
      </w:r>
      <w:r w:rsidR="00EF475B" w:rsidRPr="004D7DFE">
        <w:t xml:space="preserve">it </w:t>
      </w:r>
      <w:r w:rsidR="00503F29">
        <w:t>may</w:t>
      </w:r>
      <w:r w:rsidR="00076298">
        <w:t xml:space="preserve"> </w:t>
      </w:r>
      <w:r w:rsidR="00EF475B" w:rsidRPr="004D7DFE">
        <w:t xml:space="preserve">cultivate a culture of private giving in countries where such a culture </w:t>
      </w:r>
      <w:r w:rsidR="00503F29">
        <w:t xml:space="preserve">has not matured </w:t>
      </w:r>
      <w:r w:rsidR="00EF475B" w:rsidRPr="004D7DFE">
        <w:t>(</w:t>
      </w:r>
      <w:proofErr w:type="spellStart"/>
      <w:r w:rsidR="00EF475B" w:rsidRPr="004D7DFE">
        <w:t>Bullain</w:t>
      </w:r>
      <w:proofErr w:type="spellEnd"/>
      <w:r w:rsidR="00EF475B" w:rsidRPr="004D7DFE">
        <w:t>, 2004). For corporate donations</w:t>
      </w:r>
      <w:r w:rsidR="00503F29">
        <w:t>,</w:t>
      </w:r>
      <w:r w:rsidR="00EF475B" w:rsidRPr="004D7DFE">
        <w:t xml:space="preserve"> </w:t>
      </w:r>
      <w:r w:rsidR="00503F29">
        <w:t xml:space="preserve">the </w:t>
      </w:r>
      <w:r w:rsidR="00EF475B" w:rsidRPr="004D7DFE">
        <w:t>tax</w:t>
      </w:r>
      <w:r w:rsidR="00503F29">
        <w:t>-</w:t>
      </w:r>
      <w:r w:rsidR="00EF475B" w:rsidRPr="004D7DFE">
        <w:t xml:space="preserve">deduction </w:t>
      </w:r>
      <w:r w:rsidR="00F05A37">
        <w:t>method</w:t>
      </w:r>
      <w:r w:rsidR="00503F29">
        <w:t xml:space="preserve"> </w:t>
      </w:r>
      <w:r w:rsidR="00EF475B" w:rsidRPr="004D7DFE">
        <w:t xml:space="preserve">is </w:t>
      </w:r>
      <w:r w:rsidR="00EF475B" w:rsidRPr="00076298">
        <w:t>even more common</w:t>
      </w:r>
      <w:r w:rsidR="00EF475B" w:rsidRPr="004D7DFE">
        <w:t xml:space="preserve"> </w:t>
      </w:r>
      <w:r w:rsidR="00722500">
        <w:t>among</w:t>
      </w:r>
      <w:r w:rsidR="00503F29">
        <w:t xml:space="preserve"> </w:t>
      </w:r>
      <w:r w:rsidR="00EF475B" w:rsidRPr="004D7DFE">
        <w:t>the surveyed countries</w:t>
      </w:r>
      <w:r w:rsidR="00722500">
        <w:t xml:space="preserve"> than for individuals' donations</w:t>
      </w:r>
      <w:r w:rsidR="00EF475B" w:rsidRPr="004D7DFE">
        <w:t xml:space="preserve">.  </w:t>
      </w:r>
    </w:p>
    <w:p w14:paraId="3CDA489B" w14:textId="1AD4E8EC" w:rsidR="00EF475B" w:rsidRPr="004D7DFE" w:rsidRDefault="00503F29" w:rsidP="007D0EAE">
      <w:pPr>
        <w:rPr>
          <w:rtl/>
        </w:rPr>
      </w:pPr>
      <w:r>
        <w:t>E</w:t>
      </w:r>
      <w:r w:rsidR="00EF475B" w:rsidRPr="004D7DFE">
        <w:t xml:space="preserve">very country </w:t>
      </w:r>
      <w:r>
        <w:t xml:space="preserve">other than </w:t>
      </w:r>
      <w:r w:rsidR="00EF475B" w:rsidRPr="004D7DFE">
        <w:t>Singapore</w:t>
      </w:r>
      <w:r>
        <w:t xml:space="preserve"> </w:t>
      </w:r>
      <w:r w:rsidR="00EF475B" w:rsidRPr="004D7DFE">
        <w:t xml:space="preserve">limits the </w:t>
      </w:r>
      <w:r w:rsidR="00EF475B">
        <w:t>benefit</w:t>
      </w:r>
      <w:r w:rsidR="00EF475B" w:rsidRPr="004D7DFE">
        <w:t xml:space="preserve"> amount</w:t>
      </w:r>
      <w:r w:rsidR="0068594E">
        <w:t>.</w:t>
      </w:r>
      <w:r>
        <w:t xml:space="preserve"> </w:t>
      </w:r>
      <w:r w:rsidR="0068594E">
        <w:t>T</w:t>
      </w:r>
      <w:r w:rsidR="00EF475B" w:rsidRPr="004D7DFE">
        <w:t xml:space="preserve">he applied boundaries vary: a fixed </w:t>
      </w:r>
      <w:r w:rsidR="00EF475B">
        <w:t>ceiling</w:t>
      </w:r>
      <w:r w:rsidR="00EF475B" w:rsidRPr="004D7DFE">
        <w:t xml:space="preserve"> of benefit or donation, a </w:t>
      </w:r>
      <w:r w:rsidR="00EF475B">
        <w:t>maximum s</w:t>
      </w:r>
      <w:r w:rsidR="00EF475B" w:rsidRPr="004D7DFE">
        <w:t>hare of taxable income or tax liability; or a combination of ceilings.</w:t>
      </w:r>
    </w:p>
    <w:p w14:paraId="1D2032C9" w14:textId="2749F5E9" w:rsidR="00EF475B" w:rsidRPr="004D7DFE" w:rsidRDefault="00EF475B">
      <w:r w:rsidRPr="004D7DFE">
        <w:t xml:space="preserve">In Israel, according to </w:t>
      </w:r>
      <w:r w:rsidR="00503F29">
        <w:t>S</w:t>
      </w:r>
      <w:r w:rsidRPr="004D7DFE">
        <w:t xml:space="preserve">ection 46(a) </w:t>
      </w:r>
      <w:r w:rsidR="00503F29">
        <w:t xml:space="preserve">of </w:t>
      </w:r>
      <w:r w:rsidRPr="004D7DFE">
        <w:t xml:space="preserve">the </w:t>
      </w:r>
      <w:r w:rsidR="00503F29" w:rsidRPr="004D7DFE">
        <w:t>Income Tax Ordinance</w:t>
      </w:r>
      <w:r w:rsidRPr="004D7DFE">
        <w:t xml:space="preserve">, an individual donor may claim a tax credit of 35% of </w:t>
      </w:r>
      <w:r w:rsidR="00DC18D9">
        <w:t xml:space="preserve">a </w:t>
      </w:r>
      <w:r w:rsidRPr="004D7DFE">
        <w:t xml:space="preserve">donation to a </w:t>
      </w:r>
      <w:r w:rsidR="00E501A8">
        <w:t>“</w:t>
      </w:r>
      <w:r w:rsidRPr="004D7DFE">
        <w:t>public institution</w:t>
      </w:r>
      <w:r w:rsidR="00E501A8">
        <w:t>”</w:t>
      </w:r>
      <w:r w:rsidRPr="004D7DFE">
        <w:t xml:space="preserve"> (</w:t>
      </w:r>
      <w:r w:rsidR="00DC18D9">
        <w:t xml:space="preserve">a </w:t>
      </w:r>
      <w:r>
        <w:t>qualified</w:t>
      </w:r>
      <w:r w:rsidRPr="004D7DFE">
        <w:t xml:space="preserve"> </w:t>
      </w:r>
      <w:r w:rsidR="002B255F">
        <w:t>no</w:t>
      </w:r>
      <w:r w:rsidR="008353F0">
        <w:t>nprofit</w:t>
      </w:r>
      <w:r w:rsidRPr="004D7DFE">
        <w:t>). The credit is given for a yearly sum of donations: above a floor of</w:t>
      </w:r>
      <w:r w:rsidRPr="00480C2D">
        <w:t xml:space="preserve"> </w:t>
      </w:r>
      <w:r>
        <w:t>NIS</w:t>
      </w:r>
      <w:r w:rsidR="00DC18D9">
        <w:t> </w:t>
      </w:r>
      <w:r w:rsidRPr="004D7DFE">
        <w:t>200</w:t>
      </w:r>
      <w:r w:rsidR="00DC18D9">
        <w:t>, </w:t>
      </w:r>
      <w:r w:rsidRPr="004D7DFE">
        <w:t xml:space="preserve">below a ceiling of </w:t>
      </w:r>
      <w:r>
        <w:t>NIS</w:t>
      </w:r>
      <w:r w:rsidR="00DC18D9">
        <w:t> </w:t>
      </w:r>
      <w:r w:rsidRPr="004D7DFE">
        <w:t xml:space="preserve">10 </w:t>
      </w:r>
      <w:r>
        <w:t>million</w:t>
      </w:r>
      <w:r w:rsidR="00DC18D9">
        <w:t xml:space="preserve">, </w:t>
      </w:r>
      <w:r w:rsidRPr="004D7DFE">
        <w:t xml:space="preserve">and </w:t>
      </w:r>
      <w:r w:rsidR="00DC18D9">
        <w:t xml:space="preserve">up </w:t>
      </w:r>
      <w:r w:rsidRPr="004D7DFE">
        <w:t xml:space="preserve">to 30% of taxable income. A corporate donation may be credited </w:t>
      </w:r>
      <w:r w:rsidR="00DC18D9">
        <w:t xml:space="preserve">at </w:t>
      </w:r>
      <w:r w:rsidRPr="004D7DFE">
        <w:t>the compan</w:t>
      </w:r>
      <w:r w:rsidR="00326CBB">
        <w:t>y</w:t>
      </w:r>
      <w:r w:rsidRPr="004D7DFE">
        <w:t xml:space="preserve"> tax rate (23%) (all limits as of 2023). </w:t>
      </w:r>
    </w:p>
    <w:p w14:paraId="3E5DDDE8" w14:textId="08DA7F13" w:rsidR="00643FF2" w:rsidRPr="004D7DFE" w:rsidRDefault="00196411" w:rsidP="0064718F">
      <w:pPr>
        <w:pStyle w:val="Title"/>
      </w:pPr>
      <w:r w:rsidRPr="004D7DFE">
        <w:t>Method</w:t>
      </w:r>
    </w:p>
    <w:p w14:paraId="164AFCC6" w14:textId="5B07B6F9" w:rsidR="00890863" w:rsidRPr="004D7DFE" w:rsidRDefault="00032C6D">
      <w:pPr>
        <w:pStyle w:val="Heading1"/>
      </w:pPr>
      <w:r w:rsidRPr="004D7DFE">
        <w:lastRenderedPageBreak/>
        <w:t>Source of data</w:t>
      </w:r>
    </w:p>
    <w:p w14:paraId="6CBC51A0" w14:textId="25EA1EDB" w:rsidR="00114C66" w:rsidRPr="004D7DFE" w:rsidRDefault="00032C6D">
      <w:r w:rsidRPr="004D7DFE">
        <w:t xml:space="preserve">This </w:t>
      </w:r>
      <w:r w:rsidR="00DC18D9">
        <w:t xml:space="preserve">study </w:t>
      </w:r>
      <w:r w:rsidRPr="004D7DFE">
        <w:t xml:space="preserve">is based mostly on administrative data, some aggregate and some raw, some </w:t>
      </w:r>
      <w:r w:rsidR="0031183C">
        <w:t xml:space="preserve">accessible </w:t>
      </w:r>
      <w:r w:rsidRPr="004D7DFE">
        <w:t xml:space="preserve">to the public but most </w:t>
      </w:r>
      <w:r w:rsidR="0031183C">
        <w:t xml:space="preserve">inaccessible </w:t>
      </w:r>
      <w:r w:rsidR="009F294C">
        <w:t xml:space="preserve">and received specifically for this </w:t>
      </w:r>
      <w:r w:rsidR="00DC18D9">
        <w:t>study</w:t>
      </w:r>
      <w:r w:rsidRPr="004D7DFE">
        <w:t xml:space="preserve">. Complementary data were </w:t>
      </w:r>
      <w:r w:rsidR="00372CA9">
        <w:t xml:space="preserve">harvested </w:t>
      </w:r>
      <w:r w:rsidRPr="004D7DFE">
        <w:t>from surveys and published reports alongside published peer</w:t>
      </w:r>
      <w:r w:rsidR="009C2251">
        <w:t>-</w:t>
      </w:r>
      <w:r w:rsidRPr="004D7DFE">
        <w:t>review</w:t>
      </w:r>
      <w:r w:rsidR="009C2251">
        <w:t>ed</w:t>
      </w:r>
      <w:r w:rsidRPr="004D7DFE">
        <w:t xml:space="preserve"> papers.</w:t>
      </w:r>
      <w:r w:rsidRPr="004D7DFE">
        <w:rPr>
          <w:rtl/>
        </w:rPr>
        <w:t xml:space="preserve"> </w:t>
      </w:r>
      <w:r w:rsidR="009C2251">
        <w:t xml:space="preserve">A </w:t>
      </w:r>
      <w:r w:rsidRPr="004D7DFE">
        <w:t xml:space="preserve">detailed account of </w:t>
      </w:r>
      <w:r w:rsidR="009F294C">
        <w:t xml:space="preserve">the </w:t>
      </w:r>
      <w:r w:rsidRPr="004D7DFE">
        <w:t>data sources and use</w:t>
      </w:r>
      <w:r w:rsidR="009C2251">
        <w:t xml:space="preserve"> follows</w:t>
      </w:r>
      <w:r w:rsidRPr="004D7DFE">
        <w:t>.</w:t>
      </w:r>
    </w:p>
    <w:p w14:paraId="7AADCB71" w14:textId="1B8A29C9" w:rsidR="003A0E15" w:rsidRPr="004D7DFE" w:rsidRDefault="0004648F">
      <w:r w:rsidRPr="004D7DFE">
        <w:rPr>
          <w:b/>
          <w:bCs/>
        </w:rPr>
        <w:t>Data from the Israeli Tax Authority (ITA) on claimed tax benefit</w:t>
      </w:r>
      <w:r w:rsidR="009C2251">
        <w:rPr>
          <w:b/>
          <w:bCs/>
        </w:rPr>
        <w:t>s</w:t>
      </w:r>
      <w:r w:rsidRPr="004D7DFE">
        <w:rPr>
          <w:b/>
          <w:bCs/>
        </w:rPr>
        <w:t xml:space="preserve"> </w:t>
      </w:r>
      <w:r w:rsidRPr="004D7DFE">
        <w:t xml:space="preserve">– </w:t>
      </w:r>
      <w:r w:rsidR="009C2251">
        <w:t>a</w:t>
      </w:r>
      <w:r w:rsidRPr="004D7DFE">
        <w:t xml:space="preserve">dministrative data </w:t>
      </w:r>
      <w:r w:rsidR="009C2251">
        <w:t xml:space="preserve">at the level of </w:t>
      </w:r>
      <w:r w:rsidRPr="004D7DFE">
        <w:t xml:space="preserve">all individual and corporate donations </w:t>
      </w:r>
      <w:r w:rsidR="009C2251">
        <w:t xml:space="preserve">that </w:t>
      </w:r>
      <w:r w:rsidRPr="004D7DFE">
        <w:t>donors reported in order to claim the tax benefit for charitable giving.</w:t>
      </w:r>
      <w:r w:rsidR="0005489C" w:rsidRPr="004D7DFE">
        <w:t xml:space="preserve"> The data include donations given in </w:t>
      </w:r>
      <w:r w:rsidR="0005489C" w:rsidRPr="00B80B7C">
        <w:t>the years 199</w:t>
      </w:r>
      <w:r w:rsidR="005B74F1" w:rsidRPr="00B80B7C">
        <w:t>9–</w:t>
      </w:r>
      <w:r w:rsidR="0005489C" w:rsidRPr="00B80B7C">
        <w:t>20</w:t>
      </w:r>
      <w:r w:rsidR="00B80B7C" w:rsidRPr="00B80B7C">
        <w:t>18.</w:t>
      </w:r>
      <w:r w:rsidR="0005489C" w:rsidRPr="00B80B7C">
        <w:t xml:space="preserve"> The</w:t>
      </w:r>
      <w:r w:rsidR="0005489C" w:rsidRPr="004D7DFE">
        <w:t xml:space="preserve"> variables used were</w:t>
      </w:r>
      <w:r w:rsidR="00B80B7C">
        <w:t>:</w:t>
      </w:r>
      <w:r w:rsidR="0005489C" w:rsidRPr="004D7DFE">
        <w:t xml:space="preserve"> type of donor, amount of yearly donations, amount of </w:t>
      </w:r>
      <w:r w:rsidR="009C2251">
        <w:t xml:space="preserve">tax </w:t>
      </w:r>
      <w:r w:rsidR="0005489C" w:rsidRPr="004D7DFE">
        <w:t xml:space="preserve">credit, </w:t>
      </w:r>
      <w:r w:rsidR="009C2251">
        <w:t xml:space="preserve">and </w:t>
      </w:r>
      <w:r w:rsidR="0005489C" w:rsidRPr="004D7DFE">
        <w:t xml:space="preserve">taxable income (only partially). These data were analyzed in the Israel </w:t>
      </w:r>
      <w:r w:rsidR="00CD1EED" w:rsidRPr="004D7DFE">
        <w:t xml:space="preserve">Central </w:t>
      </w:r>
      <w:r w:rsidR="0005489C" w:rsidRPr="004D7DFE">
        <w:t>Bureau of Statistics (</w:t>
      </w:r>
      <w:r w:rsidR="00CD1EED" w:rsidRPr="004D7DFE">
        <w:t>C</w:t>
      </w:r>
      <w:r w:rsidR="0005489C" w:rsidRPr="004D7DFE">
        <w:t xml:space="preserve">BS) </w:t>
      </w:r>
      <w:r w:rsidR="00E501A8">
        <w:t>“</w:t>
      </w:r>
      <w:r w:rsidR="0005489C" w:rsidRPr="004D7DFE">
        <w:t>research room</w:t>
      </w:r>
      <w:r w:rsidR="00E501A8">
        <w:t>”</w:t>
      </w:r>
      <w:r w:rsidR="0005489C" w:rsidRPr="004D7DFE">
        <w:t xml:space="preserve"> after being </w:t>
      </w:r>
      <w:r w:rsidR="009C2251">
        <w:t xml:space="preserve">anonymized </w:t>
      </w:r>
      <w:r w:rsidR="0005489C" w:rsidRPr="004D7DFE">
        <w:t xml:space="preserve">by </w:t>
      </w:r>
      <w:r w:rsidR="00CD1EED" w:rsidRPr="004D7DFE">
        <w:t>CBS</w:t>
      </w:r>
      <w:r w:rsidR="009C2251">
        <w:t xml:space="preserve"> staff</w:t>
      </w:r>
      <w:r w:rsidR="0005489C" w:rsidRPr="004D7DFE">
        <w:t xml:space="preserve">. </w:t>
      </w:r>
    </w:p>
    <w:p w14:paraId="758FA0EA" w14:textId="40AA6AC7" w:rsidR="00CD1EED" w:rsidRPr="004D7DFE" w:rsidRDefault="003A0E15">
      <w:r w:rsidRPr="004D7DFE">
        <w:rPr>
          <w:b/>
          <w:bCs/>
        </w:rPr>
        <w:t xml:space="preserve">Data from the </w:t>
      </w:r>
      <w:r w:rsidR="00B67229" w:rsidRPr="004D7DFE">
        <w:rPr>
          <w:b/>
          <w:bCs/>
        </w:rPr>
        <w:t>Israeli Corporations Authority (ICA) on large donations</w:t>
      </w:r>
      <w:r w:rsidR="00B67229" w:rsidRPr="004D7DFE">
        <w:t xml:space="preserve"> – since 2018</w:t>
      </w:r>
      <w:r w:rsidR="002C2539">
        <w:t>,</w:t>
      </w:r>
      <w:r w:rsidR="00B67229" w:rsidRPr="004D7DFE">
        <w:t xml:space="preserve"> </w:t>
      </w:r>
      <w:r w:rsidR="000357EF" w:rsidRPr="004D7DFE">
        <w:t>nonprofit</w:t>
      </w:r>
      <w:r w:rsidR="00B67229" w:rsidRPr="004D7DFE">
        <w:t>s</w:t>
      </w:r>
      <w:r w:rsidR="00884379">
        <w:t xml:space="preserve"> in Israel</w:t>
      </w:r>
      <w:r w:rsidR="00B67229" w:rsidRPr="004D7DFE">
        <w:t xml:space="preserve"> </w:t>
      </w:r>
      <w:r w:rsidR="009C2251">
        <w:t xml:space="preserve">must </w:t>
      </w:r>
      <w:r w:rsidR="00B67229" w:rsidRPr="004D7DFE">
        <w:t xml:space="preserve">fill </w:t>
      </w:r>
      <w:r w:rsidR="009C2251">
        <w:t xml:space="preserve">in </w:t>
      </w:r>
      <w:r w:rsidR="00B67229" w:rsidRPr="004D7DFE">
        <w:t xml:space="preserve">an </w:t>
      </w:r>
      <w:r w:rsidR="009C2251">
        <w:t xml:space="preserve">annual </w:t>
      </w:r>
      <w:r w:rsidR="00B67229" w:rsidRPr="004D7DFE">
        <w:t xml:space="preserve">online </w:t>
      </w:r>
      <w:r w:rsidR="009C2251">
        <w:t xml:space="preserve">report </w:t>
      </w:r>
      <w:r w:rsidR="00B67229" w:rsidRPr="004D7DFE">
        <w:t>to the ICA on several aspects of their activit</w:t>
      </w:r>
      <w:r w:rsidR="00884379">
        <w:t>y</w:t>
      </w:r>
      <w:r w:rsidR="009C2251">
        <w:t xml:space="preserve">. The reportage includes </w:t>
      </w:r>
      <w:r w:rsidR="00871017" w:rsidRPr="004D7DFE">
        <w:t>details</w:t>
      </w:r>
      <w:r w:rsidR="00B67229" w:rsidRPr="004D7DFE">
        <w:t xml:space="preserve"> on donations above</w:t>
      </w:r>
      <w:r w:rsidR="00480C2D" w:rsidRPr="00480C2D">
        <w:t xml:space="preserve"> </w:t>
      </w:r>
      <w:r w:rsidR="00480C2D">
        <w:t>NIS</w:t>
      </w:r>
      <w:r w:rsidR="009C2251">
        <w:t> </w:t>
      </w:r>
      <w:r w:rsidR="00B67229" w:rsidRPr="004D7DFE">
        <w:t>100</w:t>
      </w:r>
      <w:r w:rsidR="002B255F">
        <w:t>K</w:t>
      </w:r>
      <w:r w:rsidR="00B67229" w:rsidRPr="004D7DFE">
        <w:t xml:space="preserve"> </w:t>
      </w:r>
      <w:r w:rsidR="00871017" w:rsidRPr="004D7DFE">
        <w:t xml:space="preserve">they received from </w:t>
      </w:r>
      <w:r w:rsidR="00884379">
        <w:t>a single</w:t>
      </w:r>
      <w:r w:rsidR="00871017" w:rsidRPr="004D7DFE">
        <w:t xml:space="preserve"> entity </w:t>
      </w:r>
      <w:r w:rsidR="00B80B7C">
        <w:t>during</w:t>
      </w:r>
      <w:r w:rsidR="00871017" w:rsidRPr="004D7DFE">
        <w:t xml:space="preserve"> the year</w:t>
      </w:r>
      <w:r w:rsidR="009C2251">
        <w:t xml:space="preserve">, </w:t>
      </w:r>
      <w:r w:rsidR="00871017" w:rsidRPr="004D7DFE">
        <w:t xml:space="preserve">the amount of </w:t>
      </w:r>
      <w:r w:rsidR="009C2251">
        <w:t xml:space="preserve">the </w:t>
      </w:r>
      <w:r w:rsidR="00871017" w:rsidRPr="004D7DFE">
        <w:t xml:space="preserve">donation and its source (individual, corporate, </w:t>
      </w:r>
      <w:r w:rsidR="00884379">
        <w:t>nonprofit</w:t>
      </w:r>
      <w:r w:rsidR="00871017" w:rsidRPr="004D7DFE">
        <w:t>, charitable trust</w:t>
      </w:r>
      <w:r w:rsidR="009C2251">
        <w:t>,</w:t>
      </w:r>
      <w:r w:rsidR="00871017" w:rsidRPr="004D7DFE">
        <w:t xml:space="preserve"> etc.</w:t>
      </w:r>
      <w:r w:rsidR="009C2251">
        <w:t>,</w:t>
      </w:r>
      <w:r w:rsidR="00871017" w:rsidRPr="004D7DFE">
        <w:t xml:space="preserve"> from Israel or</w:t>
      </w:r>
      <w:r w:rsidR="002C2539">
        <w:t xml:space="preserve"> RoW </w:t>
      </w:r>
      <w:r w:rsidR="009C2251">
        <w:t>[</w:t>
      </w:r>
      <w:r w:rsidR="002C2539">
        <w:t>Rest of the World</w:t>
      </w:r>
      <w:r w:rsidR="009C2251">
        <w:t>]</w:t>
      </w:r>
      <w:r w:rsidR="00871017" w:rsidRPr="004D7DFE">
        <w:t>). In addition</w:t>
      </w:r>
      <w:r w:rsidR="00E46327" w:rsidRPr="004D7DFE">
        <w:t>,</w:t>
      </w:r>
      <w:r w:rsidR="00871017" w:rsidRPr="004D7DFE">
        <w:t xml:space="preserve"> I used information on </w:t>
      </w:r>
      <w:r w:rsidR="008353F0">
        <w:t>qualified</w:t>
      </w:r>
      <w:r w:rsidR="00871017" w:rsidRPr="004D7DFE">
        <w:t xml:space="preserve"> </w:t>
      </w:r>
      <w:r w:rsidR="00884379">
        <w:t>nonprofit</w:t>
      </w:r>
      <w:r w:rsidR="00871017" w:rsidRPr="004D7DFE">
        <w:t xml:space="preserve">s in regard </w:t>
      </w:r>
      <w:r w:rsidR="00E46327" w:rsidRPr="004D7DFE">
        <w:t xml:space="preserve">to </w:t>
      </w:r>
      <w:r w:rsidR="00871017" w:rsidRPr="004D7DFE">
        <w:t xml:space="preserve">the tax </w:t>
      </w:r>
      <w:r w:rsidR="00C76B4A">
        <w:t>benefit</w:t>
      </w:r>
      <w:r w:rsidR="00871017" w:rsidRPr="004D7DFE">
        <w:t xml:space="preserve"> for charitable giving </w:t>
      </w:r>
      <w:r w:rsidR="008353F0">
        <w:t xml:space="preserve">(PBOs) </w:t>
      </w:r>
      <w:r w:rsidR="00E46327" w:rsidRPr="004D7DFE">
        <w:t>originating in the ITA</w:t>
      </w:r>
      <w:r w:rsidR="00871017" w:rsidRPr="004D7DFE">
        <w:t xml:space="preserve">. </w:t>
      </w:r>
      <w:r w:rsidR="00E46327" w:rsidRPr="004D7DFE">
        <w:t>All the</w:t>
      </w:r>
      <w:r w:rsidR="009C2251">
        <w:t>se</w:t>
      </w:r>
      <w:r w:rsidR="00E46327" w:rsidRPr="004D7DFE">
        <w:t xml:space="preserve"> </w:t>
      </w:r>
      <w:r w:rsidR="00871017" w:rsidRPr="004D7DFE">
        <w:t>data were use</w:t>
      </w:r>
      <w:r w:rsidR="00157D4A" w:rsidRPr="004D7DFE">
        <w:t xml:space="preserve">d to compile the </w:t>
      </w:r>
      <w:r w:rsidR="00157D4A" w:rsidRPr="00B80B7C">
        <w:rPr>
          <w:i/>
          <w:iCs/>
        </w:rPr>
        <w:t xml:space="preserve">Yearbook of </w:t>
      </w:r>
      <w:r w:rsidR="00884379" w:rsidRPr="00B80B7C">
        <w:rPr>
          <w:i/>
          <w:iCs/>
        </w:rPr>
        <w:t>Nonprofit</w:t>
      </w:r>
      <w:r w:rsidR="00157D4A" w:rsidRPr="00B80B7C">
        <w:rPr>
          <w:i/>
          <w:iCs/>
        </w:rPr>
        <w:t>s 2018</w:t>
      </w:r>
      <w:r w:rsidR="00157D4A" w:rsidRPr="004D7DFE">
        <w:t xml:space="preserve"> and permission to use them for </w:t>
      </w:r>
      <w:r w:rsidR="009C2251">
        <w:t>th</w:t>
      </w:r>
      <w:r w:rsidR="0006044D">
        <w:t>is</w:t>
      </w:r>
      <w:r w:rsidR="009C2251">
        <w:t xml:space="preserve"> study </w:t>
      </w:r>
      <w:r w:rsidR="00157D4A" w:rsidRPr="004D7DFE">
        <w:t>was granted by the ICA.</w:t>
      </w:r>
    </w:p>
    <w:p w14:paraId="4BFBB9FA" w14:textId="510F4304" w:rsidR="00EF4F92" w:rsidRPr="004D7DFE" w:rsidRDefault="00CD1EED">
      <w:bookmarkStart w:id="3" w:name="_Hlk130730144"/>
      <w:r w:rsidRPr="004D7DFE">
        <w:rPr>
          <w:b/>
          <w:bCs/>
        </w:rPr>
        <w:t xml:space="preserve">Philanthropy of Israelis </w:t>
      </w:r>
      <w:r w:rsidR="009C2251">
        <w:rPr>
          <w:b/>
          <w:bCs/>
        </w:rPr>
        <w:t>S</w:t>
      </w:r>
      <w:r w:rsidRPr="004D7DFE">
        <w:rPr>
          <w:b/>
          <w:bCs/>
        </w:rPr>
        <w:t xml:space="preserve">urvey </w:t>
      </w:r>
      <w:bookmarkEnd w:id="3"/>
      <w:r w:rsidRPr="004D7DFE">
        <w:rPr>
          <w:b/>
          <w:bCs/>
        </w:rPr>
        <w:t>2012</w:t>
      </w:r>
      <w:r w:rsidR="0037263C" w:rsidRPr="004D7DFE">
        <w:rPr>
          <w:b/>
          <w:bCs/>
        </w:rPr>
        <w:t>–</w:t>
      </w:r>
      <w:r w:rsidRPr="004D7DFE">
        <w:rPr>
          <w:b/>
          <w:bCs/>
        </w:rPr>
        <w:t>2015</w:t>
      </w:r>
      <w:r w:rsidR="0037263C" w:rsidRPr="004D7DFE">
        <w:t xml:space="preserve"> </w:t>
      </w:r>
      <w:r w:rsidRPr="004D7DFE">
        <w:t xml:space="preserve">– </w:t>
      </w:r>
      <w:r w:rsidR="00A54CD4">
        <w:t>t</w:t>
      </w:r>
      <w:r w:rsidRPr="004D7DFE">
        <w:t>he survey</w:t>
      </w:r>
      <w:r w:rsidR="009E6253">
        <w:t>,</w:t>
      </w:r>
      <w:r w:rsidR="009E6253" w:rsidRPr="009E6253">
        <w:t xml:space="preserve"> </w:t>
      </w:r>
      <w:r w:rsidR="009E6253" w:rsidRPr="004D7DFE">
        <w:t xml:space="preserve">conducted and published by </w:t>
      </w:r>
      <w:r w:rsidR="009E6253">
        <w:t xml:space="preserve">CBS </w:t>
      </w:r>
      <w:r w:rsidR="009E6253" w:rsidRPr="004D7DFE">
        <w:t xml:space="preserve">in cooperation with </w:t>
      </w:r>
      <w:r w:rsidR="009E6253">
        <w:t xml:space="preserve">the </w:t>
      </w:r>
      <w:r w:rsidR="00E501A8">
        <w:t>“</w:t>
      </w:r>
      <w:r w:rsidR="009E6253" w:rsidRPr="004D7DFE">
        <w:t>Committed to Give</w:t>
      </w:r>
      <w:r w:rsidR="00E501A8">
        <w:t>”</w:t>
      </w:r>
      <w:r w:rsidR="009E6253">
        <w:t xml:space="preserve"> initiative</w:t>
      </w:r>
      <w:r w:rsidR="009E6253" w:rsidRPr="004D7DFE">
        <w:t xml:space="preserve"> and the </w:t>
      </w:r>
      <w:r w:rsidR="009E6253">
        <w:t>I</w:t>
      </w:r>
      <w:r w:rsidR="009E6253" w:rsidRPr="004D7DFE">
        <w:t xml:space="preserve">nstitute for </w:t>
      </w:r>
      <w:r w:rsidR="009E6253">
        <w:t>L</w:t>
      </w:r>
      <w:r w:rsidR="009E6253" w:rsidRPr="004D7DFE">
        <w:t xml:space="preserve">aw and </w:t>
      </w:r>
      <w:r w:rsidR="009E6253">
        <w:t>P</w:t>
      </w:r>
      <w:r w:rsidR="009E6253" w:rsidRPr="004D7DFE">
        <w:t xml:space="preserve">hilanthropy </w:t>
      </w:r>
      <w:r w:rsidR="009E6253">
        <w:t xml:space="preserve">at </w:t>
      </w:r>
      <w:r w:rsidR="009E6253" w:rsidRPr="004D7DFE">
        <w:t>Tel Aviv University</w:t>
      </w:r>
      <w:r w:rsidR="009E6253">
        <w:t>,</w:t>
      </w:r>
      <w:r w:rsidRPr="004D7DFE">
        <w:t xml:space="preserve"> </w:t>
      </w:r>
      <w:r w:rsidR="009C2251">
        <w:t xml:space="preserve">yields a </w:t>
      </w:r>
      <w:r w:rsidR="008E2BD8" w:rsidRPr="004D7DFE">
        <w:t xml:space="preserve">reliable </w:t>
      </w:r>
      <w:r w:rsidRPr="004D7DFE">
        <w:t>estimat</w:t>
      </w:r>
      <w:r w:rsidR="009C2251">
        <w:t>e</w:t>
      </w:r>
      <w:r w:rsidRPr="004D7DFE">
        <w:t xml:space="preserve"> </w:t>
      </w:r>
      <w:r w:rsidR="008E2BD8" w:rsidRPr="004D7DFE">
        <w:t xml:space="preserve">of </w:t>
      </w:r>
      <w:r w:rsidRPr="004D7DFE">
        <w:t>the extent of philanthropy of Israelis by source</w:t>
      </w:r>
      <w:r w:rsidR="009E6253">
        <w:t>s</w:t>
      </w:r>
      <w:r w:rsidRPr="004D7DFE">
        <w:t xml:space="preserve"> and </w:t>
      </w:r>
      <w:r w:rsidR="00EC5740">
        <w:t xml:space="preserve">ranges </w:t>
      </w:r>
      <w:r w:rsidRPr="004D7DFE">
        <w:t>of donation</w:t>
      </w:r>
      <w:r w:rsidR="008E2BD8" w:rsidRPr="004D7DFE">
        <w:t xml:space="preserve">s. </w:t>
      </w:r>
      <w:r w:rsidR="00884379">
        <w:t>Nonprofits</w:t>
      </w:r>
      <w:r w:rsidR="000357EF" w:rsidRPr="004D7DFE">
        <w:t xml:space="preserve"> </w:t>
      </w:r>
      <w:r w:rsidRPr="004D7DFE">
        <w:t xml:space="preserve">in Israel were surveyed by a paper questionnaire sent to them. They were asked to map their </w:t>
      </w:r>
      <w:r w:rsidR="00B646BB">
        <w:t>annual</w:t>
      </w:r>
      <w:r w:rsidR="009E6253">
        <w:t xml:space="preserve"> </w:t>
      </w:r>
      <w:r w:rsidRPr="004D7DFE">
        <w:t>income</w:t>
      </w:r>
      <w:r w:rsidR="00B646BB">
        <w:t xml:space="preserve"> </w:t>
      </w:r>
      <w:r w:rsidRPr="004D7DFE">
        <w:t xml:space="preserve">from philanthropy of Israelis by source (households, </w:t>
      </w:r>
      <w:r w:rsidR="00A26ECF">
        <w:t>companies</w:t>
      </w:r>
      <w:r w:rsidR="009E6253">
        <w:t>,</w:t>
      </w:r>
      <w:r w:rsidRPr="004D7DFE">
        <w:t xml:space="preserve"> and bequests) and </w:t>
      </w:r>
      <w:r w:rsidR="00EC5740">
        <w:t xml:space="preserve">range </w:t>
      </w:r>
      <w:r w:rsidRPr="004D7DFE">
        <w:t xml:space="preserve">of donations. </w:t>
      </w:r>
      <w:r w:rsidR="00884379">
        <w:t>T</w:t>
      </w:r>
      <w:r w:rsidRPr="004D7DFE">
        <w:t xml:space="preserve">he survey included a statistically representative sample of 408 </w:t>
      </w:r>
      <w:r w:rsidR="00884379">
        <w:t>nonprofit</w:t>
      </w:r>
      <w:r w:rsidR="000357EF" w:rsidRPr="004D7DFE">
        <w:t xml:space="preserve">s </w:t>
      </w:r>
      <w:r w:rsidR="007D0EAE">
        <w:t xml:space="preserve">in </w:t>
      </w:r>
      <w:r w:rsidRPr="004D7DFE">
        <w:t>all fields of activit</w:t>
      </w:r>
      <w:r w:rsidR="007D0EAE">
        <w:t>y</w:t>
      </w:r>
      <w:r w:rsidRPr="004D7DFE">
        <w:t>, represent</w:t>
      </w:r>
      <w:r w:rsidR="007D0EAE">
        <w:t>ing</w:t>
      </w:r>
      <w:r w:rsidRPr="004D7DFE">
        <w:t xml:space="preserve"> all </w:t>
      </w:r>
      <w:r w:rsidR="00884379">
        <w:t>nonprofit</w:t>
      </w:r>
      <w:r w:rsidR="000357EF" w:rsidRPr="004D7DFE">
        <w:t>s</w:t>
      </w:r>
      <w:r w:rsidRPr="004D7DFE">
        <w:t xml:space="preserve"> in Israel </w:t>
      </w:r>
      <w:r w:rsidR="007D0EAE">
        <w:t xml:space="preserve">that had </w:t>
      </w:r>
      <w:r w:rsidRPr="004D7DFE">
        <w:t xml:space="preserve">income </w:t>
      </w:r>
      <w:r w:rsidR="007D0EAE">
        <w:t xml:space="preserve">exceeding </w:t>
      </w:r>
      <w:r w:rsidR="00480C2D">
        <w:t>NIS</w:t>
      </w:r>
      <w:r w:rsidR="007D0EAE">
        <w:t> </w:t>
      </w:r>
      <w:r w:rsidRPr="004D7DFE">
        <w:t>500</w:t>
      </w:r>
      <w:r w:rsidR="008353F0">
        <w:t>K</w:t>
      </w:r>
      <w:r w:rsidR="00480C2D">
        <w:t xml:space="preserve"> </w:t>
      </w:r>
      <w:r w:rsidR="008353F0">
        <w:t xml:space="preserve">(about 6,000 nonprofits) </w:t>
      </w:r>
      <w:r w:rsidR="00966269" w:rsidRPr="004D7DFE">
        <w:t>(CBS, 2017)</w:t>
      </w:r>
      <w:r w:rsidRPr="004D7DFE">
        <w:t>.</w:t>
      </w:r>
      <w:r w:rsidR="00157D4A" w:rsidRPr="004D7DFE">
        <w:t xml:space="preserve"> </w:t>
      </w:r>
    </w:p>
    <w:p w14:paraId="05CC0E33" w14:textId="36B2A0F8" w:rsidR="002B5C07" w:rsidRPr="004D7DFE" w:rsidRDefault="002B5C07">
      <w:r w:rsidRPr="004D7DFE">
        <w:rPr>
          <w:b/>
          <w:bCs/>
        </w:rPr>
        <w:t xml:space="preserve">Donations to Israeli </w:t>
      </w:r>
      <w:r w:rsidR="00884379">
        <w:rPr>
          <w:b/>
          <w:bCs/>
        </w:rPr>
        <w:t>nonprofit</w:t>
      </w:r>
      <w:r w:rsidRPr="004D7DFE">
        <w:rPr>
          <w:b/>
          <w:bCs/>
        </w:rPr>
        <w:t xml:space="preserve">s: </w:t>
      </w:r>
      <w:r w:rsidR="007D0EAE">
        <w:rPr>
          <w:b/>
          <w:bCs/>
        </w:rPr>
        <w:t>a c</w:t>
      </w:r>
      <w:r w:rsidRPr="004D7DFE">
        <w:rPr>
          <w:b/>
          <w:bCs/>
        </w:rPr>
        <w:t xml:space="preserve">omparative </w:t>
      </w:r>
      <w:r w:rsidR="007D0EAE">
        <w:rPr>
          <w:b/>
          <w:bCs/>
        </w:rPr>
        <w:t>study</w:t>
      </w:r>
      <w:r w:rsidR="007D0EAE">
        <w:t xml:space="preserve"> </w:t>
      </w:r>
      <w:r w:rsidRPr="004D7DFE">
        <w:t xml:space="preserve">– </w:t>
      </w:r>
      <w:r w:rsidR="00A54CD4">
        <w:t>t</w:t>
      </w:r>
      <w:r w:rsidRPr="004D7DFE">
        <w:t xml:space="preserve">his </w:t>
      </w:r>
      <w:r w:rsidR="007D0EAE">
        <w:t xml:space="preserve">study </w:t>
      </w:r>
      <w:r w:rsidRPr="004D7DFE">
        <w:t xml:space="preserve">provides data on total private donations to Israeli nonprofits from Israel and </w:t>
      </w:r>
      <w:r w:rsidR="002C2539">
        <w:t>RoW</w:t>
      </w:r>
      <w:r w:rsidR="00966269" w:rsidRPr="004D7DFE">
        <w:t xml:space="preserve"> in 2018</w:t>
      </w:r>
      <w:r w:rsidRPr="004D7DFE">
        <w:t>. It in</w:t>
      </w:r>
      <w:r w:rsidR="004C6AB1">
        <w:t>corporations</w:t>
      </w:r>
      <w:r w:rsidRPr="004D7DFE">
        <w:t xml:space="preserve"> </w:t>
      </w:r>
      <w:r w:rsidR="007D0EAE">
        <w:t xml:space="preserve">sundry </w:t>
      </w:r>
      <w:r w:rsidRPr="004D7DFE">
        <w:t xml:space="preserve">administrative </w:t>
      </w:r>
      <w:r w:rsidR="00966269" w:rsidRPr="004D7DFE">
        <w:t xml:space="preserve">data </w:t>
      </w:r>
      <w:r w:rsidRPr="004D7DFE">
        <w:t xml:space="preserve">and complementary </w:t>
      </w:r>
      <w:r w:rsidR="00966269" w:rsidRPr="004D7DFE">
        <w:t xml:space="preserve">formal </w:t>
      </w:r>
      <w:r w:rsidRPr="004D7DFE">
        <w:t xml:space="preserve">data to </w:t>
      </w:r>
      <w:r w:rsidR="007D0EAE">
        <w:t xml:space="preserve">yield </w:t>
      </w:r>
      <w:r w:rsidRPr="004D7DFE">
        <w:t xml:space="preserve">a reliable </w:t>
      </w:r>
      <w:r w:rsidR="007D0EAE" w:rsidRPr="004D7DFE">
        <w:t xml:space="preserve">comprehensive </w:t>
      </w:r>
      <w:r w:rsidRPr="004D7DFE">
        <w:t xml:space="preserve">sum of donations to nonprofits in Israel (Hazan, 2021). </w:t>
      </w:r>
    </w:p>
    <w:p w14:paraId="3CA6240E" w14:textId="3C19A22C" w:rsidR="00643FF2" w:rsidRPr="004D7DFE" w:rsidRDefault="007D0EAE">
      <w:r>
        <w:rPr>
          <w:b/>
          <w:bCs/>
        </w:rPr>
        <w:t>U.S. and Canadian t</w:t>
      </w:r>
      <w:r w:rsidR="00AF41D2" w:rsidRPr="004D7DFE">
        <w:rPr>
          <w:b/>
          <w:bCs/>
        </w:rPr>
        <w:t>ax</w:t>
      </w:r>
      <w:r>
        <w:rPr>
          <w:b/>
          <w:bCs/>
        </w:rPr>
        <w:t>-</w:t>
      </w:r>
      <w:r w:rsidR="00AF41D2" w:rsidRPr="004D7DFE">
        <w:rPr>
          <w:b/>
          <w:bCs/>
        </w:rPr>
        <w:t>authorit</w:t>
      </w:r>
      <w:r>
        <w:rPr>
          <w:b/>
          <w:bCs/>
        </w:rPr>
        <w:t xml:space="preserve">y </w:t>
      </w:r>
      <w:r w:rsidR="00AF41D2" w:rsidRPr="004D7DFE">
        <w:rPr>
          <w:b/>
          <w:bCs/>
        </w:rPr>
        <w:t>data</w:t>
      </w:r>
      <w:r>
        <w:rPr>
          <w:b/>
          <w:bCs/>
        </w:rPr>
        <w:t xml:space="preserve"> </w:t>
      </w:r>
      <w:r w:rsidR="009B0875" w:rsidRPr="004D7DFE">
        <w:t xml:space="preserve">– </w:t>
      </w:r>
      <w:r>
        <w:t>detailed a</w:t>
      </w:r>
      <w:r w:rsidR="00AF41D2" w:rsidRPr="004D7DFE">
        <w:t xml:space="preserve">dministrative </w:t>
      </w:r>
      <w:r>
        <w:t xml:space="preserve">aggregate </w:t>
      </w:r>
      <w:r w:rsidR="00AF41D2" w:rsidRPr="004D7DFE">
        <w:t>national</w:t>
      </w:r>
      <w:r>
        <w:t>-level</w:t>
      </w:r>
      <w:r w:rsidR="00AF41D2" w:rsidRPr="004D7DFE">
        <w:t xml:space="preserve"> data on donations</w:t>
      </w:r>
      <w:r>
        <w:t xml:space="preserve"> </w:t>
      </w:r>
      <w:r w:rsidR="00AF41D2" w:rsidRPr="004D7DFE">
        <w:t xml:space="preserve">are published by </w:t>
      </w:r>
      <w:bookmarkStart w:id="4" w:name="_Hlk129787186"/>
      <w:r>
        <w:t>U.S. Internal Revenue Service and the Canadian Revenue Agency</w:t>
      </w:r>
      <w:bookmarkEnd w:id="4"/>
      <w:r w:rsidR="00AF41D2" w:rsidRPr="004D7DFE">
        <w:t>.</w:t>
      </w:r>
    </w:p>
    <w:p w14:paraId="7DD55B48" w14:textId="3E6F36C5" w:rsidR="00EF46E9" w:rsidRPr="004D7DFE" w:rsidRDefault="004D7DFE">
      <w:pPr>
        <w:pStyle w:val="Heading1"/>
      </w:pPr>
      <w:r w:rsidRPr="004D7DFE">
        <w:t xml:space="preserve"> </w:t>
      </w:r>
      <w:r w:rsidR="00EF46E9" w:rsidRPr="004D7DFE">
        <w:t>Procedure</w:t>
      </w:r>
    </w:p>
    <w:p w14:paraId="1FCB18A3" w14:textId="114ADD8F" w:rsidR="00E65510" w:rsidRPr="004D7DFE" w:rsidRDefault="001A2DD1">
      <w:r w:rsidRPr="004D7DFE">
        <w:t xml:space="preserve">The year </w:t>
      </w:r>
      <w:r w:rsidR="007D0EAE">
        <w:t>of the case</w:t>
      </w:r>
      <w:r w:rsidR="0006044D">
        <w:t xml:space="preserve"> study</w:t>
      </w:r>
      <w:r w:rsidR="007D0EAE">
        <w:t xml:space="preserve"> </w:t>
      </w:r>
      <w:r w:rsidRPr="004D7DFE">
        <w:t xml:space="preserve">is 2018. At the time of </w:t>
      </w:r>
      <w:r w:rsidR="007D0EAE">
        <w:t xml:space="preserve">my </w:t>
      </w:r>
      <w:r w:rsidRPr="004D7DFE">
        <w:t>research (</w:t>
      </w:r>
      <w:r w:rsidR="00F06DBE" w:rsidRPr="004D7DFE">
        <w:t>mid</w:t>
      </w:r>
      <w:r w:rsidR="007D0EAE">
        <w:t>-</w:t>
      </w:r>
      <w:r w:rsidRPr="004D7DFE">
        <w:t>2021)</w:t>
      </w:r>
      <w:r w:rsidR="007D0EAE">
        <w:t>,</w:t>
      </w:r>
      <w:r w:rsidRPr="004D7DFE">
        <w:t xml:space="preserve"> </w:t>
      </w:r>
      <w:r w:rsidR="00652AC7">
        <w:t xml:space="preserve">this </w:t>
      </w:r>
      <w:r w:rsidRPr="004D7DFE">
        <w:t xml:space="preserve">was the latest year for which reliable data on total donations in Israel were available. Furthermore, administrative data on </w:t>
      </w:r>
      <w:r w:rsidR="00E65510" w:rsidRPr="004D7DFE">
        <w:t xml:space="preserve">reported </w:t>
      </w:r>
      <w:r w:rsidRPr="004D7DFE">
        <w:t xml:space="preserve">donations to the ITA </w:t>
      </w:r>
      <w:r w:rsidR="00BA409B">
        <w:t xml:space="preserve">for the </w:t>
      </w:r>
      <w:r w:rsidRPr="004D7DFE">
        <w:t>tax benefit</w:t>
      </w:r>
      <w:r w:rsidR="00E65510" w:rsidRPr="004D7DFE">
        <w:t xml:space="preserve"> </w:t>
      </w:r>
      <w:r w:rsidRPr="004D7DFE">
        <w:t xml:space="preserve">are almost complete about three years </w:t>
      </w:r>
      <w:r w:rsidR="00BA409B">
        <w:t xml:space="preserve">after </w:t>
      </w:r>
      <w:r w:rsidR="00D16BE7" w:rsidRPr="004D7DFE">
        <w:t>the donation year (although</w:t>
      </w:r>
      <w:r w:rsidRPr="004D7DFE">
        <w:t xml:space="preserve"> the tax benefit can be claimed six year</w:t>
      </w:r>
      <w:r w:rsidR="00F06DBE" w:rsidRPr="004D7DFE">
        <w:t>s</w:t>
      </w:r>
      <w:r w:rsidRPr="004D7DFE">
        <w:t xml:space="preserve"> </w:t>
      </w:r>
      <w:r w:rsidR="00D16BE7" w:rsidRPr="004D7DFE">
        <w:t>after</w:t>
      </w:r>
      <w:r w:rsidRPr="004D7DFE">
        <w:t xml:space="preserve"> the donation </w:t>
      </w:r>
      <w:r w:rsidR="00BA409B">
        <w:t>is made</w:t>
      </w:r>
      <w:r w:rsidR="00D16BE7" w:rsidRPr="004D7DFE">
        <w:t>)</w:t>
      </w:r>
      <w:r w:rsidRPr="004D7DFE">
        <w:t>.</w:t>
      </w:r>
    </w:p>
    <w:p w14:paraId="24F1C85B" w14:textId="2D25F6A6" w:rsidR="00F06DBE" w:rsidRPr="004D7DFE" w:rsidRDefault="00F06DBE">
      <w:r w:rsidRPr="004D7DFE">
        <w:t>The estimat</w:t>
      </w:r>
      <w:r w:rsidR="00BA409B">
        <w:t xml:space="preserve">e </w:t>
      </w:r>
      <w:r w:rsidRPr="004D7DFE">
        <w:t xml:space="preserve">of </w:t>
      </w:r>
      <w:r w:rsidRPr="004D7DFE">
        <w:rPr>
          <w:b/>
          <w:bCs/>
        </w:rPr>
        <w:t>total private donations</w:t>
      </w:r>
      <w:r w:rsidRPr="004D7DFE">
        <w:t xml:space="preserve"> to </w:t>
      </w:r>
      <w:r w:rsidR="00884379">
        <w:t>nonprofit</w:t>
      </w:r>
      <w:r w:rsidR="000357EF" w:rsidRPr="004D7DFE">
        <w:t xml:space="preserve">s </w:t>
      </w:r>
      <w:r w:rsidRPr="004D7DFE">
        <w:t xml:space="preserve">in 2018 </w:t>
      </w:r>
      <w:r w:rsidR="00BA409B">
        <w:t xml:space="preserve">comes from </w:t>
      </w:r>
      <w:r w:rsidRPr="004D7DFE">
        <w:t xml:space="preserve">comparative research based on </w:t>
      </w:r>
      <w:r w:rsidR="00BA409B">
        <w:t xml:space="preserve">a </w:t>
      </w:r>
      <w:r w:rsidRPr="004D7DFE">
        <w:t xml:space="preserve">broad and robust </w:t>
      </w:r>
      <w:r w:rsidR="00F96858" w:rsidRPr="004D7DFE">
        <w:t xml:space="preserve">infrastructure of </w:t>
      </w:r>
      <w:r w:rsidRPr="004D7DFE">
        <w:t>data sources (Hazan, 2021)</w:t>
      </w:r>
      <w:r w:rsidR="00F96858" w:rsidRPr="004D7DFE">
        <w:t xml:space="preserve">. </w:t>
      </w:r>
      <w:r w:rsidR="0086705A">
        <w:t>T</w:t>
      </w:r>
      <w:r w:rsidR="00F96858" w:rsidRPr="004D7DFE">
        <w:t xml:space="preserve">he point </w:t>
      </w:r>
      <w:r w:rsidR="00BA409B">
        <w:t>of depart</w:t>
      </w:r>
      <w:r w:rsidR="0086705A">
        <w:t xml:space="preserve">ure </w:t>
      </w:r>
      <w:r w:rsidR="00F96858" w:rsidRPr="004D7DFE">
        <w:t xml:space="preserve">is </w:t>
      </w:r>
      <w:r w:rsidR="00BA409B">
        <w:t>NIS</w:t>
      </w:r>
      <w:r w:rsidR="00BA409B" w:rsidRPr="004D7DFE">
        <w:t xml:space="preserve"> 7 </w:t>
      </w:r>
      <w:r w:rsidR="00BA409B">
        <w:t>billion</w:t>
      </w:r>
      <w:r w:rsidR="00BA409B" w:rsidRPr="004D7DFE">
        <w:t xml:space="preserve"> </w:t>
      </w:r>
      <w:r w:rsidR="00BA409B">
        <w:t xml:space="preserve">in </w:t>
      </w:r>
      <w:r w:rsidR="00F96858" w:rsidRPr="004D7DFE">
        <w:t>total donations.</w:t>
      </w:r>
      <w:r w:rsidRPr="004D7DFE">
        <w:t xml:space="preserve"> </w:t>
      </w:r>
    </w:p>
    <w:p w14:paraId="555DB002" w14:textId="2A34503D" w:rsidR="003F211E" w:rsidRPr="004D7DFE" w:rsidRDefault="00F96858">
      <w:r w:rsidRPr="004D7DFE">
        <w:t xml:space="preserve">The </w:t>
      </w:r>
      <w:r w:rsidRPr="004D7DFE">
        <w:rPr>
          <w:b/>
          <w:bCs/>
        </w:rPr>
        <w:t>di</w:t>
      </w:r>
      <w:r w:rsidR="00EC5740">
        <w:rPr>
          <w:b/>
          <w:bCs/>
        </w:rPr>
        <w:t xml:space="preserve">stribution </w:t>
      </w:r>
      <w:r w:rsidRPr="004D7DFE">
        <w:rPr>
          <w:b/>
          <w:bCs/>
        </w:rPr>
        <w:t>of donations by sources</w:t>
      </w:r>
      <w:r w:rsidRPr="004D7DFE">
        <w:t xml:space="preserve"> is based on </w:t>
      </w:r>
      <w:r w:rsidR="00BA409B">
        <w:t xml:space="preserve">the </w:t>
      </w:r>
      <w:r w:rsidRPr="004D7DFE">
        <w:t xml:space="preserve">Philanthropy of Israelis </w:t>
      </w:r>
      <w:r w:rsidR="003F211E" w:rsidRPr="004D7DFE">
        <w:t>S</w:t>
      </w:r>
      <w:r w:rsidRPr="004D7DFE">
        <w:t>urvey</w:t>
      </w:r>
      <w:r w:rsidR="00B646BB">
        <w:t>.</w:t>
      </w:r>
      <w:r w:rsidRPr="004D7DFE">
        <w:t xml:space="preserve"> </w:t>
      </w:r>
      <w:r w:rsidR="00BA409B">
        <w:t>O</w:t>
      </w:r>
      <w:r w:rsidRPr="004D7DFE">
        <w:t>n average, individuals</w:t>
      </w:r>
      <w:r w:rsidR="00E501A8">
        <w:t>’</w:t>
      </w:r>
      <w:r w:rsidRPr="004D7DFE">
        <w:t xml:space="preserve"> donations </w:t>
      </w:r>
      <w:r w:rsidR="00BA409B">
        <w:t xml:space="preserve">account for </w:t>
      </w:r>
      <w:r w:rsidRPr="004D7DFE">
        <w:t xml:space="preserve">72.2% and </w:t>
      </w:r>
      <w:r w:rsidR="00BA409B">
        <w:t xml:space="preserve">corporate </w:t>
      </w:r>
      <w:r w:rsidRPr="004D7DFE">
        <w:t>donations</w:t>
      </w:r>
      <w:r w:rsidR="0006044D">
        <w:t xml:space="preserve"> account for </w:t>
      </w:r>
      <w:r w:rsidRPr="004D7DFE">
        <w:t xml:space="preserve">27.8% </w:t>
      </w:r>
      <w:r w:rsidR="003F211E" w:rsidRPr="004D7DFE">
        <w:t>of total private donations.</w:t>
      </w:r>
      <w:r w:rsidR="003F211E" w:rsidRPr="004D7DFE">
        <w:rPr>
          <w:rStyle w:val="FootnoteReference"/>
        </w:rPr>
        <w:footnoteReference w:id="2"/>
      </w:r>
      <w:r w:rsidR="003F211E" w:rsidRPr="004D7DFE">
        <w:t xml:space="preserve"> Unpublished data compiled by CBS (in the yearly </w:t>
      </w:r>
      <w:r w:rsidR="00884379">
        <w:t>nonprofit</w:t>
      </w:r>
      <w:r w:rsidR="000357EF" w:rsidRPr="004D7DFE">
        <w:t xml:space="preserve">s </w:t>
      </w:r>
      <w:r w:rsidR="003F211E" w:rsidRPr="004D7DFE">
        <w:t>survey) support this division.</w:t>
      </w:r>
    </w:p>
    <w:p w14:paraId="5F40925B" w14:textId="145BAD04" w:rsidR="004E23A8" w:rsidRPr="004D7DFE" w:rsidRDefault="00226879">
      <w:r w:rsidRPr="004D7DFE">
        <w:t xml:space="preserve">The </w:t>
      </w:r>
      <w:r w:rsidR="00EC5740" w:rsidRPr="00EC5740">
        <w:rPr>
          <w:b/>
          <w:bCs/>
        </w:rPr>
        <w:t>distribution</w:t>
      </w:r>
      <w:r w:rsidR="00EC5740">
        <w:t xml:space="preserve"> </w:t>
      </w:r>
      <w:r w:rsidRPr="004D7DFE">
        <w:rPr>
          <w:b/>
          <w:bCs/>
        </w:rPr>
        <w:t xml:space="preserve">of donations </w:t>
      </w:r>
      <w:r w:rsidR="00BA409B">
        <w:rPr>
          <w:b/>
          <w:bCs/>
        </w:rPr>
        <w:t xml:space="preserve">into </w:t>
      </w:r>
      <w:r w:rsidR="00EC5740">
        <w:rPr>
          <w:b/>
          <w:bCs/>
        </w:rPr>
        <w:t xml:space="preserve">ranges </w:t>
      </w:r>
      <w:r w:rsidRPr="004D7DFE">
        <w:t xml:space="preserve">is based on several sources. The </w:t>
      </w:r>
      <w:r w:rsidR="009903BA" w:rsidRPr="004D7DFE">
        <w:t>primary</w:t>
      </w:r>
      <w:r w:rsidRPr="004D7DFE">
        <w:t xml:space="preserve"> division </w:t>
      </w:r>
      <w:r w:rsidR="00BA409B">
        <w:t>in</w:t>
      </w:r>
      <w:r w:rsidRPr="004D7DFE">
        <w:t>to</w:t>
      </w:r>
      <w:r w:rsidR="00955549" w:rsidRPr="004D7DFE">
        <w:t xml:space="preserve"> five </w:t>
      </w:r>
      <w:r w:rsidR="00EC5740">
        <w:t xml:space="preserve">ranges </w:t>
      </w:r>
      <w:r w:rsidR="002C2539">
        <w:t>is</w:t>
      </w:r>
      <w:r w:rsidR="00955549" w:rsidRPr="004D7DFE">
        <w:t xml:space="preserve"> based on </w:t>
      </w:r>
      <w:r w:rsidR="00BA409B">
        <w:t xml:space="preserve">the </w:t>
      </w:r>
      <w:r w:rsidR="00955549" w:rsidRPr="004D7DFE">
        <w:t xml:space="preserve">Philanthropy of Israelis Survey, in which respondents </w:t>
      </w:r>
      <w:r w:rsidR="00BA409B">
        <w:t xml:space="preserve">specified </w:t>
      </w:r>
      <w:r w:rsidR="00955549" w:rsidRPr="004D7DFE">
        <w:t xml:space="preserve">the sum of donations they received </w:t>
      </w:r>
      <w:r w:rsidR="009903BA" w:rsidRPr="004D7DFE">
        <w:t xml:space="preserve">from each source </w:t>
      </w:r>
      <w:r w:rsidR="00955549" w:rsidRPr="004D7DFE">
        <w:t xml:space="preserve">by each </w:t>
      </w:r>
      <w:r w:rsidR="00EC5740">
        <w:t xml:space="preserve">range </w:t>
      </w:r>
      <w:r w:rsidR="00955549" w:rsidRPr="004D7DFE">
        <w:t>(up to</w:t>
      </w:r>
      <w:r w:rsidR="00480C2D" w:rsidRPr="00480C2D">
        <w:t xml:space="preserve"> </w:t>
      </w:r>
      <w:r w:rsidR="00480C2D">
        <w:t>NIS</w:t>
      </w:r>
      <w:r w:rsidR="00955549" w:rsidRPr="004D7DFE">
        <w:t xml:space="preserve"> 2,000;</w:t>
      </w:r>
      <w:r w:rsidR="00480C2D">
        <w:t xml:space="preserve"> NIS</w:t>
      </w:r>
      <w:r w:rsidR="00955549" w:rsidRPr="004D7DFE">
        <w:t xml:space="preserve"> </w:t>
      </w:r>
      <w:r w:rsidR="00D756A9">
        <w:rPr>
          <w:rtl/>
        </w:rPr>
        <w:t>2</w:t>
      </w:r>
      <w:r w:rsidR="00D756A9">
        <w:t>K–20K</w:t>
      </w:r>
      <w:r w:rsidR="00955549" w:rsidRPr="004D7DFE">
        <w:t xml:space="preserve">; </w:t>
      </w:r>
      <w:r w:rsidR="00480C2D">
        <w:t>NIS</w:t>
      </w:r>
      <w:r w:rsidR="00480C2D" w:rsidRPr="004D7DFE">
        <w:t xml:space="preserve"> </w:t>
      </w:r>
      <w:r w:rsidR="00955549" w:rsidRPr="004D7DFE">
        <w:t>2</w:t>
      </w:r>
      <w:r w:rsidR="005B74F1" w:rsidRPr="004D7DFE">
        <w:t>0</w:t>
      </w:r>
      <w:r w:rsidR="008353F0">
        <w:t>K</w:t>
      </w:r>
      <w:r w:rsidR="005B74F1" w:rsidRPr="004D7DFE">
        <w:t>–</w:t>
      </w:r>
      <w:r w:rsidR="00955549" w:rsidRPr="004D7DFE">
        <w:t>100</w:t>
      </w:r>
      <w:r w:rsidR="008353F0">
        <w:t>K</w:t>
      </w:r>
      <w:r w:rsidR="00955549" w:rsidRPr="004D7DFE">
        <w:t xml:space="preserve">; </w:t>
      </w:r>
      <w:r w:rsidR="00480C2D">
        <w:t>NIS</w:t>
      </w:r>
      <w:r w:rsidR="00480C2D" w:rsidRPr="004D7DFE">
        <w:t xml:space="preserve"> </w:t>
      </w:r>
      <w:r w:rsidR="00955549" w:rsidRPr="004D7DFE">
        <w:t>10</w:t>
      </w:r>
      <w:r w:rsidR="005B74F1" w:rsidRPr="004D7DFE">
        <w:t>0</w:t>
      </w:r>
      <w:r w:rsidR="008353F0">
        <w:t>K</w:t>
      </w:r>
      <w:r w:rsidR="005B74F1" w:rsidRPr="004D7DFE">
        <w:t>–</w:t>
      </w:r>
      <w:r w:rsidR="00955549" w:rsidRPr="004D7DFE">
        <w:t>500</w:t>
      </w:r>
      <w:r w:rsidR="008353F0">
        <w:t>K</w:t>
      </w:r>
      <w:r w:rsidR="00955549" w:rsidRPr="004D7DFE">
        <w:t xml:space="preserve">; above </w:t>
      </w:r>
      <w:r w:rsidR="00480C2D">
        <w:t>NIS</w:t>
      </w:r>
      <w:r w:rsidR="00480C2D" w:rsidRPr="004D7DFE">
        <w:t xml:space="preserve"> </w:t>
      </w:r>
      <w:r w:rsidR="00955549" w:rsidRPr="004D7DFE">
        <w:t>500</w:t>
      </w:r>
      <w:r w:rsidR="008353F0">
        <w:t>K</w:t>
      </w:r>
      <w:r w:rsidR="00955549" w:rsidRPr="004D7DFE">
        <w:t xml:space="preserve">). </w:t>
      </w:r>
      <w:r w:rsidR="007B738C">
        <w:t>T</w:t>
      </w:r>
      <w:r w:rsidR="00955549" w:rsidRPr="004D7DFE">
        <w:t>his division</w:t>
      </w:r>
      <w:r w:rsidR="007B738C">
        <w:t>, however,</w:t>
      </w:r>
      <w:r w:rsidR="00955549" w:rsidRPr="004D7DFE">
        <w:t xml:space="preserve"> is not </w:t>
      </w:r>
      <w:r w:rsidR="002C2539">
        <w:t xml:space="preserve">sufficiently </w:t>
      </w:r>
      <w:r w:rsidR="00955549" w:rsidRPr="004D7DFE">
        <w:t xml:space="preserve">detailed for the current </w:t>
      </w:r>
      <w:r w:rsidR="007B738C">
        <w:t xml:space="preserve">study, </w:t>
      </w:r>
      <w:r w:rsidR="00955549" w:rsidRPr="004D7DFE">
        <w:t xml:space="preserve">in which I aspired to take the credit floor and </w:t>
      </w:r>
      <w:r w:rsidR="00203555">
        <w:t>ceiling</w:t>
      </w:r>
      <w:r w:rsidR="00955549" w:rsidRPr="004D7DFE">
        <w:t xml:space="preserve"> bar</w:t>
      </w:r>
      <w:r w:rsidR="007B738C">
        <w:t xml:space="preserve">riers </w:t>
      </w:r>
      <w:r w:rsidR="007B738C" w:rsidRPr="004D7DFE">
        <w:t>into consideration</w:t>
      </w:r>
      <w:r w:rsidR="00955549" w:rsidRPr="004D7DFE">
        <w:t xml:space="preserve">. Thus, </w:t>
      </w:r>
      <w:r w:rsidR="001A2D24" w:rsidRPr="004D7DFE">
        <w:t xml:space="preserve">to </w:t>
      </w:r>
      <w:r w:rsidR="00955549" w:rsidRPr="004D7DFE">
        <w:t>further divide the small donations</w:t>
      </w:r>
      <w:r w:rsidR="007B738C">
        <w:t>,</w:t>
      </w:r>
      <w:r w:rsidR="00955549" w:rsidRPr="004D7DFE">
        <w:t xml:space="preserve"> I used </w:t>
      </w:r>
      <w:r w:rsidR="007B738C">
        <w:t xml:space="preserve">a </w:t>
      </w:r>
      <w:r w:rsidR="00955549" w:rsidRPr="004D7DFE">
        <w:t>full record of online donation</w:t>
      </w:r>
      <w:r w:rsidR="002929F1" w:rsidRPr="004D7DFE">
        <w:t>s</w:t>
      </w:r>
      <w:r w:rsidR="001A2D24" w:rsidRPr="004D7DFE">
        <w:t xml:space="preserve"> in 2018</w:t>
      </w:r>
      <w:r w:rsidR="00955549" w:rsidRPr="004D7DFE">
        <w:t xml:space="preserve"> from </w:t>
      </w:r>
      <w:r w:rsidR="007B738C" w:rsidRPr="004D7DFE">
        <w:t>JGive</w:t>
      </w:r>
      <w:r w:rsidR="007B738C">
        <w:t>,</w:t>
      </w:r>
      <w:r w:rsidR="007B738C" w:rsidRPr="004D7DFE">
        <w:t xml:space="preserve"> </w:t>
      </w:r>
      <w:r w:rsidR="00955549" w:rsidRPr="004D7DFE">
        <w:t xml:space="preserve">one </w:t>
      </w:r>
      <w:r w:rsidR="002929F1" w:rsidRPr="004D7DFE">
        <w:t xml:space="preserve">of </w:t>
      </w:r>
      <w:r w:rsidR="00955549" w:rsidRPr="004D7DFE">
        <w:t>the largest online platform</w:t>
      </w:r>
      <w:r w:rsidR="002929F1" w:rsidRPr="004D7DFE">
        <w:t>s</w:t>
      </w:r>
      <w:r w:rsidR="00955549" w:rsidRPr="004D7DFE">
        <w:t xml:space="preserve"> in Israel </w:t>
      </w:r>
      <w:r w:rsidR="002929F1" w:rsidRPr="004D7DFE">
        <w:t xml:space="preserve">through which small donations are donated to </w:t>
      </w:r>
      <w:r w:rsidR="00884379">
        <w:t>nonprofit</w:t>
      </w:r>
      <w:r w:rsidR="002929F1" w:rsidRPr="004D7DFE">
        <w:t xml:space="preserve">s. </w:t>
      </w:r>
      <w:r w:rsidR="001A2D24" w:rsidRPr="004D7DFE">
        <w:t>Small d</w:t>
      </w:r>
      <w:r w:rsidR="00CB1C5F" w:rsidRPr="004D7DFE">
        <w:t>onations</w:t>
      </w:r>
      <w:r w:rsidR="000E7EF6">
        <w:t xml:space="preserve"> (up to NIS 2,000, about</w:t>
      </w:r>
      <w:r w:rsidR="000E7EF6">
        <w:rPr>
          <w:rFonts w:hint="cs"/>
          <w:rtl/>
        </w:rPr>
        <w:t xml:space="preserve"> </w:t>
      </w:r>
      <w:r w:rsidR="000E7EF6" w:rsidRPr="004D7DFE">
        <w:t>€500</w:t>
      </w:r>
      <w:r w:rsidR="000E7EF6">
        <w:t>)</w:t>
      </w:r>
      <w:r w:rsidR="00CB1C5F" w:rsidRPr="004D7DFE">
        <w:t xml:space="preserve"> were divided </w:t>
      </w:r>
      <w:r w:rsidR="001A2D24" w:rsidRPr="004D7DFE">
        <w:t>in</w:t>
      </w:r>
      <w:r w:rsidR="00CB1C5F" w:rsidRPr="004D7DFE">
        <w:t xml:space="preserve">to two </w:t>
      </w:r>
      <w:r w:rsidR="00EC5740">
        <w:t xml:space="preserve">ranges </w:t>
      </w:r>
      <w:r w:rsidR="00CB1C5F" w:rsidRPr="004D7DFE">
        <w:t xml:space="preserve">according to the credit floor in 2018 (below </w:t>
      </w:r>
      <w:r w:rsidR="002C2539">
        <w:t xml:space="preserve">and above </w:t>
      </w:r>
      <w:r w:rsidR="00CB1C5F" w:rsidRPr="004D7DFE">
        <w:t>floor</w:t>
      </w:r>
      <w:r w:rsidR="002C2539">
        <w:t xml:space="preserve">: </w:t>
      </w:r>
      <w:r w:rsidR="00CB1C5F" w:rsidRPr="004D7DFE">
        <w:t xml:space="preserve">up to </w:t>
      </w:r>
      <w:r w:rsidR="00480C2D">
        <w:t>NIS</w:t>
      </w:r>
      <w:r w:rsidR="007B738C">
        <w:t> </w:t>
      </w:r>
      <w:r w:rsidR="00CB1C5F" w:rsidRPr="004D7DFE">
        <w:t xml:space="preserve">180 and </w:t>
      </w:r>
      <w:r w:rsidR="00480C2D">
        <w:t>NIS</w:t>
      </w:r>
      <w:r w:rsidR="007B738C">
        <w:t> </w:t>
      </w:r>
      <w:r w:rsidR="002C2539">
        <w:t>1</w:t>
      </w:r>
      <w:r w:rsidR="00CB1C5F" w:rsidRPr="004D7DFE">
        <w:t>80</w:t>
      </w:r>
      <w:r w:rsidR="009B0875" w:rsidRPr="004D7DFE">
        <w:t>–</w:t>
      </w:r>
      <w:r w:rsidR="00CB1C5F" w:rsidRPr="004D7DFE">
        <w:t xml:space="preserve">2,000). </w:t>
      </w:r>
      <w:r w:rsidR="002929F1" w:rsidRPr="004D7DFE">
        <w:t>To</w:t>
      </w:r>
      <w:r w:rsidR="007B738C">
        <w:t xml:space="preserve"> </w:t>
      </w:r>
      <w:r w:rsidR="002929F1" w:rsidRPr="004D7DFE">
        <w:t>divide the large donations</w:t>
      </w:r>
      <w:r w:rsidR="007B738C">
        <w:t xml:space="preserve"> </w:t>
      </w:r>
      <w:r w:rsidR="000E7EF6">
        <w:t>(above NIS 100K, about</w:t>
      </w:r>
      <w:r w:rsidR="000E7EF6">
        <w:rPr>
          <w:rFonts w:hint="cs"/>
          <w:rtl/>
        </w:rPr>
        <w:t xml:space="preserve"> </w:t>
      </w:r>
      <w:r w:rsidR="000E7EF6" w:rsidRPr="004D7DFE">
        <w:t>€</w:t>
      </w:r>
      <w:r w:rsidR="000E7EF6">
        <w:t>25,0</w:t>
      </w:r>
      <w:r w:rsidR="000E7EF6" w:rsidRPr="004D7DFE">
        <w:t>00</w:t>
      </w:r>
      <w:r w:rsidR="000E7EF6">
        <w:t>)</w:t>
      </w:r>
      <w:r w:rsidR="000E7EF6" w:rsidRPr="004D7DFE">
        <w:t xml:space="preserve"> </w:t>
      </w:r>
      <w:r w:rsidR="007B738C">
        <w:t>further</w:t>
      </w:r>
      <w:r w:rsidR="002929F1" w:rsidRPr="004D7DFE">
        <w:t xml:space="preserve">, I used the administrative data of the ICA, to which </w:t>
      </w:r>
      <w:r w:rsidR="00884379">
        <w:t>nonprofit</w:t>
      </w:r>
      <w:r w:rsidR="000357EF" w:rsidRPr="004D7DFE">
        <w:t xml:space="preserve">s </w:t>
      </w:r>
      <w:r w:rsidR="002929F1" w:rsidRPr="004D7DFE">
        <w:t>report each and every donation above</w:t>
      </w:r>
      <w:r w:rsidR="00480C2D">
        <w:t xml:space="preserve"> NIS</w:t>
      </w:r>
      <w:r w:rsidR="007B738C">
        <w:t> </w:t>
      </w:r>
      <w:r w:rsidR="002929F1" w:rsidRPr="004D7DFE">
        <w:t>100</w:t>
      </w:r>
      <w:r w:rsidR="000E7EF6">
        <w:t>K</w:t>
      </w:r>
      <w:r w:rsidR="002929F1" w:rsidRPr="004D7DFE">
        <w:t xml:space="preserve"> </w:t>
      </w:r>
      <w:r w:rsidR="0006044D">
        <w:t xml:space="preserve">that </w:t>
      </w:r>
      <w:r w:rsidR="002929F1" w:rsidRPr="004D7DFE">
        <w:t>they receive</w:t>
      </w:r>
      <w:r w:rsidR="009961F6" w:rsidRPr="004D7DFE">
        <w:t>,</w:t>
      </w:r>
      <w:r w:rsidR="002929F1" w:rsidRPr="004D7DFE">
        <w:t xml:space="preserve"> </w:t>
      </w:r>
      <w:r w:rsidR="009961F6" w:rsidRPr="004D7DFE">
        <w:t xml:space="preserve">disclosing the </w:t>
      </w:r>
      <w:r w:rsidR="007B738C">
        <w:t>donors</w:t>
      </w:r>
      <w:r w:rsidR="00E501A8">
        <w:t>’</w:t>
      </w:r>
      <w:r w:rsidR="007B738C">
        <w:t xml:space="preserve"> </w:t>
      </w:r>
      <w:r w:rsidR="009961F6" w:rsidRPr="004D7DFE">
        <w:t>i</w:t>
      </w:r>
      <w:r w:rsidR="002929F1" w:rsidRPr="004D7DFE">
        <w:t>denti</w:t>
      </w:r>
      <w:r w:rsidR="009961F6" w:rsidRPr="004D7DFE">
        <w:t>ty</w:t>
      </w:r>
      <w:r w:rsidR="002929F1" w:rsidRPr="004D7DFE">
        <w:t xml:space="preserve">. Although the </w:t>
      </w:r>
      <w:r w:rsidR="007B738C">
        <w:t xml:space="preserve">donors were anonymized in </w:t>
      </w:r>
      <w:r w:rsidR="002929F1" w:rsidRPr="004D7DFE">
        <w:t xml:space="preserve">the data I </w:t>
      </w:r>
      <w:r w:rsidR="009961F6" w:rsidRPr="004D7DFE">
        <w:t>analyzed</w:t>
      </w:r>
      <w:r w:rsidR="002929F1" w:rsidRPr="004D7DFE">
        <w:t xml:space="preserve">, the ICA could verify the authenticity of the </w:t>
      </w:r>
      <w:r w:rsidR="009961F6" w:rsidRPr="004D7DFE">
        <w:t>information on the donor</w:t>
      </w:r>
      <w:r w:rsidR="00E501A8">
        <w:t>’</w:t>
      </w:r>
      <w:r w:rsidR="009961F6" w:rsidRPr="004D7DFE">
        <w:t>s identity</w:t>
      </w:r>
      <w:r w:rsidR="002929F1" w:rsidRPr="004D7DFE">
        <w:t xml:space="preserve"> (</w:t>
      </w:r>
      <w:r w:rsidR="00CB1C5F" w:rsidRPr="004D7DFE">
        <w:t>if it was a donation from an Israeli source)</w:t>
      </w:r>
      <w:r w:rsidR="002929F1" w:rsidRPr="004D7DFE">
        <w:t xml:space="preserve"> and created a variable indicating the type of </w:t>
      </w:r>
      <w:r w:rsidR="007B738C">
        <w:t xml:space="preserve">donation </w:t>
      </w:r>
      <w:r w:rsidR="002929F1" w:rsidRPr="004D7DFE">
        <w:t xml:space="preserve">source (individual, corporate, </w:t>
      </w:r>
      <w:r w:rsidR="00884379">
        <w:t>nonprofit</w:t>
      </w:r>
      <w:r w:rsidR="002929F1" w:rsidRPr="004D7DFE">
        <w:t xml:space="preserve">, </w:t>
      </w:r>
      <w:r w:rsidR="007B738C">
        <w:t xml:space="preserve">and </w:t>
      </w:r>
      <w:r w:rsidR="002929F1" w:rsidRPr="004D7DFE">
        <w:t>from Israel or RoW)</w:t>
      </w:r>
      <w:r w:rsidR="00CB1C5F" w:rsidRPr="004D7DFE">
        <w:t>. Bas</w:t>
      </w:r>
      <w:r w:rsidR="007B738C">
        <w:t>ing myself</w:t>
      </w:r>
      <w:r w:rsidR="00CB1C5F" w:rsidRPr="004D7DFE">
        <w:t xml:space="preserve"> on the distribution of large donations </w:t>
      </w:r>
      <w:r w:rsidR="004E23A8" w:rsidRPr="004D7DFE">
        <w:t>from Israeli source</w:t>
      </w:r>
      <w:r w:rsidR="007B738C">
        <w:t>s as</w:t>
      </w:r>
      <w:r w:rsidR="004E23A8" w:rsidRPr="004D7DFE">
        <w:t xml:space="preserve"> recorded </w:t>
      </w:r>
      <w:r w:rsidR="00CB1C5F" w:rsidRPr="004D7DFE">
        <w:t xml:space="preserve">in these </w:t>
      </w:r>
      <w:r w:rsidR="00CB1C5F" w:rsidRPr="004D7DFE">
        <w:lastRenderedPageBreak/>
        <w:t xml:space="preserve">administrative data, I divided large donations into five </w:t>
      </w:r>
      <w:r w:rsidR="00EC5740">
        <w:t xml:space="preserve">ranges </w:t>
      </w:r>
      <w:r w:rsidR="00CB1C5F" w:rsidRPr="004D7DFE">
        <w:t>(</w:t>
      </w:r>
      <w:r w:rsidR="00480C2D">
        <w:t>NIS</w:t>
      </w:r>
      <w:r w:rsidR="00480C2D" w:rsidRPr="004D7DFE">
        <w:t xml:space="preserve"> </w:t>
      </w:r>
      <w:r w:rsidR="00CB1C5F" w:rsidRPr="004D7DFE">
        <w:t>1</w:t>
      </w:r>
      <w:r w:rsidR="002C2539">
        <w:t>0</w:t>
      </w:r>
      <w:r w:rsidR="00CB1C5F" w:rsidRPr="004D7DFE">
        <w:t>0</w:t>
      </w:r>
      <w:r w:rsidR="000E7EF6">
        <w:t>K</w:t>
      </w:r>
      <w:r w:rsidR="005B74F1" w:rsidRPr="004D7DFE">
        <w:t>–</w:t>
      </w:r>
      <w:r w:rsidR="00CB1C5F" w:rsidRPr="004D7DFE">
        <w:t>500</w:t>
      </w:r>
      <w:r w:rsidR="000E7EF6">
        <w:t>K,</w:t>
      </w:r>
      <w:r w:rsidR="00CB1C5F" w:rsidRPr="004D7DFE">
        <w:rPr>
          <w:rStyle w:val="FootnoteReference"/>
        </w:rPr>
        <w:footnoteReference w:id="3"/>
      </w:r>
      <w:r w:rsidR="00CB1C5F" w:rsidRPr="004D7DFE">
        <w:t xml:space="preserve"> </w:t>
      </w:r>
      <w:r w:rsidR="00480C2D">
        <w:t>NIS</w:t>
      </w:r>
      <w:r w:rsidR="00480C2D" w:rsidRPr="004D7DFE">
        <w:t xml:space="preserve"> </w:t>
      </w:r>
      <w:r w:rsidR="00CB1C5F" w:rsidRPr="004D7DFE">
        <w:t>0.</w:t>
      </w:r>
      <w:r w:rsidR="005B74F1" w:rsidRPr="004D7DFE">
        <w:t>5</w:t>
      </w:r>
      <w:r w:rsidR="000E7EF6">
        <w:t>M</w:t>
      </w:r>
      <w:r w:rsidR="005B74F1" w:rsidRPr="004D7DFE">
        <w:t>–</w:t>
      </w:r>
      <w:r w:rsidR="00CB1C5F" w:rsidRPr="004D7DFE">
        <w:t>1</w:t>
      </w:r>
      <w:r w:rsidR="000E7EF6">
        <w:t>M</w:t>
      </w:r>
      <w:r w:rsidR="00CB1C5F" w:rsidRPr="004D7DFE">
        <w:t xml:space="preserve">, </w:t>
      </w:r>
      <w:r w:rsidR="00480C2D">
        <w:t>NIS</w:t>
      </w:r>
      <w:r w:rsidR="00EC5740">
        <w:t> </w:t>
      </w:r>
      <w:r w:rsidR="002C2539">
        <w:t>1</w:t>
      </w:r>
      <w:r w:rsidR="000E7EF6">
        <w:t>M</w:t>
      </w:r>
      <w:r w:rsidR="009B0875" w:rsidRPr="004D7DFE">
        <w:t>–</w:t>
      </w:r>
      <w:r w:rsidR="00CB1C5F" w:rsidRPr="004D7DFE">
        <w:t>5</w:t>
      </w:r>
      <w:r w:rsidR="000E7EF6">
        <w:t>M</w:t>
      </w:r>
      <w:r w:rsidR="00CB1C5F" w:rsidRPr="004D7DFE">
        <w:t xml:space="preserve">, </w:t>
      </w:r>
      <w:r w:rsidR="00480C2D">
        <w:t>NIS</w:t>
      </w:r>
      <w:r w:rsidR="00EC5740">
        <w:t> </w:t>
      </w:r>
      <w:r w:rsidR="005B74F1" w:rsidRPr="004D7DFE">
        <w:t>5</w:t>
      </w:r>
      <w:r w:rsidR="000E7EF6">
        <w:t>M</w:t>
      </w:r>
      <w:r w:rsidR="005B74F1" w:rsidRPr="004D7DFE">
        <w:t>–</w:t>
      </w:r>
      <w:r w:rsidR="00CB1C5F" w:rsidRPr="004D7DFE">
        <w:t>9.2</w:t>
      </w:r>
      <w:r w:rsidR="000E7EF6">
        <w:t>M</w:t>
      </w:r>
      <w:r w:rsidR="00CB1C5F" w:rsidRPr="004D7DFE">
        <w:t xml:space="preserve">; </w:t>
      </w:r>
      <w:r w:rsidR="00EC5740">
        <w:t xml:space="preserve">and </w:t>
      </w:r>
      <w:r w:rsidR="00CB1C5F" w:rsidRPr="004D7DFE">
        <w:t>above</w:t>
      </w:r>
      <w:r w:rsidR="00480C2D">
        <w:t xml:space="preserve"> NIS</w:t>
      </w:r>
      <w:r w:rsidR="00EC5740">
        <w:t> </w:t>
      </w:r>
      <w:r w:rsidR="00CB1C5F" w:rsidRPr="004D7DFE">
        <w:t>9.2</w:t>
      </w:r>
      <w:r w:rsidR="000E7EF6">
        <w:t>M</w:t>
      </w:r>
      <w:r w:rsidR="00CB1C5F" w:rsidRPr="004D7DFE">
        <w:t xml:space="preserve"> –</w:t>
      </w:r>
      <w:r w:rsidR="00EC5740">
        <w:t xml:space="preserve"> </w:t>
      </w:r>
      <w:r w:rsidR="002C2539">
        <w:t xml:space="preserve">above </w:t>
      </w:r>
      <w:r w:rsidR="00CB1C5F" w:rsidRPr="004D7DFE">
        <w:t xml:space="preserve">the credit </w:t>
      </w:r>
      <w:r w:rsidR="00203555">
        <w:t>ceiling</w:t>
      </w:r>
      <w:r w:rsidR="00CB1C5F" w:rsidRPr="004D7DFE">
        <w:t xml:space="preserve"> in 2018)</w:t>
      </w:r>
      <w:r w:rsidR="004E23A8" w:rsidRPr="004D7DFE">
        <w:t xml:space="preserve">. </w:t>
      </w:r>
    </w:p>
    <w:p w14:paraId="67D9853A" w14:textId="2E9C88A9" w:rsidR="00E46327" w:rsidRPr="004D7DFE" w:rsidRDefault="004E23A8">
      <w:r w:rsidRPr="004D7DFE">
        <w:t xml:space="preserve">Overall, </w:t>
      </w:r>
      <w:r w:rsidR="00EC5740">
        <w:t xml:space="preserve">throughout the </w:t>
      </w:r>
      <w:r w:rsidRPr="004D7DFE">
        <w:t xml:space="preserve">analysis </w:t>
      </w:r>
      <w:r w:rsidR="00EC5740">
        <w:t xml:space="preserve">I kept </w:t>
      </w:r>
      <w:r w:rsidRPr="004D7DFE">
        <w:t xml:space="preserve">the data </w:t>
      </w:r>
      <w:r w:rsidR="00350482">
        <w:t xml:space="preserve">distributed </w:t>
      </w:r>
      <w:r w:rsidRPr="004D7DFE">
        <w:t xml:space="preserve">by two sources and nine </w:t>
      </w:r>
      <w:r w:rsidR="00EC5740">
        <w:t xml:space="preserve">ranges </w:t>
      </w:r>
      <w:r w:rsidR="00FC443D" w:rsidRPr="004D7DFE">
        <w:t>(18 cells)</w:t>
      </w:r>
      <w:r w:rsidRPr="004D7DFE">
        <w:t xml:space="preserve">. </w:t>
      </w:r>
      <w:r w:rsidR="00EC5740">
        <w:t>T</w:t>
      </w:r>
      <w:r w:rsidRPr="004D7DFE">
        <w:t xml:space="preserve">o simplify the presentation, below I </w:t>
      </w:r>
      <w:r w:rsidR="00EE6470">
        <w:t xml:space="preserve">parse the </w:t>
      </w:r>
      <w:r w:rsidRPr="004D7DFE">
        <w:t>data by six ranges only</w:t>
      </w:r>
      <w:r w:rsidR="00EC2D19">
        <w:t xml:space="preserve"> (12 cells)</w:t>
      </w:r>
      <w:r w:rsidRPr="004D7DFE">
        <w:t>.</w:t>
      </w:r>
    </w:p>
    <w:p w14:paraId="1430BDE0" w14:textId="36ADBF86" w:rsidR="00E46327" w:rsidRPr="004D7DFE" w:rsidRDefault="00E46327">
      <w:r w:rsidRPr="004D7DFE">
        <w:t xml:space="preserve">Estimating </w:t>
      </w:r>
      <w:r w:rsidRPr="004D7DFE">
        <w:rPr>
          <w:b/>
          <w:bCs/>
        </w:rPr>
        <w:t>the share of donations</w:t>
      </w:r>
      <w:r w:rsidR="00903371" w:rsidRPr="004D7DFE">
        <w:t xml:space="preserve"> </w:t>
      </w:r>
      <w:r w:rsidR="00903371" w:rsidRPr="004D7DFE">
        <w:rPr>
          <w:b/>
          <w:bCs/>
        </w:rPr>
        <w:t xml:space="preserve">given to </w:t>
      </w:r>
      <w:r w:rsidR="00533B29">
        <w:rPr>
          <w:b/>
          <w:bCs/>
        </w:rPr>
        <w:t>qualified</w:t>
      </w:r>
      <w:r w:rsidR="00903371" w:rsidRPr="004D7DFE">
        <w:rPr>
          <w:b/>
          <w:bCs/>
        </w:rPr>
        <w:t xml:space="preserve"> </w:t>
      </w:r>
      <w:r w:rsidR="00884379">
        <w:rPr>
          <w:b/>
          <w:bCs/>
        </w:rPr>
        <w:t>nonprofit</w:t>
      </w:r>
      <w:r w:rsidR="00903371" w:rsidRPr="004D7DFE">
        <w:rPr>
          <w:b/>
          <w:bCs/>
        </w:rPr>
        <w:t>s</w:t>
      </w:r>
      <w:r w:rsidRPr="004D7DFE">
        <w:t xml:space="preserve">. </w:t>
      </w:r>
      <w:r w:rsidR="000357EF" w:rsidRPr="004D7DFE">
        <w:t xml:space="preserve">According to the </w:t>
      </w:r>
      <w:r w:rsidR="000357EF" w:rsidRPr="0006044D">
        <w:rPr>
          <w:i/>
          <w:iCs/>
        </w:rPr>
        <w:t xml:space="preserve">Yearbook of </w:t>
      </w:r>
      <w:r w:rsidR="00884379" w:rsidRPr="0006044D">
        <w:rPr>
          <w:i/>
          <w:iCs/>
        </w:rPr>
        <w:t>Nonprofit</w:t>
      </w:r>
      <w:r w:rsidR="000357EF" w:rsidRPr="0006044D">
        <w:rPr>
          <w:i/>
          <w:iCs/>
        </w:rPr>
        <w:t>s 2018</w:t>
      </w:r>
      <w:r w:rsidR="000357EF" w:rsidRPr="004D7DFE">
        <w:t xml:space="preserve">, 84% of total private donations </w:t>
      </w:r>
      <w:r w:rsidR="00350482">
        <w:t xml:space="preserve">in </w:t>
      </w:r>
      <w:r w:rsidR="000357EF" w:rsidRPr="004D7DFE">
        <w:t xml:space="preserve">Israel were given to </w:t>
      </w:r>
      <w:r w:rsidR="00533B29">
        <w:t>qualified</w:t>
      </w:r>
      <w:r w:rsidR="000357EF" w:rsidRPr="004D7DFE">
        <w:t xml:space="preserve"> </w:t>
      </w:r>
      <w:r w:rsidR="00884379">
        <w:t>nonprofit</w:t>
      </w:r>
      <w:r w:rsidR="000357EF" w:rsidRPr="004D7DFE">
        <w:t>s. Using</w:t>
      </w:r>
      <w:r w:rsidRPr="004D7DFE">
        <w:t xml:space="preserve"> the </w:t>
      </w:r>
      <w:r w:rsidR="00192B9D" w:rsidRPr="004D7DFE">
        <w:t xml:space="preserve">ICA </w:t>
      </w:r>
      <w:r w:rsidRPr="004D7DFE">
        <w:t>raw data</w:t>
      </w:r>
      <w:r w:rsidR="000357EF" w:rsidRPr="004D7DFE">
        <w:t xml:space="preserve"> on large donations </w:t>
      </w:r>
      <w:r w:rsidR="000E7EF6">
        <w:t xml:space="preserve"> </w:t>
      </w:r>
      <w:r w:rsidR="000357EF" w:rsidRPr="004D7DFE">
        <w:t xml:space="preserve">I computed the share of the sum of donations to </w:t>
      </w:r>
      <w:r w:rsidR="00533B29">
        <w:t>qualified</w:t>
      </w:r>
      <w:r w:rsidR="000357EF" w:rsidRPr="004D7DFE">
        <w:t xml:space="preserve"> </w:t>
      </w:r>
      <w:r w:rsidR="00884379">
        <w:t>nonprofit</w:t>
      </w:r>
      <w:r w:rsidR="000357EF" w:rsidRPr="004D7DFE">
        <w:t xml:space="preserve">s separately </w:t>
      </w:r>
      <w:r w:rsidR="00FC443D" w:rsidRPr="004D7DFE">
        <w:t xml:space="preserve">in each cell (indicating source and </w:t>
      </w:r>
      <w:r w:rsidR="000357EF" w:rsidRPr="004D7DFE">
        <w:t>range</w:t>
      </w:r>
      <w:r w:rsidR="00FC443D" w:rsidRPr="004D7DFE">
        <w:t>)</w:t>
      </w:r>
      <w:r w:rsidR="000357EF" w:rsidRPr="004D7DFE">
        <w:t xml:space="preserve"> </w:t>
      </w:r>
      <w:r w:rsidR="00FC443D" w:rsidRPr="004D7DFE">
        <w:t xml:space="preserve">among the </w:t>
      </w:r>
      <w:r w:rsidR="00EE6470" w:rsidRPr="004D7DFE">
        <w:t xml:space="preserve">ranges </w:t>
      </w:r>
      <w:r w:rsidR="00EE6470">
        <w:t xml:space="preserve">of </w:t>
      </w:r>
      <w:r w:rsidR="000357EF" w:rsidRPr="004D7DFE">
        <w:t>large donations</w:t>
      </w:r>
      <w:r w:rsidR="00350482">
        <w:t>.</w:t>
      </w:r>
      <w:r w:rsidR="00FC443D" w:rsidRPr="004D7DFE">
        <w:t xml:space="preserve"> </w:t>
      </w:r>
      <w:r w:rsidR="00903371" w:rsidRPr="004D7DFE">
        <w:t>(</w:t>
      </w:r>
      <w:r w:rsidR="00350482">
        <w:t>T</w:t>
      </w:r>
      <w:r w:rsidR="00903371" w:rsidRPr="004D7DFE">
        <w:t>he differential shares were 84%</w:t>
      </w:r>
      <w:r w:rsidR="00EE6470">
        <w:t>–</w:t>
      </w:r>
      <w:r w:rsidR="00903371" w:rsidRPr="004D7DFE">
        <w:t>100%</w:t>
      </w:r>
      <w:r w:rsidR="00350482">
        <w:t>,</w:t>
      </w:r>
      <w:r w:rsidR="00903371" w:rsidRPr="004D7DFE">
        <w:t xml:space="preserve"> with </w:t>
      </w:r>
      <w:r w:rsidR="00EE6470">
        <w:t xml:space="preserve">the </w:t>
      </w:r>
      <w:r w:rsidR="00903371" w:rsidRPr="004D7DFE">
        <w:t>exception of 34% of individuals</w:t>
      </w:r>
      <w:r w:rsidR="00E501A8">
        <w:t>’</w:t>
      </w:r>
      <w:r w:rsidR="00903371" w:rsidRPr="004D7DFE">
        <w:t xml:space="preserve"> donations above the </w:t>
      </w:r>
      <w:r w:rsidR="00203555">
        <w:t>ceiling</w:t>
      </w:r>
      <w:r w:rsidR="00903371" w:rsidRPr="004D7DFE">
        <w:t xml:space="preserve"> </w:t>
      </w:r>
      <w:r w:rsidR="00EE6470">
        <w:t xml:space="preserve">for </w:t>
      </w:r>
      <w:r w:rsidR="00533B29">
        <w:t>qualified</w:t>
      </w:r>
      <w:r w:rsidR="00903371" w:rsidRPr="004D7DFE">
        <w:t xml:space="preserve"> </w:t>
      </w:r>
      <w:r w:rsidR="00884379">
        <w:t>nonprofit</w:t>
      </w:r>
      <w:r w:rsidR="00903371" w:rsidRPr="004D7DFE">
        <w:t>s)</w:t>
      </w:r>
      <w:r w:rsidR="000E7EF6">
        <w:t>.</w:t>
      </w:r>
      <w:r w:rsidR="000357EF" w:rsidRPr="004D7DFE">
        <w:t xml:space="preserve"> The share of donations</w:t>
      </w:r>
      <w:r w:rsidR="00903371" w:rsidRPr="004D7DFE">
        <w:t xml:space="preserve"> to </w:t>
      </w:r>
      <w:r w:rsidR="00533B29">
        <w:t>qualified</w:t>
      </w:r>
      <w:r w:rsidR="00903371" w:rsidRPr="004D7DFE">
        <w:t xml:space="preserve"> </w:t>
      </w:r>
      <w:r w:rsidR="00884379">
        <w:t>nonprofit</w:t>
      </w:r>
      <w:r w:rsidR="00903371" w:rsidRPr="004D7DFE">
        <w:t>s</w:t>
      </w:r>
      <w:r w:rsidR="000357EF" w:rsidRPr="004D7DFE">
        <w:t xml:space="preserve"> </w:t>
      </w:r>
      <w:r w:rsidR="00903371" w:rsidRPr="004D7DFE">
        <w:t>in</w:t>
      </w:r>
      <w:r w:rsidR="00192B9D" w:rsidRPr="004D7DFE">
        <w:t xml:space="preserve"> the smaller </w:t>
      </w:r>
      <w:r w:rsidR="00EE6470">
        <w:t xml:space="preserve">ranges </w:t>
      </w:r>
      <w:r w:rsidR="00903371" w:rsidRPr="004D7DFE">
        <w:t>(</w:t>
      </w:r>
      <w:r w:rsidR="00EE6470">
        <w:t xml:space="preserve">less </w:t>
      </w:r>
      <w:r w:rsidR="00192B9D" w:rsidRPr="004D7DFE">
        <w:t>than</w:t>
      </w:r>
      <w:r w:rsidR="00533B29">
        <w:t xml:space="preserve"> NIS</w:t>
      </w:r>
      <w:r w:rsidR="00192B9D" w:rsidRPr="004D7DFE">
        <w:t xml:space="preserve"> 100</w:t>
      </w:r>
      <w:r w:rsidR="000E7EF6">
        <w:t>K</w:t>
      </w:r>
      <w:r w:rsidR="00903371" w:rsidRPr="004D7DFE">
        <w:t xml:space="preserve">) </w:t>
      </w:r>
      <w:r w:rsidR="00192B9D" w:rsidRPr="004D7DFE">
        <w:t xml:space="preserve">was a plug number </w:t>
      </w:r>
      <w:r w:rsidR="00D45688">
        <w:t xml:space="preserve">for </w:t>
      </w:r>
      <w:r w:rsidR="00192B9D" w:rsidRPr="004D7DFE">
        <w:t xml:space="preserve">the known overall share of </w:t>
      </w:r>
      <w:r w:rsidR="00903371" w:rsidRPr="004D7DFE">
        <w:t xml:space="preserve">donations to </w:t>
      </w:r>
      <w:r w:rsidR="00533B29">
        <w:t>qualified</w:t>
      </w:r>
      <w:r w:rsidR="00192B9D" w:rsidRPr="004D7DFE">
        <w:t xml:space="preserve"> </w:t>
      </w:r>
      <w:r w:rsidR="00903371" w:rsidRPr="004D7DFE">
        <w:t>nonprofits</w:t>
      </w:r>
      <w:r w:rsidR="009B0875" w:rsidRPr="004D7DFE">
        <w:t xml:space="preserve"> – </w:t>
      </w:r>
      <w:r w:rsidR="00192B9D" w:rsidRPr="004D7DFE">
        <w:t>84% (</w:t>
      </w:r>
      <w:r w:rsidR="00C932B0">
        <w:t>t</w:t>
      </w:r>
      <w:r w:rsidR="00192B9D" w:rsidRPr="004D7DFE">
        <w:t xml:space="preserve">he </w:t>
      </w:r>
      <w:r w:rsidR="003A3C9A">
        <w:t xml:space="preserve">merged </w:t>
      </w:r>
      <w:r w:rsidR="00903371" w:rsidRPr="004D7DFE">
        <w:t>share in the smaller ranges was 83%)</w:t>
      </w:r>
      <w:r w:rsidR="000E7EF6">
        <w:t>.</w:t>
      </w:r>
      <w:r w:rsidRPr="004D7DFE">
        <w:t xml:space="preserve"> </w:t>
      </w:r>
    </w:p>
    <w:p w14:paraId="3391CBB6" w14:textId="1E51FC2F" w:rsidR="00226879" w:rsidRPr="004D7DFE" w:rsidRDefault="00196411" w:rsidP="0064718F">
      <w:pPr>
        <w:pStyle w:val="Title"/>
      </w:pPr>
      <w:r w:rsidRPr="004D7DFE">
        <w:t>Results</w:t>
      </w:r>
      <w:r w:rsidR="00955549" w:rsidRPr="004D7DFE">
        <w:t xml:space="preserve"> </w:t>
      </w:r>
    </w:p>
    <w:p w14:paraId="39A751A5" w14:textId="4A4457BD" w:rsidR="00643FF2" w:rsidRPr="004D7DFE" w:rsidRDefault="00643FF2">
      <w:pPr>
        <w:pStyle w:val="Heading1"/>
      </w:pPr>
      <w:r w:rsidRPr="004D7DFE">
        <w:t xml:space="preserve">Descriptive </w:t>
      </w:r>
      <w:r w:rsidR="00653D76">
        <w:t>statistics</w:t>
      </w:r>
      <w:r w:rsidRPr="004D7DFE">
        <w:t xml:space="preserve"> on reported donations</w:t>
      </w:r>
      <w:r w:rsidR="00EF475B">
        <w:t xml:space="preserve"> and comparative data</w:t>
      </w:r>
      <w:r w:rsidRPr="004D7DFE">
        <w:t xml:space="preserve"> </w:t>
      </w:r>
    </w:p>
    <w:p w14:paraId="42175523" w14:textId="1C0C2FB8" w:rsidR="00643FF2" w:rsidRPr="004D7DFE" w:rsidRDefault="00746864">
      <w:r>
        <w:t xml:space="preserve">Below are </w:t>
      </w:r>
      <w:r w:rsidR="0078669F" w:rsidRPr="004D7DFE">
        <w:t xml:space="preserve">administrative data </w:t>
      </w:r>
      <w:r>
        <w:t xml:space="preserve">for </w:t>
      </w:r>
      <w:r w:rsidR="00EF475B">
        <w:t xml:space="preserve">Israel </w:t>
      </w:r>
      <w:r>
        <w:t xml:space="preserve">on </w:t>
      </w:r>
      <w:r w:rsidR="0078669F" w:rsidRPr="004D7DFE">
        <w:t xml:space="preserve">the number of donors who claimed </w:t>
      </w:r>
      <w:r>
        <w:t xml:space="preserve">a </w:t>
      </w:r>
      <w:r w:rsidR="0078669F" w:rsidRPr="004D7DFE">
        <w:t>tax benefit for their donations (Fig</w:t>
      </w:r>
      <w:r w:rsidR="00FB390A" w:rsidRPr="004D7DFE">
        <w:t>ure</w:t>
      </w:r>
      <w:r w:rsidR="0078669F" w:rsidRPr="004D7DFE">
        <w:t xml:space="preserve"> 1) and the sum of donations reported (Fig</w:t>
      </w:r>
      <w:r w:rsidR="009363B0">
        <w:t>ure</w:t>
      </w:r>
      <w:r w:rsidR="0078669F" w:rsidRPr="004D7DFE">
        <w:t xml:space="preserve"> 2) </w:t>
      </w:r>
      <w:r w:rsidR="002531E9">
        <w:t>in the years 19</w:t>
      </w:r>
      <w:r w:rsidR="0078669F" w:rsidRPr="004D7DFE">
        <w:t>9</w:t>
      </w:r>
      <w:r w:rsidR="009363B0">
        <w:t>9</w:t>
      </w:r>
      <w:r w:rsidR="005B74F1" w:rsidRPr="004D7DFE">
        <w:t>–</w:t>
      </w:r>
      <w:r w:rsidR="0078669F" w:rsidRPr="004D7DFE">
        <w:t xml:space="preserve">2018. </w:t>
      </w:r>
    </w:p>
    <w:p w14:paraId="33D76280" w14:textId="01618D44" w:rsidR="00890863" w:rsidRPr="004D7DFE" w:rsidRDefault="00890863" w:rsidP="004B7492">
      <w:pPr>
        <w:pStyle w:val="Heading3"/>
      </w:pPr>
      <w:r w:rsidRPr="004D7DFE">
        <w:t>Figure 1</w:t>
      </w:r>
      <w:r w:rsidR="003D6F2F" w:rsidRPr="004D7DFE">
        <w:t>.</w:t>
      </w:r>
      <w:r w:rsidRPr="004D7DFE">
        <w:t xml:space="preserve"> Number of donors who claimed </w:t>
      </w:r>
      <w:r w:rsidR="00746864">
        <w:t xml:space="preserve">a </w:t>
      </w:r>
      <w:r w:rsidRPr="004D7DFE">
        <w:t xml:space="preserve">tax benefit </w:t>
      </w:r>
      <w:r w:rsidR="00746864">
        <w:t xml:space="preserve">for </w:t>
      </w:r>
      <w:r w:rsidRPr="004D7DFE">
        <w:t>donations, by source and year</w:t>
      </w:r>
    </w:p>
    <w:p w14:paraId="0C8533BB" w14:textId="07F4A9BD" w:rsidR="00890863" w:rsidRPr="004D7DFE" w:rsidRDefault="00A26ECF" w:rsidP="00A26ECF">
      <w:pPr>
        <w:ind w:firstLine="0"/>
      </w:pPr>
      <w:r>
        <w:rPr>
          <w:noProof/>
        </w:rPr>
        <w:drawing>
          <wp:inline distT="0" distB="0" distL="0" distR="0" wp14:anchorId="5430E98B" wp14:editId="741C97B3">
            <wp:extent cx="6139180" cy="2139950"/>
            <wp:effectExtent l="0" t="0" r="0" b="0"/>
            <wp:docPr id="1269841659"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9180" cy="2139950"/>
                    </a:xfrm>
                    <a:prstGeom prst="rect">
                      <a:avLst/>
                    </a:prstGeom>
                    <a:noFill/>
                  </pic:spPr>
                </pic:pic>
              </a:graphicData>
            </a:graphic>
          </wp:inline>
        </w:drawing>
      </w:r>
    </w:p>
    <w:p w14:paraId="3ADF21BC" w14:textId="48CAC567" w:rsidR="00890863" w:rsidRPr="004D7DFE" w:rsidRDefault="00890863" w:rsidP="004B7492">
      <w:pPr>
        <w:pStyle w:val="Heading3"/>
      </w:pPr>
      <w:r w:rsidRPr="004D7DFE">
        <w:t xml:space="preserve">Figure </w:t>
      </w:r>
      <w:r w:rsidR="00196411" w:rsidRPr="004D7DFE">
        <w:t>2</w:t>
      </w:r>
      <w:r w:rsidR="003D6F2F" w:rsidRPr="004D7DFE">
        <w:t>.</w:t>
      </w:r>
      <w:r w:rsidRPr="004D7DFE">
        <w:t xml:space="preserve"> Sum of donations reported for</w:t>
      </w:r>
      <w:r w:rsidR="002531E9">
        <w:t xml:space="preserve"> a</w:t>
      </w:r>
      <w:r w:rsidRPr="004D7DFE">
        <w:t xml:space="preserve"> tax</w:t>
      </w:r>
      <w:r w:rsidR="00D5781D">
        <w:t>-</w:t>
      </w:r>
      <w:r w:rsidRPr="004D7DFE">
        <w:t>benefit</w:t>
      </w:r>
      <w:r w:rsidR="00746864">
        <w:t xml:space="preserve"> claim</w:t>
      </w:r>
      <w:r w:rsidRPr="004D7DFE">
        <w:t>, by source and year</w:t>
      </w:r>
    </w:p>
    <w:p w14:paraId="015DD6F1" w14:textId="6E545965" w:rsidR="00890863" w:rsidRPr="004D7DFE" w:rsidRDefault="00A26ECF" w:rsidP="00A26ECF">
      <w:pPr>
        <w:ind w:firstLine="0"/>
        <w:jc w:val="left"/>
      </w:pPr>
      <w:r>
        <w:rPr>
          <w:noProof/>
        </w:rPr>
        <w:drawing>
          <wp:inline distT="0" distB="0" distL="0" distR="0" wp14:anchorId="26A9AD6D" wp14:editId="60711C37">
            <wp:extent cx="6279515" cy="2304415"/>
            <wp:effectExtent l="0" t="0" r="0" b="0"/>
            <wp:docPr id="186766105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9515" cy="2304415"/>
                    </a:xfrm>
                    <a:prstGeom prst="rect">
                      <a:avLst/>
                    </a:prstGeom>
                    <a:noFill/>
                  </pic:spPr>
                </pic:pic>
              </a:graphicData>
            </a:graphic>
          </wp:inline>
        </w:drawing>
      </w:r>
    </w:p>
    <w:p w14:paraId="33B0F61E" w14:textId="70C74644" w:rsidR="00022FB5" w:rsidRPr="004D7DFE" w:rsidRDefault="00746864">
      <w:r>
        <w:t xml:space="preserve">Although eight times as many </w:t>
      </w:r>
      <w:r w:rsidR="0078669F" w:rsidRPr="004D7DFE">
        <w:t>individual</w:t>
      </w:r>
      <w:r>
        <w:t xml:space="preserve">s as companies </w:t>
      </w:r>
      <w:r w:rsidRPr="004D7DFE">
        <w:t>report</w:t>
      </w:r>
      <w:r>
        <w:t>ed donations</w:t>
      </w:r>
      <w:r w:rsidR="008E6ABA" w:rsidRPr="004D7DFE">
        <w:t xml:space="preserve">, the sum of donations reported </w:t>
      </w:r>
      <w:r w:rsidR="0076679E">
        <w:t xml:space="preserve">by individuals </w:t>
      </w:r>
      <w:r w:rsidR="008E6ABA" w:rsidRPr="004D7DFE">
        <w:t xml:space="preserve">is almost equal to </w:t>
      </w:r>
      <w:r w:rsidR="0076679E">
        <w:t xml:space="preserve">that </w:t>
      </w:r>
      <w:r w:rsidR="008E6ABA" w:rsidRPr="004D7DFE">
        <w:t>of corporate donations in most years.</w:t>
      </w:r>
      <w:r w:rsidR="00D408F5">
        <w:t xml:space="preserve"> </w:t>
      </w:r>
      <w:r w:rsidR="002E2C2B" w:rsidRPr="004D7DFE">
        <w:t>In the</w:t>
      </w:r>
      <w:r w:rsidR="00193987" w:rsidRPr="004D7DFE">
        <w:t xml:space="preserve"> test</w:t>
      </w:r>
      <w:r>
        <w:t>-</w:t>
      </w:r>
      <w:r w:rsidR="00193987" w:rsidRPr="004D7DFE">
        <w:t xml:space="preserve">case </w:t>
      </w:r>
      <w:r w:rsidR="002E2C2B" w:rsidRPr="004D7DFE">
        <w:t>year</w:t>
      </w:r>
      <w:r>
        <w:t>,</w:t>
      </w:r>
      <w:r w:rsidR="002E2C2B" w:rsidRPr="004D7DFE">
        <w:t xml:space="preserve"> 2018</w:t>
      </w:r>
      <w:r w:rsidR="00193987" w:rsidRPr="004D7DFE">
        <w:t>, 15,127</w:t>
      </w:r>
      <w:bookmarkStart w:id="5" w:name="_Hlk94524971"/>
      <w:r w:rsidR="00193987" w:rsidRPr="004D7DFE">
        <w:t xml:space="preserve"> </w:t>
      </w:r>
      <w:r w:rsidR="00A26ECF">
        <w:t>companies</w:t>
      </w:r>
      <w:r w:rsidR="00193987" w:rsidRPr="004D7DFE">
        <w:t xml:space="preserve"> reported </w:t>
      </w:r>
      <w:r w:rsidR="00480C2D">
        <w:t>NIS</w:t>
      </w:r>
      <w:r>
        <w:t> </w:t>
      </w:r>
      <w:r w:rsidR="00193987" w:rsidRPr="004D7DFE">
        <w:t>1.2</w:t>
      </w:r>
      <w:r w:rsidR="003922FC">
        <w:t xml:space="preserve"> billion</w:t>
      </w:r>
      <w:r>
        <w:t xml:space="preserve"> in</w:t>
      </w:r>
      <w:r w:rsidRPr="00746864">
        <w:t xml:space="preserve"> </w:t>
      </w:r>
      <w:r w:rsidRPr="004D7DFE">
        <w:t>donations</w:t>
      </w:r>
      <w:r w:rsidR="00193987" w:rsidRPr="004D7DFE">
        <w:t xml:space="preserve"> and 110,280 individuals reported </w:t>
      </w:r>
      <w:r>
        <w:t>NIS </w:t>
      </w:r>
      <w:r w:rsidRPr="004D7DFE">
        <w:t xml:space="preserve">1.3 </w:t>
      </w:r>
      <w:r>
        <w:t>billion</w:t>
      </w:r>
      <w:r w:rsidR="00193987" w:rsidRPr="004D7DFE">
        <w:t>.</w:t>
      </w:r>
    </w:p>
    <w:p w14:paraId="1C8EAD94" w14:textId="733A89CE" w:rsidR="00252EE7" w:rsidRPr="004D7DFE" w:rsidRDefault="003F4D48">
      <w:r>
        <w:t xml:space="preserve">Total </w:t>
      </w:r>
      <w:r w:rsidR="009620AB" w:rsidRPr="004D7DFE">
        <w:t xml:space="preserve">donations increased almost 10 times </w:t>
      </w:r>
      <w:r>
        <w:t xml:space="preserve">over </w:t>
      </w:r>
      <w:r w:rsidR="009620AB" w:rsidRPr="004D7DFE">
        <w:t>(</w:t>
      </w:r>
      <w:r w:rsidR="00B30B39">
        <w:t>at</w:t>
      </w:r>
      <w:r w:rsidR="009620AB" w:rsidRPr="004D7DFE">
        <w:t xml:space="preserve"> constant prices)</w:t>
      </w:r>
      <w:r w:rsidR="00B30B39">
        <w:t xml:space="preserve"> between </w:t>
      </w:r>
      <w:r w:rsidR="00B30B39" w:rsidRPr="004D7DFE">
        <w:t>199</w:t>
      </w:r>
      <w:r w:rsidR="00B30B39">
        <w:t>9</w:t>
      </w:r>
      <w:r>
        <w:t xml:space="preserve"> and </w:t>
      </w:r>
      <w:r w:rsidR="00B30B39" w:rsidRPr="004D7DFE">
        <w:t>2018</w:t>
      </w:r>
      <w:r w:rsidR="009620AB" w:rsidRPr="004D7DFE">
        <w:t xml:space="preserve">, whereas the number of donors (individuals and </w:t>
      </w:r>
      <w:r w:rsidR="00A26ECF">
        <w:t>companies</w:t>
      </w:r>
      <w:r w:rsidR="009620AB" w:rsidRPr="004D7DFE">
        <w:t xml:space="preserve">) </w:t>
      </w:r>
      <w:r w:rsidR="0076679E">
        <w:t>quadrupled during that time</w:t>
      </w:r>
      <w:r w:rsidR="009620AB" w:rsidRPr="004D7DFE">
        <w:t xml:space="preserve">. The </w:t>
      </w:r>
      <w:r w:rsidR="00D5781D" w:rsidRPr="004D7DFE">
        <w:t>increase</w:t>
      </w:r>
      <w:r w:rsidR="00D5781D">
        <w:t xml:space="preserve"> in the</w:t>
      </w:r>
      <w:r w:rsidR="00D5781D" w:rsidRPr="004D7DFE">
        <w:t xml:space="preserve"> </w:t>
      </w:r>
      <w:r w:rsidR="009620AB" w:rsidRPr="004D7DFE">
        <w:t xml:space="preserve">number of individual donors </w:t>
      </w:r>
      <w:r w:rsidR="00D5781D">
        <w:t>(</w:t>
      </w:r>
      <w:r w:rsidR="009620AB" w:rsidRPr="004D7DFE">
        <w:t xml:space="preserve">four times larger </w:t>
      </w:r>
      <w:r w:rsidR="00B30B39">
        <w:t xml:space="preserve">in 2018 </w:t>
      </w:r>
      <w:r w:rsidR="009620AB" w:rsidRPr="004D7DFE">
        <w:t>than in 1999</w:t>
      </w:r>
      <w:r w:rsidR="00D5781D">
        <w:t>),</w:t>
      </w:r>
      <w:r w:rsidR="0076679E">
        <w:t xml:space="preserve"> of course,</w:t>
      </w:r>
      <w:r w:rsidR="009620AB" w:rsidRPr="004D7DFE">
        <w:t xml:space="preserve"> reflects </w:t>
      </w:r>
      <w:r w:rsidR="0076679E" w:rsidRPr="004D7DFE">
        <w:t xml:space="preserve">population </w:t>
      </w:r>
      <w:r w:rsidR="009620AB" w:rsidRPr="004D7DFE">
        <w:t xml:space="preserve">growth, manifested in </w:t>
      </w:r>
      <w:r w:rsidR="0076679E">
        <w:t xml:space="preserve">an </w:t>
      </w:r>
      <w:r w:rsidR="009620AB" w:rsidRPr="004D7DFE">
        <w:t xml:space="preserve">increase from 2.6 million taxpayers in 1999 to 4.3 million taxpayers in 2018. However, it </w:t>
      </w:r>
      <w:r w:rsidR="00B30B39">
        <w:t xml:space="preserve">also </w:t>
      </w:r>
      <w:r w:rsidR="0076679E" w:rsidRPr="004D7DFE">
        <w:t>reflects</w:t>
      </w:r>
      <w:r w:rsidR="0076679E">
        <w:t xml:space="preserve"> </w:t>
      </w:r>
      <w:r w:rsidR="009620AB" w:rsidRPr="004D7DFE">
        <w:t xml:space="preserve">a significant increase in </w:t>
      </w:r>
      <w:r w:rsidR="009620AB" w:rsidRPr="004D7DFE">
        <w:lastRenderedPageBreak/>
        <w:t>the proportion of taxpayers who claim</w:t>
      </w:r>
      <w:r w:rsidR="0076679E">
        <w:t>ed</w:t>
      </w:r>
      <w:r w:rsidR="009620AB" w:rsidRPr="004D7DFE">
        <w:t xml:space="preserve"> the tax benefit </w:t>
      </w:r>
      <w:r w:rsidR="0076679E">
        <w:t xml:space="preserve">for </w:t>
      </w:r>
      <w:r w:rsidR="009620AB" w:rsidRPr="004D7DFE">
        <w:t>donations, from 1.1% in 1999 to 2.6% in 2018 (Figure 3</w:t>
      </w:r>
      <w:r w:rsidR="00746787">
        <w:t xml:space="preserve">, based on </w:t>
      </w:r>
      <w:r w:rsidR="00746787" w:rsidRPr="00746787">
        <w:t>state revenue report</w:t>
      </w:r>
      <w:r w:rsidR="00746787">
        <w:t>s)</w:t>
      </w:r>
      <w:r w:rsidR="009620AB" w:rsidRPr="004D7DFE">
        <w:t>.</w:t>
      </w:r>
      <w:bookmarkEnd w:id="5"/>
    </w:p>
    <w:p w14:paraId="7F762D56" w14:textId="785A37FA" w:rsidR="00252EE7" w:rsidRDefault="00252EE7" w:rsidP="00D5781D">
      <w:pPr>
        <w:pStyle w:val="Heading3"/>
        <w:ind w:left="851" w:hanging="851"/>
      </w:pPr>
      <w:r w:rsidRPr="009363B0">
        <w:t>Figure 3</w:t>
      </w:r>
      <w:r w:rsidR="003D6F2F" w:rsidRPr="009363B0">
        <w:t>.</w:t>
      </w:r>
      <w:r w:rsidRPr="009363B0">
        <w:t xml:space="preserve"> </w:t>
      </w:r>
      <w:r w:rsidR="00060062" w:rsidRPr="009363B0">
        <w:t>Number of individual donors who claimed</w:t>
      </w:r>
      <w:r w:rsidR="0045323A">
        <w:t xml:space="preserve"> a</w:t>
      </w:r>
      <w:r w:rsidR="00060062" w:rsidRPr="009363B0">
        <w:t xml:space="preserve"> tax benefit </w:t>
      </w:r>
      <w:r w:rsidR="0076679E">
        <w:t xml:space="preserve">for </w:t>
      </w:r>
      <w:r w:rsidR="00060062" w:rsidRPr="009363B0">
        <w:t>donations and the</w:t>
      </w:r>
      <w:r w:rsidR="009F294C">
        <w:t>ir share</w:t>
      </w:r>
      <w:r w:rsidR="00060062" w:rsidRPr="009363B0">
        <w:t xml:space="preserve"> among taxpayers</w:t>
      </w:r>
      <w:r w:rsidR="0095389D" w:rsidRPr="009363B0">
        <w:t>, by year</w:t>
      </w:r>
    </w:p>
    <w:p w14:paraId="2A43F8C3" w14:textId="77777777" w:rsidR="003945FD" w:rsidRPr="003945FD" w:rsidRDefault="003945FD" w:rsidP="003945FD"/>
    <w:p w14:paraId="24D43841" w14:textId="1E356612" w:rsidR="00252EE7" w:rsidRPr="004D7DFE" w:rsidRDefault="00F529EC" w:rsidP="00C9627A">
      <w:r>
        <w:rPr>
          <w:noProof/>
        </w:rPr>
        <w:drawing>
          <wp:inline distT="0" distB="0" distL="0" distR="0" wp14:anchorId="02BA44D3" wp14:editId="0C5CC6E5">
            <wp:extent cx="5344886" cy="2207260"/>
            <wp:effectExtent l="0" t="0" r="0" b="0"/>
            <wp:docPr id="83682574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613" cy="2207973"/>
                    </a:xfrm>
                    <a:prstGeom prst="rect">
                      <a:avLst/>
                    </a:prstGeom>
                    <a:noFill/>
                  </pic:spPr>
                </pic:pic>
              </a:graphicData>
            </a:graphic>
          </wp:inline>
        </w:drawing>
      </w:r>
    </w:p>
    <w:p w14:paraId="6619F649" w14:textId="77777777" w:rsidR="00407071" w:rsidRDefault="00407071"/>
    <w:p w14:paraId="76CF7716" w14:textId="5E470865" w:rsidR="00C11459" w:rsidRPr="004D7DFE" w:rsidRDefault="0076679E">
      <w:r>
        <w:t>T</w:t>
      </w:r>
      <w:r w:rsidR="00B43220" w:rsidRPr="004D7DFE">
        <w:t>he proportion of taxpayers who reported donation</w:t>
      </w:r>
      <w:r>
        <w:t>s</w:t>
      </w:r>
      <w:r w:rsidR="00B43220" w:rsidRPr="004D7DFE">
        <w:t xml:space="preserve"> in Israel is very small </w:t>
      </w:r>
      <w:r>
        <w:t>i</w:t>
      </w:r>
      <w:r w:rsidRPr="004D7DFE">
        <w:t xml:space="preserve">n comparison </w:t>
      </w:r>
      <w:r>
        <w:t xml:space="preserve">with </w:t>
      </w:r>
      <w:r w:rsidRPr="004D7DFE">
        <w:t xml:space="preserve">other countries </w:t>
      </w:r>
      <w:r w:rsidR="00B43220" w:rsidRPr="004D7DFE">
        <w:t>(</w:t>
      </w:r>
      <w:r w:rsidR="00F256F2" w:rsidRPr="004D7DFE">
        <w:t>Table 1</w:t>
      </w:r>
      <w:r w:rsidR="00B43220" w:rsidRPr="004D7DFE">
        <w:t xml:space="preserve">). However, this kind of </w:t>
      </w:r>
      <w:r>
        <w:t xml:space="preserve">statistic is limited </w:t>
      </w:r>
      <w:r w:rsidR="0045323A">
        <w:t xml:space="preserve">because despite being highly accurate </w:t>
      </w:r>
      <w:r w:rsidR="00B43220" w:rsidRPr="004D7DFE">
        <w:t>(deriv</w:t>
      </w:r>
      <w:r>
        <w:t xml:space="preserve">ed </w:t>
      </w:r>
      <w:r w:rsidR="00B43220" w:rsidRPr="004D7DFE">
        <w:t xml:space="preserve">from administrative data) it tells us very little about the </w:t>
      </w:r>
      <w:r>
        <w:t xml:space="preserve">extent of </w:t>
      </w:r>
      <w:r w:rsidR="00B43220" w:rsidRPr="004D7DFE">
        <w:t xml:space="preserve">take-up of </w:t>
      </w:r>
      <w:r w:rsidR="0095389D" w:rsidRPr="004D7DFE">
        <w:t xml:space="preserve">the </w:t>
      </w:r>
      <w:r w:rsidR="00B43220" w:rsidRPr="004D7DFE">
        <w:t xml:space="preserve">tax </w:t>
      </w:r>
      <w:r w:rsidR="0095389D" w:rsidRPr="004D7DFE">
        <w:t>benefit</w:t>
      </w:r>
      <w:r w:rsidR="00B43220" w:rsidRPr="004D7DFE">
        <w:t xml:space="preserve">. </w:t>
      </w:r>
      <w:r w:rsidR="00B30B39">
        <w:t xml:space="preserve">Instead of reviewing the percentage of </w:t>
      </w:r>
      <w:r w:rsidR="00B30B39" w:rsidRPr="00B30B39">
        <w:rPr>
          <w:i/>
          <w:iCs/>
        </w:rPr>
        <w:t>taxpayers</w:t>
      </w:r>
      <w:r w:rsidR="00B30B39">
        <w:t xml:space="preserve"> </w:t>
      </w:r>
      <w:r>
        <w:t xml:space="preserve">who </w:t>
      </w:r>
      <w:r w:rsidR="00B30B39">
        <w:t>report</w:t>
      </w:r>
      <w:r>
        <w:t xml:space="preserve"> </w:t>
      </w:r>
      <w:r w:rsidR="00B30B39">
        <w:t>donations, a</w:t>
      </w:r>
      <w:r w:rsidR="0095389D" w:rsidRPr="004D7DFE">
        <w:t xml:space="preserve"> more</w:t>
      </w:r>
      <w:r w:rsidR="00B43220" w:rsidRPr="004D7DFE">
        <w:t xml:space="preserve"> interesting question </w:t>
      </w:r>
      <w:r w:rsidR="0095389D" w:rsidRPr="004D7DFE">
        <w:t>would be:</w:t>
      </w:r>
      <w:r w:rsidR="00B43220" w:rsidRPr="004D7DFE">
        <w:t xml:space="preserve"> what is the percentage of </w:t>
      </w:r>
      <w:r w:rsidR="00B43220" w:rsidRPr="00B30B39">
        <w:rPr>
          <w:i/>
          <w:iCs/>
        </w:rPr>
        <w:t>donors</w:t>
      </w:r>
      <w:r w:rsidR="00B43220" w:rsidRPr="00B30B39">
        <w:t xml:space="preserve"> </w:t>
      </w:r>
      <w:r>
        <w:t xml:space="preserve">who claim </w:t>
      </w:r>
      <w:r w:rsidR="00B43220" w:rsidRPr="004D7DFE">
        <w:t xml:space="preserve">the tax benefit? This </w:t>
      </w:r>
      <w:r w:rsidR="0095389D" w:rsidRPr="004D7DFE">
        <w:t>datum</w:t>
      </w:r>
      <w:r w:rsidR="00B43220" w:rsidRPr="004D7DFE">
        <w:t xml:space="preserve"> can be estimated very roughly from complementary data such as surveys. Al</w:t>
      </w:r>
      <w:r w:rsidR="001E367A" w:rsidRPr="004D7DFE">
        <w:t>though</w:t>
      </w:r>
      <w:r w:rsidR="00B43220" w:rsidRPr="004D7DFE">
        <w:t xml:space="preserve"> these estimation</w:t>
      </w:r>
      <w:r w:rsidR="0095389D" w:rsidRPr="004D7DFE">
        <w:t>s</w:t>
      </w:r>
      <w:r w:rsidR="00B43220" w:rsidRPr="004D7DFE">
        <w:t xml:space="preserve"> are not statistically reliable, they </w:t>
      </w:r>
      <w:r>
        <w:t xml:space="preserve">convey </w:t>
      </w:r>
      <w:r w:rsidR="00B43220" w:rsidRPr="004D7DFE">
        <w:t xml:space="preserve">a sense of the magnitude of </w:t>
      </w:r>
      <w:r w:rsidR="0095389D" w:rsidRPr="004D7DFE">
        <w:t xml:space="preserve">take-up in terms </w:t>
      </w:r>
      <w:r w:rsidR="00B61E76">
        <w:t>of</w:t>
      </w:r>
      <w:r w:rsidR="0095389D" w:rsidRPr="004D7DFE">
        <w:t xml:space="preserve"> donors</w:t>
      </w:r>
      <w:r w:rsidR="00B43220" w:rsidRPr="004D7DFE">
        <w:t>. Again, Israel</w:t>
      </w:r>
      <w:r w:rsidR="00E501A8">
        <w:t>’</w:t>
      </w:r>
      <w:r>
        <w:t>s</w:t>
      </w:r>
      <w:r w:rsidR="00B43220" w:rsidRPr="004D7DFE">
        <w:t xml:space="preserve"> </w:t>
      </w:r>
      <w:r>
        <w:t>score is very low</w:t>
      </w:r>
      <w:r w:rsidR="001E367A" w:rsidRPr="004D7DFE">
        <w:t xml:space="preserve"> (</w:t>
      </w:r>
      <w:r w:rsidR="00F256F2" w:rsidRPr="004D7DFE">
        <w:t>Table 1</w:t>
      </w:r>
      <w:r w:rsidR="001E367A" w:rsidRPr="004D7DFE">
        <w:t>)</w:t>
      </w:r>
      <w:r w:rsidR="00C11459" w:rsidRPr="004D7DFE">
        <w:t>.</w:t>
      </w:r>
    </w:p>
    <w:p w14:paraId="67E4DF97" w14:textId="77777777" w:rsidR="00C9627A" w:rsidRDefault="00C9627A" w:rsidP="00C9627A"/>
    <w:p w14:paraId="51E2CC75" w14:textId="6AE27A1A" w:rsidR="00F05F78" w:rsidRDefault="00F05F78" w:rsidP="00DC209A">
      <w:pPr>
        <w:ind w:firstLine="0"/>
        <w:jc w:val="left"/>
      </w:pPr>
      <w:r w:rsidRPr="004D7DFE">
        <w:t>Table 1</w:t>
      </w:r>
      <w:r w:rsidR="003D6F2F" w:rsidRPr="004D7DFE">
        <w:t>.</w:t>
      </w:r>
      <w:r w:rsidR="0095389D" w:rsidRPr="004D7DFE">
        <w:t xml:space="preserve"> </w:t>
      </w:r>
      <w:r w:rsidR="009F294C">
        <w:t>Share</w:t>
      </w:r>
      <w:r w:rsidR="0095389D" w:rsidRPr="004D7DFE">
        <w:t xml:space="preserve"> of donors and taxpayers who claimed </w:t>
      </w:r>
      <w:r w:rsidR="0045323A">
        <w:t xml:space="preserve">a </w:t>
      </w:r>
      <w:r w:rsidR="0095389D" w:rsidRPr="004D7DFE">
        <w:t xml:space="preserve">tax benefit, </w:t>
      </w:r>
      <w:r w:rsidR="009F294C">
        <w:t>b</w:t>
      </w:r>
      <w:r w:rsidR="0095389D" w:rsidRPr="004D7DFE">
        <w:t>y country</w:t>
      </w:r>
    </w:p>
    <w:p w14:paraId="67A3212F" w14:textId="77777777" w:rsidR="00C9627A" w:rsidRPr="004D7DFE" w:rsidRDefault="00C9627A" w:rsidP="00C9627A"/>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906"/>
        <w:gridCol w:w="1743"/>
        <w:gridCol w:w="1460"/>
        <w:gridCol w:w="2166"/>
        <w:gridCol w:w="1984"/>
      </w:tblGrid>
      <w:tr w:rsidR="0095389D" w:rsidRPr="004D7DFE" w14:paraId="62BD5E15" w14:textId="77777777" w:rsidTr="002531E9">
        <w:tc>
          <w:tcPr>
            <w:tcW w:w="1522" w:type="dxa"/>
            <w:tcBorders>
              <w:top w:val="single" w:sz="8" w:space="0" w:color="auto"/>
              <w:bottom w:val="single" w:sz="12" w:space="0" w:color="auto"/>
            </w:tcBorders>
          </w:tcPr>
          <w:p w14:paraId="180626AE" w14:textId="78B0AF4A" w:rsidR="00F05F78" w:rsidRPr="004D7DFE" w:rsidRDefault="00F05F78" w:rsidP="00DC209A">
            <w:pPr>
              <w:ind w:firstLine="0"/>
              <w:jc w:val="left"/>
            </w:pPr>
            <w:r w:rsidRPr="004D7DFE">
              <w:t>Country</w:t>
            </w:r>
          </w:p>
        </w:tc>
        <w:tc>
          <w:tcPr>
            <w:tcW w:w="906" w:type="dxa"/>
            <w:tcBorders>
              <w:top w:val="single" w:sz="8" w:space="0" w:color="auto"/>
              <w:bottom w:val="single" w:sz="12" w:space="0" w:color="auto"/>
            </w:tcBorders>
          </w:tcPr>
          <w:p w14:paraId="3F06A698" w14:textId="390481CF" w:rsidR="00F05F78" w:rsidRPr="004D7DFE" w:rsidRDefault="00DC209A" w:rsidP="00DC209A">
            <w:pPr>
              <w:jc w:val="left"/>
            </w:pPr>
            <w:r>
              <w:t>Y</w:t>
            </w:r>
            <w:r w:rsidR="00F05F78" w:rsidRPr="004D7DFE">
              <w:t>ear</w:t>
            </w:r>
          </w:p>
        </w:tc>
        <w:tc>
          <w:tcPr>
            <w:tcW w:w="1743" w:type="dxa"/>
            <w:tcBorders>
              <w:top w:val="single" w:sz="8" w:space="0" w:color="auto"/>
              <w:bottom w:val="single" w:sz="12" w:space="0" w:color="auto"/>
            </w:tcBorders>
          </w:tcPr>
          <w:p w14:paraId="7D31F6B2" w14:textId="22E71A2A" w:rsidR="00F05F78" w:rsidRPr="004D7DFE" w:rsidRDefault="00F05F78" w:rsidP="00DC209A">
            <w:pPr>
              <w:ind w:firstLine="0"/>
              <w:jc w:val="left"/>
            </w:pPr>
            <w:r w:rsidRPr="004D7DFE">
              <w:t>Proportion of taxpayers claiming tax benefit</w:t>
            </w:r>
          </w:p>
        </w:tc>
        <w:tc>
          <w:tcPr>
            <w:tcW w:w="1460" w:type="dxa"/>
            <w:tcBorders>
              <w:top w:val="single" w:sz="8" w:space="0" w:color="auto"/>
              <w:bottom w:val="single" w:sz="12" w:space="0" w:color="auto"/>
            </w:tcBorders>
          </w:tcPr>
          <w:p w14:paraId="00D216EF" w14:textId="3EFCBAFF" w:rsidR="00F05F78" w:rsidRPr="004D7DFE" w:rsidRDefault="00F05F78" w:rsidP="00DC209A">
            <w:pPr>
              <w:ind w:firstLine="0"/>
              <w:jc w:val="left"/>
            </w:pPr>
            <w:r w:rsidRPr="004D7DFE">
              <w:t>Proportion of donors claiming tax benefit</w:t>
            </w:r>
          </w:p>
        </w:tc>
        <w:tc>
          <w:tcPr>
            <w:tcW w:w="2166" w:type="dxa"/>
            <w:tcBorders>
              <w:top w:val="single" w:sz="8" w:space="0" w:color="auto"/>
              <w:bottom w:val="single" w:sz="12" w:space="0" w:color="auto"/>
            </w:tcBorders>
          </w:tcPr>
          <w:p w14:paraId="65D4FB7C" w14:textId="61989F34" w:rsidR="00F05F78" w:rsidRPr="004D7DFE" w:rsidRDefault="00F05F78">
            <w:pPr>
              <w:ind w:firstLine="0"/>
              <w:jc w:val="left"/>
            </w:pPr>
            <w:r w:rsidRPr="004D7DFE">
              <w:t xml:space="preserve">Source </w:t>
            </w:r>
            <w:r w:rsidR="0076679E">
              <w:t xml:space="preserve">of </w:t>
            </w:r>
            <w:r w:rsidRPr="004D7DFE">
              <w:t>data on taxpayers</w:t>
            </w:r>
          </w:p>
        </w:tc>
        <w:tc>
          <w:tcPr>
            <w:tcW w:w="1984" w:type="dxa"/>
            <w:tcBorders>
              <w:top w:val="single" w:sz="8" w:space="0" w:color="auto"/>
              <w:bottom w:val="single" w:sz="12" w:space="0" w:color="auto"/>
            </w:tcBorders>
          </w:tcPr>
          <w:p w14:paraId="16C68380" w14:textId="7259B895" w:rsidR="00F05F78" w:rsidRPr="004D7DFE" w:rsidRDefault="00F05F78">
            <w:pPr>
              <w:ind w:firstLine="0"/>
              <w:jc w:val="left"/>
            </w:pPr>
            <w:r w:rsidRPr="004D7DFE">
              <w:t xml:space="preserve">Source </w:t>
            </w:r>
            <w:r w:rsidR="0076679E">
              <w:t xml:space="preserve">of </w:t>
            </w:r>
            <w:r w:rsidRPr="004D7DFE">
              <w:t>data on donors</w:t>
            </w:r>
          </w:p>
        </w:tc>
      </w:tr>
      <w:tr w:rsidR="0095389D" w:rsidRPr="004D7DFE" w14:paraId="5FA603A7" w14:textId="77777777" w:rsidTr="002531E9">
        <w:trPr>
          <w:trHeight w:val="624"/>
        </w:trPr>
        <w:tc>
          <w:tcPr>
            <w:tcW w:w="1522" w:type="dxa"/>
            <w:tcBorders>
              <w:top w:val="single" w:sz="12" w:space="0" w:color="auto"/>
            </w:tcBorders>
          </w:tcPr>
          <w:p w14:paraId="15CF2E8A" w14:textId="7523A38B" w:rsidR="00F05F78" w:rsidRPr="004D7DFE" w:rsidRDefault="00F05F78" w:rsidP="00EB6CA2">
            <w:pPr>
              <w:ind w:firstLine="0"/>
            </w:pPr>
            <w:r w:rsidRPr="004D7DFE">
              <w:t>Israel</w:t>
            </w:r>
          </w:p>
        </w:tc>
        <w:tc>
          <w:tcPr>
            <w:tcW w:w="906" w:type="dxa"/>
            <w:tcBorders>
              <w:top w:val="single" w:sz="12" w:space="0" w:color="auto"/>
            </w:tcBorders>
          </w:tcPr>
          <w:p w14:paraId="48390E9E" w14:textId="2299D869" w:rsidR="00F05F78" w:rsidRPr="004D7DFE" w:rsidRDefault="00F05F78" w:rsidP="00C9627A">
            <w:r w:rsidRPr="004D7DFE">
              <w:rPr>
                <w:rtl/>
              </w:rPr>
              <w:t>2018</w:t>
            </w:r>
          </w:p>
        </w:tc>
        <w:tc>
          <w:tcPr>
            <w:tcW w:w="1743" w:type="dxa"/>
            <w:tcBorders>
              <w:top w:val="single" w:sz="12" w:space="0" w:color="auto"/>
            </w:tcBorders>
          </w:tcPr>
          <w:p w14:paraId="4FF29CDD" w14:textId="70B3C588" w:rsidR="00F05F78" w:rsidRPr="004D7DFE" w:rsidRDefault="00F05F78" w:rsidP="00C9627A">
            <w:pPr>
              <w:ind w:firstLine="0"/>
              <w:jc w:val="left"/>
            </w:pPr>
            <w:r w:rsidRPr="004D7DFE">
              <w:rPr>
                <w:rtl/>
              </w:rPr>
              <w:t>2.6%</w:t>
            </w:r>
          </w:p>
        </w:tc>
        <w:tc>
          <w:tcPr>
            <w:tcW w:w="1460" w:type="dxa"/>
            <w:tcBorders>
              <w:top w:val="single" w:sz="12" w:space="0" w:color="auto"/>
            </w:tcBorders>
          </w:tcPr>
          <w:p w14:paraId="29789F7B" w14:textId="4316A9B7" w:rsidR="00F05F78" w:rsidRPr="004D7DFE" w:rsidRDefault="00F05F78" w:rsidP="00C9627A">
            <w:pPr>
              <w:ind w:firstLine="0"/>
              <w:jc w:val="left"/>
            </w:pPr>
            <w:r w:rsidRPr="004D7DFE">
              <w:t>8%</w:t>
            </w:r>
          </w:p>
        </w:tc>
        <w:tc>
          <w:tcPr>
            <w:tcW w:w="2166" w:type="dxa"/>
            <w:tcBorders>
              <w:top w:val="single" w:sz="12" w:space="0" w:color="auto"/>
            </w:tcBorders>
          </w:tcPr>
          <w:p w14:paraId="18CEA41C" w14:textId="5D85637F" w:rsidR="00F05F78" w:rsidRPr="004D7DFE" w:rsidRDefault="00F05F78" w:rsidP="00C9627A">
            <w:pPr>
              <w:ind w:firstLine="0"/>
              <w:jc w:val="left"/>
            </w:pPr>
            <w:r w:rsidRPr="004D7DFE">
              <w:t xml:space="preserve">ITA </w:t>
            </w:r>
          </w:p>
        </w:tc>
        <w:tc>
          <w:tcPr>
            <w:tcW w:w="1984" w:type="dxa"/>
            <w:tcBorders>
              <w:top w:val="single" w:sz="12" w:space="0" w:color="auto"/>
            </w:tcBorders>
          </w:tcPr>
          <w:p w14:paraId="138AF951" w14:textId="1E47B321" w:rsidR="00F05F78" w:rsidRPr="0076679E" w:rsidRDefault="00000000" w:rsidP="00C9627A">
            <w:pPr>
              <w:ind w:firstLine="0"/>
              <w:jc w:val="left"/>
            </w:pPr>
            <w:hyperlink r:id="rId13" w:history="1">
              <w:r w:rsidR="00F05F78" w:rsidRPr="00A26ECF">
                <w:rPr>
                  <w:rStyle w:val="Hyperlink"/>
                  <w:u w:val="none"/>
                </w:rPr>
                <w:t>CBS</w:t>
              </w:r>
            </w:hyperlink>
          </w:p>
        </w:tc>
      </w:tr>
      <w:tr w:rsidR="0095389D" w:rsidRPr="004D7DFE" w14:paraId="3ACB7D87" w14:textId="77777777" w:rsidTr="002531E9">
        <w:trPr>
          <w:trHeight w:val="624"/>
        </w:trPr>
        <w:tc>
          <w:tcPr>
            <w:tcW w:w="1522" w:type="dxa"/>
          </w:tcPr>
          <w:p w14:paraId="7EE703F1" w14:textId="67637C91" w:rsidR="00F05F78" w:rsidRPr="004D7DFE" w:rsidRDefault="00D5781D" w:rsidP="00EB6CA2">
            <w:pPr>
              <w:ind w:firstLine="0"/>
            </w:pPr>
            <w:r>
              <w:t xml:space="preserve">The </w:t>
            </w:r>
            <w:r w:rsidR="00F05F78" w:rsidRPr="004D7DFE">
              <w:t>U</w:t>
            </w:r>
            <w:r>
              <w:t>.</w:t>
            </w:r>
            <w:r w:rsidR="00F05F78" w:rsidRPr="004D7DFE">
              <w:t>S</w:t>
            </w:r>
            <w:r>
              <w:t>.</w:t>
            </w:r>
          </w:p>
        </w:tc>
        <w:tc>
          <w:tcPr>
            <w:tcW w:w="906" w:type="dxa"/>
          </w:tcPr>
          <w:p w14:paraId="7F8F326D" w14:textId="030FED78" w:rsidR="00F05F78" w:rsidRPr="004D7DFE" w:rsidRDefault="00F05F78" w:rsidP="00C9627A">
            <w:r w:rsidRPr="004D7DFE">
              <w:rPr>
                <w:rtl/>
              </w:rPr>
              <w:t>2018</w:t>
            </w:r>
          </w:p>
        </w:tc>
        <w:tc>
          <w:tcPr>
            <w:tcW w:w="1743" w:type="dxa"/>
          </w:tcPr>
          <w:p w14:paraId="338E85CC" w14:textId="3BADF8AE" w:rsidR="00F05F78" w:rsidRPr="004D7DFE" w:rsidRDefault="00F05F78" w:rsidP="00C9627A">
            <w:pPr>
              <w:ind w:firstLine="0"/>
              <w:jc w:val="left"/>
            </w:pPr>
            <w:r w:rsidRPr="004D7DFE">
              <w:rPr>
                <w:rtl/>
              </w:rPr>
              <w:t>9.6%</w:t>
            </w:r>
          </w:p>
        </w:tc>
        <w:tc>
          <w:tcPr>
            <w:tcW w:w="1460" w:type="dxa"/>
          </w:tcPr>
          <w:p w14:paraId="7DAFA2DF" w14:textId="2E20E4B3" w:rsidR="00F05F78" w:rsidRPr="004D7DFE" w:rsidRDefault="00F05F78" w:rsidP="00C9627A">
            <w:pPr>
              <w:ind w:firstLine="0"/>
              <w:jc w:val="left"/>
            </w:pPr>
            <w:r w:rsidRPr="004D7DFE">
              <w:t>20%</w:t>
            </w:r>
          </w:p>
        </w:tc>
        <w:tc>
          <w:tcPr>
            <w:tcW w:w="2166" w:type="dxa"/>
          </w:tcPr>
          <w:p w14:paraId="5AB02369" w14:textId="4FE7587A" w:rsidR="00F05F78" w:rsidRPr="004D7DFE" w:rsidRDefault="00F05F78" w:rsidP="00C9627A">
            <w:pPr>
              <w:ind w:firstLine="0"/>
              <w:jc w:val="left"/>
            </w:pPr>
            <w:r w:rsidRPr="004D7DFE">
              <w:t>IRS</w:t>
            </w:r>
          </w:p>
        </w:tc>
        <w:tc>
          <w:tcPr>
            <w:tcW w:w="1984" w:type="dxa"/>
          </w:tcPr>
          <w:p w14:paraId="560834F4" w14:textId="4A7A8E41" w:rsidR="00F05F78" w:rsidRPr="004D7DFE" w:rsidRDefault="00F05F78" w:rsidP="00C9627A">
            <w:pPr>
              <w:ind w:firstLine="0"/>
              <w:jc w:val="left"/>
            </w:pPr>
            <w:r w:rsidRPr="004D7DFE">
              <w:t>Osili, Zarins, and Han, 2021</w:t>
            </w:r>
          </w:p>
        </w:tc>
      </w:tr>
      <w:tr w:rsidR="0095389D" w:rsidRPr="004D7DFE" w14:paraId="064740F7" w14:textId="77777777" w:rsidTr="002531E9">
        <w:trPr>
          <w:trHeight w:val="624"/>
        </w:trPr>
        <w:tc>
          <w:tcPr>
            <w:tcW w:w="1522" w:type="dxa"/>
          </w:tcPr>
          <w:p w14:paraId="2B9B6575" w14:textId="5146F593" w:rsidR="00F05F78" w:rsidRPr="004D7DFE" w:rsidRDefault="00F05F78" w:rsidP="00EB6CA2">
            <w:pPr>
              <w:ind w:firstLine="0"/>
            </w:pPr>
            <w:r w:rsidRPr="004D7DFE">
              <w:t>Canada</w:t>
            </w:r>
          </w:p>
        </w:tc>
        <w:tc>
          <w:tcPr>
            <w:tcW w:w="906" w:type="dxa"/>
          </w:tcPr>
          <w:p w14:paraId="039002F0" w14:textId="1515C659" w:rsidR="00F05F78" w:rsidRPr="004D7DFE" w:rsidRDefault="00F05F78" w:rsidP="00C9627A">
            <w:r w:rsidRPr="004D7DFE">
              <w:rPr>
                <w:rtl/>
              </w:rPr>
              <w:t>2017</w:t>
            </w:r>
          </w:p>
        </w:tc>
        <w:tc>
          <w:tcPr>
            <w:tcW w:w="1743" w:type="dxa"/>
          </w:tcPr>
          <w:p w14:paraId="46CD64F6" w14:textId="1C29F1DF" w:rsidR="00F05F78" w:rsidRPr="004D7DFE" w:rsidRDefault="00F05F78" w:rsidP="00C9627A">
            <w:pPr>
              <w:ind w:firstLine="0"/>
              <w:jc w:val="left"/>
            </w:pPr>
            <w:r w:rsidRPr="004D7DFE">
              <w:rPr>
                <w:rtl/>
              </w:rPr>
              <w:t>28.5%</w:t>
            </w:r>
          </w:p>
        </w:tc>
        <w:tc>
          <w:tcPr>
            <w:tcW w:w="1460" w:type="dxa"/>
          </w:tcPr>
          <w:p w14:paraId="50A71EE9" w14:textId="56978A54" w:rsidR="00F05F78" w:rsidRPr="004D7DFE" w:rsidRDefault="0076679E">
            <w:pPr>
              <w:ind w:firstLine="0"/>
              <w:jc w:val="left"/>
            </w:pPr>
            <w:r>
              <w:t>—</w:t>
            </w:r>
          </w:p>
        </w:tc>
        <w:tc>
          <w:tcPr>
            <w:tcW w:w="2166" w:type="dxa"/>
          </w:tcPr>
          <w:p w14:paraId="1067739B" w14:textId="59F093FB" w:rsidR="00AC42ED" w:rsidRPr="004D7DFE" w:rsidRDefault="00F05F78" w:rsidP="00C9627A">
            <w:pPr>
              <w:ind w:firstLine="0"/>
              <w:jc w:val="left"/>
            </w:pPr>
            <w:r w:rsidRPr="004D7DFE">
              <w:t>CRA</w:t>
            </w:r>
            <w:r w:rsidR="00AC42ED">
              <w:t xml:space="preserve">; </w:t>
            </w:r>
            <w:r w:rsidR="00AC42ED" w:rsidRPr="00AC42ED">
              <w:t>Lasby</w:t>
            </w:r>
            <w:r w:rsidR="00AC42ED">
              <w:t xml:space="preserve"> and</w:t>
            </w:r>
            <w:r w:rsidR="00AC42ED" w:rsidRPr="00AC42ED">
              <w:t xml:space="preserve"> Barr</w:t>
            </w:r>
            <w:r w:rsidR="00AC42ED">
              <w:t xml:space="preserve">, </w:t>
            </w:r>
            <w:r w:rsidR="00AC42ED" w:rsidRPr="00AC42ED">
              <w:t>2018</w:t>
            </w:r>
          </w:p>
        </w:tc>
        <w:tc>
          <w:tcPr>
            <w:tcW w:w="1984" w:type="dxa"/>
          </w:tcPr>
          <w:p w14:paraId="3659BFEA" w14:textId="46DB2B3A" w:rsidR="00F05F78" w:rsidRPr="004D7DFE" w:rsidRDefault="00F05F78" w:rsidP="00C9627A">
            <w:pPr>
              <w:ind w:firstLine="0"/>
              <w:jc w:val="left"/>
            </w:pPr>
          </w:p>
        </w:tc>
      </w:tr>
      <w:tr w:rsidR="0095389D" w:rsidRPr="004D7DFE" w14:paraId="57A37A8F" w14:textId="77777777" w:rsidTr="002531E9">
        <w:trPr>
          <w:trHeight w:val="624"/>
        </w:trPr>
        <w:tc>
          <w:tcPr>
            <w:tcW w:w="1522" w:type="dxa"/>
          </w:tcPr>
          <w:p w14:paraId="76940A03" w14:textId="18245B7C" w:rsidR="00F05F78" w:rsidRPr="004D7DFE" w:rsidRDefault="00F05F78" w:rsidP="00EB6CA2">
            <w:pPr>
              <w:ind w:firstLine="0"/>
            </w:pPr>
            <w:r w:rsidRPr="004D7DFE">
              <w:t>United Kingdom</w:t>
            </w:r>
          </w:p>
        </w:tc>
        <w:tc>
          <w:tcPr>
            <w:tcW w:w="906" w:type="dxa"/>
          </w:tcPr>
          <w:p w14:paraId="2850FD77" w14:textId="7F670F2F" w:rsidR="00F05F78" w:rsidRPr="004D7DFE" w:rsidRDefault="00F05F78" w:rsidP="00C9627A">
            <w:r w:rsidRPr="004D7DFE">
              <w:rPr>
                <w:rtl/>
              </w:rPr>
              <w:t>2016</w:t>
            </w:r>
          </w:p>
        </w:tc>
        <w:tc>
          <w:tcPr>
            <w:tcW w:w="1743" w:type="dxa"/>
          </w:tcPr>
          <w:p w14:paraId="4618991E" w14:textId="516D90CB" w:rsidR="00F05F78" w:rsidRPr="004D7DFE" w:rsidRDefault="00F05F78" w:rsidP="00C9627A">
            <w:pPr>
              <w:ind w:firstLine="0"/>
              <w:jc w:val="left"/>
            </w:pPr>
            <w:r w:rsidRPr="004D7DFE">
              <w:rPr>
                <w:rtl/>
              </w:rPr>
              <w:t>11.0%</w:t>
            </w:r>
          </w:p>
        </w:tc>
        <w:tc>
          <w:tcPr>
            <w:tcW w:w="1460" w:type="dxa"/>
          </w:tcPr>
          <w:p w14:paraId="38B6FA67" w14:textId="3B792019" w:rsidR="00F05F78" w:rsidRPr="004D7DFE" w:rsidRDefault="0076679E">
            <w:pPr>
              <w:ind w:firstLine="0"/>
              <w:jc w:val="left"/>
            </w:pPr>
            <w:r>
              <w:t>—</w:t>
            </w:r>
          </w:p>
        </w:tc>
        <w:tc>
          <w:tcPr>
            <w:tcW w:w="2166" w:type="dxa"/>
          </w:tcPr>
          <w:p w14:paraId="5CC25AF4" w14:textId="4FC10D8F" w:rsidR="00F05F78" w:rsidRPr="004D7DFE" w:rsidRDefault="00F05F78" w:rsidP="00C9627A">
            <w:pPr>
              <w:ind w:firstLine="0"/>
              <w:jc w:val="left"/>
            </w:pPr>
            <w:r w:rsidRPr="004D7DFE">
              <w:t>Almunia et al., 2020</w:t>
            </w:r>
          </w:p>
        </w:tc>
        <w:tc>
          <w:tcPr>
            <w:tcW w:w="1984" w:type="dxa"/>
          </w:tcPr>
          <w:p w14:paraId="5EB10779" w14:textId="6BCAC3B1" w:rsidR="00F05F78" w:rsidRPr="004D7DFE" w:rsidRDefault="00F05F78" w:rsidP="00C9627A">
            <w:pPr>
              <w:ind w:firstLine="0"/>
              <w:jc w:val="left"/>
            </w:pPr>
          </w:p>
        </w:tc>
      </w:tr>
      <w:tr w:rsidR="0095389D" w:rsidRPr="004D7DFE" w14:paraId="6772F664" w14:textId="77777777" w:rsidTr="002531E9">
        <w:trPr>
          <w:trHeight w:val="624"/>
        </w:trPr>
        <w:tc>
          <w:tcPr>
            <w:tcW w:w="1522" w:type="dxa"/>
          </w:tcPr>
          <w:p w14:paraId="35A19E5C" w14:textId="1EEC48C7" w:rsidR="00F05F78" w:rsidRPr="004D7DFE" w:rsidRDefault="00F05F78" w:rsidP="00EB6CA2">
            <w:pPr>
              <w:ind w:firstLine="0"/>
            </w:pPr>
            <w:r w:rsidRPr="004D7DFE">
              <w:t>Switzerland, Geneva</w:t>
            </w:r>
          </w:p>
        </w:tc>
        <w:tc>
          <w:tcPr>
            <w:tcW w:w="906" w:type="dxa"/>
          </w:tcPr>
          <w:p w14:paraId="1445042B" w14:textId="2FBE8087" w:rsidR="00F05F78" w:rsidRPr="004D7DFE" w:rsidRDefault="00F05F78" w:rsidP="00C9627A">
            <w:r w:rsidRPr="004D7DFE">
              <w:rPr>
                <w:rtl/>
              </w:rPr>
              <w:t>2011</w:t>
            </w:r>
          </w:p>
        </w:tc>
        <w:tc>
          <w:tcPr>
            <w:tcW w:w="1743" w:type="dxa"/>
          </w:tcPr>
          <w:p w14:paraId="36BDA9CF" w14:textId="5892CD4B" w:rsidR="00F05F78" w:rsidRPr="004D7DFE" w:rsidRDefault="00F05F78" w:rsidP="00C9627A">
            <w:pPr>
              <w:ind w:firstLine="0"/>
              <w:jc w:val="left"/>
            </w:pPr>
            <w:r w:rsidRPr="004D7DFE">
              <w:rPr>
                <w:rtl/>
              </w:rPr>
              <w:t>19.3%</w:t>
            </w:r>
          </w:p>
        </w:tc>
        <w:tc>
          <w:tcPr>
            <w:tcW w:w="1460" w:type="dxa"/>
          </w:tcPr>
          <w:p w14:paraId="252828EB" w14:textId="765A9A34" w:rsidR="00F05F78" w:rsidRPr="004D7DFE" w:rsidRDefault="00F05F78" w:rsidP="00C9627A">
            <w:pPr>
              <w:ind w:firstLine="0"/>
              <w:jc w:val="left"/>
            </w:pPr>
            <w:r w:rsidRPr="004D7DFE">
              <w:t>27%</w:t>
            </w:r>
          </w:p>
        </w:tc>
        <w:tc>
          <w:tcPr>
            <w:tcW w:w="2166" w:type="dxa"/>
          </w:tcPr>
          <w:p w14:paraId="4C6003BF" w14:textId="5D3B3999" w:rsidR="00F05F78" w:rsidRPr="004D7DFE" w:rsidRDefault="00F05F78" w:rsidP="00C9627A">
            <w:pPr>
              <w:ind w:firstLine="0"/>
              <w:jc w:val="left"/>
            </w:pPr>
            <w:bookmarkStart w:id="6" w:name="_Hlk136161036"/>
            <w:r w:rsidRPr="004D7DFE">
              <w:t>Huber, Pittavino, and Peter, 2021</w:t>
            </w:r>
            <w:bookmarkEnd w:id="6"/>
          </w:p>
        </w:tc>
        <w:tc>
          <w:tcPr>
            <w:tcW w:w="1984" w:type="dxa"/>
          </w:tcPr>
          <w:p w14:paraId="10B67420" w14:textId="071E36B1" w:rsidR="00F05F78" w:rsidRPr="004D7DFE" w:rsidRDefault="00F05F78">
            <w:pPr>
              <w:ind w:firstLine="0"/>
              <w:jc w:val="left"/>
            </w:pPr>
            <w:r w:rsidRPr="004D7DFE">
              <w:t xml:space="preserve">Freitag et al.,2016, in Huber, </w:t>
            </w:r>
            <w:proofErr w:type="spellStart"/>
            <w:r w:rsidRPr="004D7DFE">
              <w:t>Pittavino</w:t>
            </w:r>
            <w:proofErr w:type="spellEnd"/>
            <w:r w:rsidRPr="004D7DFE">
              <w:t>, and Peter, 2021</w:t>
            </w:r>
            <w:r w:rsidR="00A26ECF">
              <w:t>;</w:t>
            </w:r>
          </w:p>
        </w:tc>
      </w:tr>
      <w:tr w:rsidR="0095389D" w:rsidRPr="004D7DFE" w14:paraId="7010D4B6" w14:textId="77777777" w:rsidTr="002531E9">
        <w:trPr>
          <w:trHeight w:val="624"/>
        </w:trPr>
        <w:tc>
          <w:tcPr>
            <w:tcW w:w="1522" w:type="dxa"/>
            <w:tcBorders>
              <w:bottom w:val="single" w:sz="8" w:space="0" w:color="auto"/>
            </w:tcBorders>
          </w:tcPr>
          <w:p w14:paraId="40635549" w14:textId="4E414317" w:rsidR="00F05F78" w:rsidRPr="004D7DFE" w:rsidRDefault="00F05F78" w:rsidP="00EB6CA2">
            <w:pPr>
              <w:ind w:firstLine="0"/>
            </w:pPr>
            <w:r w:rsidRPr="004D7DFE">
              <w:t>Germany</w:t>
            </w:r>
          </w:p>
        </w:tc>
        <w:tc>
          <w:tcPr>
            <w:tcW w:w="906" w:type="dxa"/>
            <w:tcBorders>
              <w:bottom w:val="single" w:sz="8" w:space="0" w:color="auto"/>
            </w:tcBorders>
          </w:tcPr>
          <w:p w14:paraId="3DCBAE22" w14:textId="244B24D0" w:rsidR="00F05F78" w:rsidRPr="004D7DFE" w:rsidRDefault="00F05F78" w:rsidP="00C9627A">
            <w:r w:rsidRPr="004D7DFE">
              <w:t>200</w:t>
            </w:r>
            <w:r w:rsidR="0095389D" w:rsidRPr="004D7DFE">
              <w:t>9</w:t>
            </w:r>
          </w:p>
        </w:tc>
        <w:tc>
          <w:tcPr>
            <w:tcW w:w="1743" w:type="dxa"/>
            <w:tcBorders>
              <w:bottom w:val="single" w:sz="8" w:space="0" w:color="auto"/>
            </w:tcBorders>
          </w:tcPr>
          <w:p w14:paraId="49E4154F" w14:textId="02732420" w:rsidR="00F05F78" w:rsidRPr="004D7DFE" w:rsidRDefault="00DA3844" w:rsidP="00C9627A">
            <w:pPr>
              <w:ind w:firstLine="0"/>
              <w:jc w:val="left"/>
            </w:pPr>
            <w:r w:rsidRPr="004D7DFE">
              <w:t>-</w:t>
            </w:r>
          </w:p>
        </w:tc>
        <w:tc>
          <w:tcPr>
            <w:tcW w:w="1460" w:type="dxa"/>
            <w:tcBorders>
              <w:bottom w:val="single" w:sz="8" w:space="0" w:color="auto"/>
            </w:tcBorders>
          </w:tcPr>
          <w:p w14:paraId="4E125210" w14:textId="1B4D8E98" w:rsidR="00F05F78" w:rsidRPr="004D7DFE" w:rsidRDefault="00F05F78" w:rsidP="00C9627A">
            <w:pPr>
              <w:ind w:firstLine="0"/>
              <w:jc w:val="left"/>
            </w:pPr>
            <w:r w:rsidRPr="004D7DFE">
              <w:t>61%</w:t>
            </w:r>
          </w:p>
        </w:tc>
        <w:tc>
          <w:tcPr>
            <w:tcW w:w="2166" w:type="dxa"/>
            <w:tcBorders>
              <w:bottom w:val="single" w:sz="8" w:space="0" w:color="auto"/>
            </w:tcBorders>
          </w:tcPr>
          <w:p w14:paraId="393141AC" w14:textId="77777777" w:rsidR="00F05F78" w:rsidRPr="004D7DFE" w:rsidRDefault="00F05F78" w:rsidP="00C9627A">
            <w:pPr>
              <w:ind w:firstLine="0"/>
              <w:jc w:val="left"/>
            </w:pPr>
          </w:p>
        </w:tc>
        <w:tc>
          <w:tcPr>
            <w:tcW w:w="1984" w:type="dxa"/>
            <w:tcBorders>
              <w:bottom w:val="single" w:sz="8" w:space="0" w:color="auto"/>
            </w:tcBorders>
          </w:tcPr>
          <w:p w14:paraId="2FE30BE7" w14:textId="26926327" w:rsidR="00F05F78" w:rsidRPr="004D7DFE" w:rsidRDefault="00F05F78">
            <w:pPr>
              <w:ind w:firstLine="0"/>
              <w:jc w:val="left"/>
            </w:pPr>
            <w:r w:rsidRPr="004D7DFE">
              <w:t xml:space="preserve">Sommerfeld, 2009, in: </w:t>
            </w:r>
            <w:proofErr w:type="spellStart"/>
            <w:r w:rsidRPr="004D7DFE">
              <w:t>Adena</w:t>
            </w:r>
            <w:proofErr w:type="spellEnd"/>
            <w:r w:rsidRPr="004D7DFE">
              <w:t>, 2021</w:t>
            </w:r>
          </w:p>
        </w:tc>
      </w:tr>
    </w:tbl>
    <w:p w14:paraId="12556469" w14:textId="73A549FB" w:rsidR="00C11459" w:rsidRPr="004D7DFE" w:rsidRDefault="00C11459"/>
    <w:p w14:paraId="22946F08" w14:textId="7F03A40E" w:rsidR="00135BBC" w:rsidRPr="004D7DFE" w:rsidRDefault="00135BBC">
      <w:r w:rsidRPr="004D7DFE">
        <w:t xml:space="preserve">Even if the </w:t>
      </w:r>
      <w:r w:rsidR="0076679E">
        <w:t xml:space="preserve">numbers </w:t>
      </w:r>
      <w:r w:rsidRPr="004D7DFE">
        <w:t xml:space="preserve">were more accurate, we still </w:t>
      </w:r>
      <w:r w:rsidR="0076679E">
        <w:t xml:space="preserve">would not </w:t>
      </w:r>
      <w:r w:rsidRPr="004D7DFE">
        <w:t xml:space="preserve">know the extent of benefit take-up in terms of </w:t>
      </w:r>
      <w:r w:rsidR="0076679E">
        <w:t xml:space="preserve">total </w:t>
      </w:r>
      <w:r w:rsidRPr="004D7DFE">
        <w:t>donations</w:t>
      </w:r>
      <w:r w:rsidR="0076679E">
        <w:t>—a variable that m</w:t>
      </w:r>
      <w:r w:rsidR="00D5781D">
        <w:t>ay</w:t>
      </w:r>
      <w:r w:rsidR="0076679E">
        <w:t xml:space="preserve"> yield a better way </w:t>
      </w:r>
      <w:r w:rsidR="00243293" w:rsidRPr="004D7DFE">
        <w:t>to asse</w:t>
      </w:r>
      <w:r w:rsidR="009F7492" w:rsidRPr="004D7DFE">
        <w:t>ss</w:t>
      </w:r>
      <w:r w:rsidR="00243293" w:rsidRPr="004D7DFE">
        <w:t xml:space="preserve"> the effect of the tax pol</w:t>
      </w:r>
      <w:r w:rsidR="00A1655D" w:rsidRPr="004D7DFE">
        <w:t>i</w:t>
      </w:r>
      <w:r w:rsidR="00243293" w:rsidRPr="004D7DFE">
        <w:t>c</w:t>
      </w:r>
      <w:r w:rsidR="009F7492" w:rsidRPr="004D7DFE">
        <w:t>y</w:t>
      </w:r>
      <w:r w:rsidRPr="004D7DFE">
        <w:t xml:space="preserve">. To </w:t>
      </w:r>
      <w:r w:rsidR="00FC7018">
        <w:t xml:space="preserve">fill this lacuna, </w:t>
      </w:r>
      <w:r w:rsidRPr="004D7DFE">
        <w:t xml:space="preserve">I move to the core analysis of this </w:t>
      </w:r>
      <w:r w:rsidR="00FC7018">
        <w:t>study</w:t>
      </w:r>
      <w:r w:rsidR="00C9627A">
        <w:t>.</w:t>
      </w:r>
    </w:p>
    <w:p w14:paraId="750B3CB2" w14:textId="5CD25C8E" w:rsidR="00F256F2" w:rsidRPr="004D7DFE" w:rsidRDefault="00F256F2">
      <w:pPr>
        <w:pStyle w:val="Heading1"/>
      </w:pPr>
      <w:r w:rsidRPr="004D7DFE">
        <w:t>Mapping the policy</w:t>
      </w:r>
      <w:r w:rsidR="00557A32">
        <w:t xml:space="preserve"> toward charitable giving</w:t>
      </w:r>
      <w:r w:rsidRPr="004D7DFE">
        <w:t xml:space="preserve"> in Israel</w:t>
      </w:r>
    </w:p>
    <w:p w14:paraId="79476043" w14:textId="26C35CD5" w:rsidR="009916BD" w:rsidRPr="004D7DFE" w:rsidRDefault="00DD609A">
      <w:r w:rsidRPr="004D7DFE">
        <w:t xml:space="preserve">The point </w:t>
      </w:r>
      <w:r w:rsidR="00FC7018">
        <w:t xml:space="preserve">of departure </w:t>
      </w:r>
      <w:r w:rsidRPr="004D7DFE">
        <w:t xml:space="preserve">is </w:t>
      </w:r>
      <w:r w:rsidR="00FC7018">
        <w:t xml:space="preserve">the total sum of </w:t>
      </w:r>
      <w:r w:rsidRPr="004D7DFE">
        <w:t xml:space="preserve">domestic donations to </w:t>
      </w:r>
      <w:r w:rsidR="00884379">
        <w:t>nonprofit</w:t>
      </w:r>
      <w:r w:rsidR="00451279" w:rsidRPr="004D7DFE">
        <w:t>s</w:t>
      </w:r>
      <w:r w:rsidR="00C12A5D" w:rsidRPr="004D7DFE">
        <w:t xml:space="preserve"> in Israel</w:t>
      </w:r>
      <w:r w:rsidRPr="004D7DFE">
        <w:t xml:space="preserve"> </w:t>
      </w:r>
      <w:r w:rsidR="00FC7018">
        <w:t xml:space="preserve">by individuals and </w:t>
      </w:r>
      <w:r w:rsidR="00A26ECF">
        <w:t>companies</w:t>
      </w:r>
      <w:r w:rsidR="00FC7018" w:rsidRPr="00FC7018">
        <w:t xml:space="preserve"> </w:t>
      </w:r>
      <w:r w:rsidR="00FC7018" w:rsidRPr="004D7DFE">
        <w:t>in 2018</w:t>
      </w:r>
      <w:r w:rsidR="00FC7018">
        <w:t xml:space="preserve">: </w:t>
      </w:r>
      <w:r w:rsidR="00061B6B">
        <w:t>NIS</w:t>
      </w:r>
      <w:r w:rsidR="00FC7018">
        <w:t> </w:t>
      </w:r>
      <w:r w:rsidRPr="004D7DFE">
        <w:t>7 billion (</w:t>
      </w:r>
      <w:r w:rsidR="00FC7018">
        <w:t xml:space="preserve">to be exact, </w:t>
      </w:r>
      <w:r w:rsidR="00061B6B">
        <w:t>NIS</w:t>
      </w:r>
      <w:r w:rsidR="00FC7018">
        <w:t> </w:t>
      </w:r>
      <w:r w:rsidRPr="004D7DFE">
        <w:t xml:space="preserve">6,985 </w:t>
      </w:r>
      <w:r w:rsidR="003922FC">
        <w:t>million</w:t>
      </w:r>
      <w:r w:rsidRPr="004D7DFE">
        <w:t>)</w:t>
      </w:r>
      <w:r w:rsidR="00D70552">
        <w:t xml:space="preserve"> –</w:t>
      </w:r>
      <w:r w:rsidR="0045323A">
        <w:t xml:space="preserve"> </w:t>
      </w:r>
      <w:r w:rsidR="00061B6B">
        <w:t>NIS</w:t>
      </w:r>
      <w:r w:rsidR="00FC7018">
        <w:t> </w:t>
      </w:r>
      <w:r w:rsidR="00C12A5D" w:rsidRPr="004D7DFE">
        <w:t>5 billion</w:t>
      </w:r>
      <w:r w:rsidR="003922FC">
        <w:t xml:space="preserve"> </w:t>
      </w:r>
      <w:r w:rsidR="00FC7018">
        <w:t xml:space="preserve">from </w:t>
      </w:r>
      <w:r w:rsidR="00C12A5D" w:rsidRPr="004D7DFE">
        <w:t>individuals (72%) and almost</w:t>
      </w:r>
      <w:r w:rsidR="00061B6B" w:rsidRPr="00061B6B">
        <w:t xml:space="preserve"> </w:t>
      </w:r>
      <w:r w:rsidR="00061B6B">
        <w:t>NIS</w:t>
      </w:r>
      <w:r w:rsidR="00FC7018">
        <w:t> </w:t>
      </w:r>
      <w:r w:rsidR="00C12A5D" w:rsidRPr="004D7DFE">
        <w:t xml:space="preserve">2 billion by </w:t>
      </w:r>
      <w:r w:rsidR="009911A2">
        <w:lastRenderedPageBreak/>
        <w:t>companies</w:t>
      </w:r>
      <w:r w:rsidR="00C12A5D" w:rsidRPr="004D7DFE">
        <w:t xml:space="preserve">. </w:t>
      </w:r>
      <w:r w:rsidR="004B7492">
        <w:t>Out of</w:t>
      </w:r>
      <w:r w:rsidR="009911A2">
        <w:t xml:space="preserve"> total donations, </w:t>
      </w:r>
      <w:r w:rsidR="00061B6B">
        <w:t>NIS</w:t>
      </w:r>
      <w:r w:rsidR="00D70552">
        <w:t> </w:t>
      </w:r>
      <w:r w:rsidR="00C12A5D" w:rsidRPr="004D7DFE">
        <w:t>1.6 billion</w:t>
      </w:r>
      <w:r w:rsidR="003922FC">
        <w:t xml:space="preserve"> </w:t>
      </w:r>
      <w:r w:rsidR="00D70552">
        <w:t xml:space="preserve">in donations, was </w:t>
      </w:r>
      <w:r w:rsidR="00C12A5D" w:rsidRPr="004D7DFE">
        <w:t xml:space="preserve">ineligible </w:t>
      </w:r>
      <w:r w:rsidR="00D70552">
        <w:t>for the tax benefit</w:t>
      </w:r>
      <w:r w:rsidR="00C12A5D" w:rsidRPr="004D7DFE">
        <w:t>. This chunk is comprised of</w:t>
      </w:r>
      <w:r w:rsidR="00451279" w:rsidRPr="004D7DFE">
        <w:t xml:space="preserve"> </w:t>
      </w:r>
      <w:r w:rsidR="00D70552">
        <w:t>NIS </w:t>
      </w:r>
      <w:r w:rsidR="00D70552" w:rsidRPr="004D7DFE">
        <w:t>593</w:t>
      </w:r>
      <w:r w:rsidR="00D70552">
        <w:t xml:space="preserve"> million</w:t>
      </w:r>
      <w:r w:rsidR="00D70552" w:rsidRPr="004D7DFE">
        <w:t xml:space="preserve"> </w:t>
      </w:r>
      <w:r w:rsidR="00D70552">
        <w:t xml:space="preserve">in </w:t>
      </w:r>
      <w:r w:rsidR="00451279" w:rsidRPr="004D7DFE">
        <w:t>donations below the credit floor</w:t>
      </w:r>
      <w:r w:rsidR="003922FC">
        <w:t xml:space="preserve"> </w:t>
      </w:r>
      <w:r w:rsidR="003922FC" w:rsidRPr="004D7DFE">
        <w:t>(</w:t>
      </w:r>
      <w:r w:rsidR="00061B6B">
        <w:t>NIS</w:t>
      </w:r>
      <w:r w:rsidR="00D70552">
        <w:t> </w:t>
      </w:r>
      <w:r w:rsidR="003922FC" w:rsidRPr="004D7DFE">
        <w:t>180)</w:t>
      </w:r>
      <w:r w:rsidR="00451279" w:rsidRPr="004D7DFE">
        <w:t xml:space="preserve"> and </w:t>
      </w:r>
      <w:r w:rsidR="00061B6B">
        <w:t>NIS</w:t>
      </w:r>
      <w:r w:rsidR="00D70552">
        <w:t> </w:t>
      </w:r>
      <w:r w:rsidR="00C12A5D" w:rsidRPr="004D7DFE">
        <w:t xml:space="preserve">1 </w:t>
      </w:r>
      <w:r w:rsidR="003922FC">
        <w:t>billion</w:t>
      </w:r>
      <w:r w:rsidR="00C12A5D" w:rsidRPr="004D7DFE">
        <w:t xml:space="preserve"> </w:t>
      </w:r>
      <w:r w:rsidR="00D70552">
        <w:t xml:space="preserve">in </w:t>
      </w:r>
      <w:r w:rsidR="00C12A5D" w:rsidRPr="004D7DFE">
        <w:t xml:space="preserve">donations to </w:t>
      </w:r>
      <w:r w:rsidR="00A96A9D">
        <w:t>unqualified nonprofits</w:t>
      </w:r>
      <w:r w:rsidR="00451279" w:rsidRPr="004D7DFE">
        <w:t xml:space="preserve">. </w:t>
      </w:r>
      <w:r w:rsidR="006A6EB7">
        <w:t>Q</w:t>
      </w:r>
      <w:r w:rsidR="00C12A5D" w:rsidRPr="004D7DFE">
        <w:t>uit</w:t>
      </w:r>
      <w:r w:rsidR="006A6EB7">
        <w:t>e</w:t>
      </w:r>
      <w:r w:rsidR="00C12A5D" w:rsidRPr="004D7DFE">
        <w:t xml:space="preserve"> understan</w:t>
      </w:r>
      <w:r w:rsidR="00451279" w:rsidRPr="004D7DFE">
        <w:t>dably,</w:t>
      </w:r>
      <w:r w:rsidR="00C12A5D" w:rsidRPr="004D7DFE">
        <w:t xml:space="preserve"> </w:t>
      </w:r>
      <w:r w:rsidR="006A6EB7">
        <w:t xml:space="preserve">all </w:t>
      </w:r>
      <w:r w:rsidR="00C12A5D" w:rsidRPr="004D7DFE">
        <w:t xml:space="preserve">the below-floor donations </w:t>
      </w:r>
      <w:r w:rsidR="006A6EB7">
        <w:t xml:space="preserve">came </w:t>
      </w:r>
      <w:r w:rsidR="00C12A5D" w:rsidRPr="004D7DFE">
        <w:t>from individuals</w:t>
      </w:r>
      <w:r w:rsidR="006A6EB7">
        <w:t xml:space="preserve">. Notably, however, </w:t>
      </w:r>
      <w:r w:rsidR="00451279" w:rsidRPr="004D7DFE">
        <w:t xml:space="preserve">most donations to </w:t>
      </w:r>
      <w:r w:rsidR="00A96A9D">
        <w:t>unqualified nonprofits</w:t>
      </w:r>
      <w:r w:rsidR="00451279" w:rsidRPr="004D7DFE">
        <w:t xml:space="preserve"> also </w:t>
      </w:r>
      <w:r w:rsidR="006A6EB7">
        <w:t xml:space="preserve">originated in </w:t>
      </w:r>
      <w:r w:rsidR="00451279" w:rsidRPr="004D7DFE">
        <w:t xml:space="preserve">individuals (only </w:t>
      </w:r>
      <w:r w:rsidR="00061B6B">
        <w:t>NIS</w:t>
      </w:r>
      <w:r w:rsidR="006A6EB7">
        <w:t> </w:t>
      </w:r>
      <w:r w:rsidR="00451279" w:rsidRPr="004D7DFE">
        <w:t xml:space="preserve">183 </w:t>
      </w:r>
      <w:r w:rsidR="003922FC">
        <w:t>million</w:t>
      </w:r>
      <w:r w:rsidR="00451279" w:rsidRPr="004D7DFE">
        <w:t xml:space="preserve"> out of </w:t>
      </w:r>
      <w:r w:rsidR="00061B6B">
        <w:t>NIS</w:t>
      </w:r>
      <w:r w:rsidR="006A6EB7">
        <w:t> </w:t>
      </w:r>
      <w:r w:rsidR="00451279" w:rsidRPr="004D7DFE">
        <w:t xml:space="preserve">1 </w:t>
      </w:r>
      <w:r w:rsidR="003922FC">
        <w:t>billion</w:t>
      </w:r>
      <w:r w:rsidR="00451279" w:rsidRPr="004D7DFE">
        <w:t xml:space="preserve"> </w:t>
      </w:r>
      <w:r w:rsidR="006A6EB7">
        <w:t xml:space="preserve">was </w:t>
      </w:r>
      <w:r w:rsidR="00451279" w:rsidRPr="004D7DFE">
        <w:t xml:space="preserve">given by </w:t>
      </w:r>
      <w:r w:rsidR="00A26ECF">
        <w:t>companies</w:t>
      </w:r>
      <w:r w:rsidR="003922FC">
        <w:t>)</w:t>
      </w:r>
      <w:r w:rsidR="00AA1F47" w:rsidRPr="00AA1F47">
        <w:t xml:space="preserve"> </w:t>
      </w:r>
      <w:r w:rsidR="00AA1F47" w:rsidRPr="004D7DFE">
        <w:t>(Table 2)</w:t>
      </w:r>
      <w:r w:rsidR="00451279" w:rsidRPr="004D7DFE">
        <w:t>.</w:t>
      </w:r>
      <w:r w:rsidR="00D75A55" w:rsidRPr="004D7DFE">
        <w:t xml:space="preserve"> </w:t>
      </w:r>
      <w:r w:rsidR="006A6EB7">
        <w:t>It would seem that d</w:t>
      </w:r>
      <w:r w:rsidR="003A3156" w:rsidRPr="004D7DFE">
        <w:t xml:space="preserve">onations above </w:t>
      </w:r>
      <w:r w:rsidR="006A6EB7">
        <w:t xml:space="preserve">the </w:t>
      </w:r>
      <w:r w:rsidR="003A3156" w:rsidRPr="004D7DFE">
        <w:t xml:space="preserve">credit </w:t>
      </w:r>
      <w:r w:rsidR="00203555">
        <w:t>ceiling</w:t>
      </w:r>
      <w:r w:rsidR="003A3156" w:rsidRPr="004D7DFE">
        <w:t xml:space="preserve"> should </w:t>
      </w:r>
      <w:r w:rsidR="0045323A">
        <w:t xml:space="preserve">also </w:t>
      </w:r>
      <w:r w:rsidR="003A3156" w:rsidRPr="004D7DFE">
        <w:t xml:space="preserve">have been included </w:t>
      </w:r>
      <w:r w:rsidR="006A6EB7">
        <w:t xml:space="preserve">among </w:t>
      </w:r>
      <w:r w:rsidR="003A3156" w:rsidRPr="004D7DFE">
        <w:t xml:space="preserve">the </w:t>
      </w:r>
      <w:r w:rsidR="00D75A55" w:rsidRPr="004D7DFE">
        <w:t>ineligible donations</w:t>
      </w:r>
      <w:r w:rsidR="003A3156" w:rsidRPr="004D7DFE">
        <w:t>.</w:t>
      </w:r>
      <w:r w:rsidR="00D75A55" w:rsidRPr="004D7DFE">
        <w:t xml:space="preserve"> </w:t>
      </w:r>
      <w:r w:rsidR="003A3156" w:rsidRPr="004D7DFE">
        <w:t xml:space="preserve">However, since donors report them when claiming </w:t>
      </w:r>
      <w:r w:rsidR="006A6EB7">
        <w:t xml:space="preserve">a </w:t>
      </w:r>
      <w:r w:rsidR="003A3156" w:rsidRPr="004D7DFE">
        <w:t>tax benefit (although they would receive only partial credit), they are</w:t>
      </w:r>
      <w:r w:rsidR="00D75A55" w:rsidRPr="004D7DFE">
        <w:t xml:space="preserve"> included in the eligible </w:t>
      </w:r>
      <w:r w:rsidR="003A3156" w:rsidRPr="004D7DFE">
        <w:t xml:space="preserve">donations. In 2018, donations </w:t>
      </w:r>
      <w:r w:rsidR="006A6EB7">
        <w:t xml:space="preserve">in excess of </w:t>
      </w:r>
      <w:r w:rsidR="003A3156" w:rsidRPr="004D7DFE">
        <w:t xml:space="preserve">the credit </w:t>
      </w:r>
      <w:r w:rsidR="00203555">
        <w:t>ceiling</w:t>
      </w:r>
      <w:r w:rsidR="003A3156" w:rsidRPr="004D7DFE">
        <w:t xml:space="preserve"> </w:t>
      </w:r>
      <w:r w:rsidR="002C4528">
        <w:t>we</w:t>
      </w:r>
      <w:r w:rsidR="006A6EB7">
        <w:t xml:space="preserve">re </w:t>
      </w:r>
      <w:r w:rsidR="003A3156" w:rsidRPr="004D7DFE">
        <w:t xml:space="preserve">estimated </w:t>
      </w:r>
      <w:r w:rsidR="006A6EB7">
        <w:t xml:space="preserve">at </w:t>
      </w:r>
      <w:r w:rsidR="00061B6B">
        <w:t>NIS</w:t>
      </w:r>
      <w:r w:rsidR="006A6EB7">
        <w:t> </w:t>
      </w:r>
      <w:r w:rsidR="003A3156" w:rsidRPr="004D7DFE">
        <w:t>150</w:t>
      </w:r>
      <w:r w:rsidR="003922FC">
        <w:t xml:space="preserve"> million</w:t>
      </w:r>
      <w:r w:rsidR="004B7492">
        <w:t xml:space="preserve"> (2% of total donations)</w:t>
      </w:r>
      <w:r w:rsidR="003A3156" w:rsidRPr="004D7DFE">
        <w:t>.</w:t>
      </w:r>
      <w:r w:rsidR="00EB729D" w:rsidRPr="004D7DFE">
        <w:t xml:space="preserve"> </w:t>
      </w:r>
    </w:p>
    <w:p w14:paraId="2BB4A9C8" w14:textId="7E2893DE" w:rsidR="00DD609A" w:rsidRPr="004D7DFE" w:rsidRDefault="003A3156">
      <w:r w:rsidRPr="004D7DFE">
        <w:t>T</w:t>
      </w:r>
      <w:r w:rsidR="00451279" w:rsidRPr="004D7DFE">
        <w:t xml:space="preserve">hus, </w:t>
      </w:r>
      <w:r w:rsidR="00D75A55" w:rsidRPr="004D7DFE">
        <w:t>t</w:t>
      </w:r>
      <w:r w:rsidR="00451279" w:rsidRPr="004D7DFE">
        <w:t xml:space="preserve">he eligible donations </w:t>
      </w:r>
      <w:r w:rsidRPr="004D7DFE">
        <w:t xml:space="preserve">(for partial or full credit) </w:t>
      </w:r>
      <w:r w:rsidR="00451279" w:rsidRPr="004D7DFE">
        <w:t>amount</w:t>
      </w:r>
      <w:r w:rsidR="003922FC">
        <w:t>ed</w:t>
      </w:r>
      <w:r w:rsidR="00451279" w:rsidRPr="004D7DFE">
        <w:t xml:space="preserve"> to</w:t>
      </w:r>
      <w:r w:rsidR="00061B6B">
        <w:t xml:space="preserve"> NIS</w:t>
      </w:r>
      <w:r w:rsidR="006A6EB7">
        <w:t> </w:t>
      </w:r>
      <w:r w:rsidR="00451279" w:rsidRPr="004D7DFE">
        <w:t>5.4</w:t>
      </w:r>
      <w:r w:rsidR="003922FC">
        <w:t xml:space="preserve"> billion</w:t>
      </w:r>
      <w:r w:rsidR="009916BD" w:rsidRPr="004D7DFE">
        <w:t xml:space="preserve">. Almost half of </w:t>
      </w:r>
      <w:r w:rsidR="006A6EB7">
        <w:t xml:space="preserve">this total </w:t>
      </w:r>
      <w:r w:rsidR="009916BD" w:rsidRPr="004D7DFE">
        <w:t>comprised individuals</w:t>
      </w:r>
      <w:r w:rsidR="00E501A8">
        <w:t>’</w:t>
      </w:r>
      <w:r w:rsidR="009916BD" w:rsidRPr="004D7DFE">
        <w:t xml:space="preserve"> donations </w:t>
      </w:r>
      <w:r w:rsidR="006A6EB7">
        <w:t xml:space="preserve">in sums smaller than </w:t>
      </w:r>
      <w:r w:rsidR="00061B6B">
        <w:t>NIS</w:t>
      </w:r>
      <w:r w:rsidR="009916BD" w:rsidRPr="004D7DFE">
        <w:t xml:space="preserve"> </w:t>
      </w:r>
      <w:r w:rsidR="00D756A9">
        <w:t xml:space="preserve">20K </w:t>
      </w:r>
      <w:r w:rsidR="009916BD" w:rsidRPr="004D7DFE">
        <w:t xml:space="preserve">and 25% </w:t>
      </w:r>
      <w:r w:rsidR="006A6EB7">
        <w:t xml:space="preserve">originated in </w:t>
      </w:r>
      <w:r w:rsidR="009916BD" w:rsidRPr="004D7DFE">
        <w:t>individuals</w:t>
      </w:r>
      <w:r w:rsidR="00E501A8">
        <w:t>’</w:t>
      </w:r>
      <w:r w:rsidR="009916BD" w:rsidRPr="004D7DFE">
        <w:t xml:space="preserve"> donations </w:t>
      </w:r>
      <w:r w:rsidR="006A6EB7">
        <w:t xml:space="preserve">smaller than </w:t>
      </w:r>
      <w:r w:rsidR="00061B6B">
        <w:t>NIS</w:t>
      </w:r>
      <w:r w:rsidR="002C1D67">
        <w:t> </w:t>
      </w:r>
      <w:r w:rsidR="009916BD" w:rsidRPr="004D7DFE">
        <w:t>2</w:t>
      </w:r>
      <w:r w:rsidR="006A6EB7">
        <w:t>,000</w:t>
      </w:r>
      <w:r w:rsidR="009916BD" w:rsidRPr="004D7DFE">
        <w:t xml:space="preserve"> </w:t>
      </w:r>
      <w:r w:rsidR="00451279" w:rsidRPr="004D7DFE">
        <w:t>(</w:t>
      </w:r>
      <w:r w:rsidR="00944129" w:rsidRPr="004D7DFE">
        <w:t>Table</w:t>
      </w:r>
      <w:r w:rsidR="00451279" w:rsidRPr="004D7DFE">
        <w:t xml:space="preserve"> 2)</w:t>
      </w:r>
      <w:r w:rsidR="00D75A55" w:rsidRPr="004D7DFE">
        <w:t>.</w:t>
      </w:r>
      <w:r w:rsidR="00C12A5D" w:rsidRPr="004D7DFE">
        <w:t xml:space="preserve"> </w:t>
      </w:r>
    </w:p>
    <w:p w14:paraId="1863B44B" w14:textId="2262131E" w:rsidR="00A7375D" w:rsidRDefault="00A7375D" w:rsidP="004B7492">
      <w:pPr>
        <w:pStyle w:val="Heading3"/>
      </w:pPr>
      <w:r w:rsidRPr="00C9627A">
        <w:t xml:space="preserve">Table </w:t>
      </w:r>
      <w:r w:rsidR="003D6CE1" w:rsidRPr="00C9627A">
        <w:t>2</w:t>
      </w:r>
      <w:r w:rsidR="003D6F2F" w:rsidRPr="00C9627A">
        <w:t>.</w:t>
      </w:r>
      <w:r w:rsidRPr="00C9627A">
        <w:t xml:space="preserve"> Total </w:t>
      </w:r>
      <w:r w:rsidR="009F294C">
        <w:t>d</w:t>
      </w:r>
      <w:r w:rsidRPr="00C9627A">
        <w:t>onations</w:t>
      </w:r>
      <w:r w:rsidR="003D6CE1" w:rsidRPr="00C9627A">
        <w:t>,</w:t>
      </w:r>
      <w:r w:rsidRPr="00C9627A">
        <w:t xml:space="preserve"> </w:t>
      </w:r>
      <w:r w:rsidR="009F294C">
        <w:t>e</w:t>
      </w:r>
      <w:r w:rsidRPr="00C9627A">
        <w:t xml:space="preserve">ligible and </w:t>
      </w:r>
      <w:r w:rsidR="009F294C">
        <w:t>i</w:t>
      </w:r>
      <w:r w:rsidRPr="00C9627A">
        <w:t>neligible donations</w:t>
      </w:r>
      <w:r w:rsidR="00D756A9">
        <w:t>,</w:t>
      </w:r>
      <w:r w:rsidR="003631F8" w:rsidRPr="00C9627A">
        <w:t xml:space="preserve"> </w:t>
      </w:r>
      <w:r w:rsidR="003922FC" w:rsidRPr="00C9627A">
        <w:t>NIS million</w:t>
      </w:r>
      <w:r w:rsidR="003631F8" w:rsidRPr="00C9627A">
        <w:t>,</w:t>
      </w:r>
      <w:r w:rsidRPr="00C9627A">
        <w:t xml:space="preserve"> by source and range</w:t>
      </w:r>
    </w:p>
    <w:p w14:paraId="38F0CE09" w14:textId="77777777" w:rsidR="00C9627A" w:rsidRPr="00C9627A" w:rsidRDefault="00C9627A" w:rsidP="00C9627A"/>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298"/>
        <w:gridCol w:w="1299"/>
        <w:gridCol w:w="1299"/>
        <w:gridCol w:w="1298"/>
        <w:gridCol w:w="1299"/>
        <w:gridCol w:w="1299"/>
      </w:tblGrid>
      <w:tr w:rsidR="00C10753" w:rsidRPr="004D7DFE" w14:paraId="6636E7B1" w14:textId="77777777" w:rsidTr="00E133B9">
        <w:tc>
          <w:tcPr>
            <w:tcW w:w="2268" w:type="dxa"/>
            <w:tcBorders>
              <w:top w:val="single" w:sz="8" w:space="0" w:color="auto"/>
            </w:tcBorders>
          </w:tcPr>
          <w:p w14:paraId="659E0DC1" w14:textId="04F514A5" w:rsidR="00C10753" w:rsidRPr="004D7DFE" w:rsidRDefault="00E13123" w:rsidP="00E133B9">
            <w:pPr>
              <w:spacing w:after="120"/>
            </w:pPr>
            <w:r w:rsidRPr="004D7DFE">
              <w:t>R</w:t>
            </w:r>
            <w:r w:rsidR="00C10753" w:rsidRPr="004D7DFE">
              <w:t>ange</w:t>
            </w:r>
          </w:p>
        </w:tc>
        <w:tc>
          <w:tcPr>
            <w:tcW w:w="2597" w:type="dxa"/>
            <w:gridSpan w:val="2"/>
            <w:tcBorders>
              <w:top w:val="single" w:sz="8" w:space="0" w:color="auto"/>
            </w:tcBorders>
          </w:tcPr>
          <w:p w14:paraId="5A197BE8" w14:textId="1C94B64A" w:rsidR="00C10753" w:rsidRPr="004D7DFE" w:rsidRDefault="00C10753" w:rsidP="00E133B9">
            <w:pPr>
              <w:spacing w:after="120"/>
              <w:ind w:firstLine="0"/>
              <w:jc w:val="center"/>
            </w:pPr>
            <w:r w:rsidRPr="004D7DFE">
              <w:t>All donations</w:t>
            </w:r>
          </w:p>
        </w:tc>
        <w:tc>
          <w:tcPr>
            <w:tcW w:w="2597" w:type="dxa"/>
            <w:gridSpan w:val="2"/>
            <w:tcBorders>
              <w:top w:val="single" w:sz="8" w:space="0" w:color="auto"/>
            </w:tcBorders>
            <w:shd w:val="clear" w:color="auto" w:fill="auto"/>
          </w:tcPr>
          <w:p w14:paraId="7F705E8E" w14:textId="5F112869" w:rsidR="00C10753" w:rsidRPr="004D7DFE" w:rsidRDefault="00C10753" w:rsidP="00E133B9">
            <w:pPr>
              <w:spacing w:after="120"/>
              <w:ind w:firstLine="0"/>
              <w:jc w:val="center"/>
            </w:pPr>
            <w:r w:rsidRPr="004D7DFE">
              <w:t>Ineligible donations</w:t>
            </w:r>
          </w:p>
        </w:tc>
        <w:tc>
          <w:tcPr>
            <w:tcW w:w="2598" w:type="dxa"/>
            <w:gridSpan w:val="2"/>
            <w:tcBorders>
              <w:top w:val="single" w:sz="8" w:space="0" w:color="auto"/>
            </w:tcBorders>
          </w:tcPr>
          <w:p w14:paraId="5A2772F9" w14:textId="3F78F106" w:rsidR="00C10753" w:rsidRPr="004D7DFE" w:rsidRDefault="00C10753" w:rsidP="00E133B9">
            <w:pPr>
              <w:spacing w:after="120"/>
              <w:ind w:firstLine="0"/>
              <w:jc w:val="center"/>
            </w:pPr>
            <w:r w:rsidRPr="004D7DFE">
              <w:t>Eligible donations</w:t>
            </w:r>
          </w:p>
        </w:tc>
      </w:tr>
      <w:tr w:rsidR="00C10753" w:rsidRPr="004D7DFE" w14:paraId="1406388D" w14:textId="77777777" w:rsidTr="00DC209A">
        <w:tc>
          <w:tcPr>
            <w:tcW w:w="2268" w:type="dxa"/>
            <w:tcBorders>
              <w:bottom w:val="single" w:sz="12" w:space="0" w:color="auto"/>
            </w:tcBorders>
          </w:tcPr>
          <w:p w14:paraId="636359AD" w14:textId="77777777" w:rsidR="00C10753" w:rsidRPr="004D7DFE" w:rsidRDefault="00C10753" w:rsidP="00C9627A">
            <w:bookmarkStart w:id="7" w:name="_Hlk130124852"/>
          </w:p>
        </w:tc>
        <w:tc>
          <w:tcPr>
            <w:tcW w:w="1298" w:type="dxa"/>
            <w:tcBorders>
              <w:bottom w:val="single" w:sz="12" w:space="0" w:color="auto"/>
            </w:tcBorders>
          </w:tcPr>
          <w:p w14:paraId="75741CA8" w14:textId="77D29BFB" w:rsidR="00C10753" w:rsidRPr="004D7DFE" w:rsidRDefault="002C1D67">
            <w:pPr>
              <w:ind w:firstLine="0"/>
            </w:pPr>
            <w:r>
              <w:t>I</w:t>
            </w:r>
            <w:r w:rsidR="00C10753" w:rsidRPr="004D7DFE">
              <w:t>ndividual</w:t>
            </w:r>
          </w:p>
        </w:tc>
        <w:tc>
          <w:tcPr>
            <w:tcW w:w="1299" w:type="dxa"/>
            <w:tcBorders>
              <w:bottom w:val="single" w:sz="12" w:space="0" w:color="auto"/>
            </w:tcBorders>
          </w:tcPr>
          <w:p w14:paraId="306F4EA1" w14:textId="20011C5B" w:rsidR="00C10753" w:rsidRPr="004D7DFE" w:rsidRDefault="004B7492">
            <w:pPr>
              <w:ind w:firstLine="0"/>
              <w:jc w:val="center"/>
            </w:pPr>
            <w:r>
              <w:t>Corporate</w:t>
            </w:r>
          </w:p>
        </w:tc>
        <w:tc>
          <w:tcPr>
            <w:tcW w:w="1299" w:type="dxa"/>
            <w:tcBorders>
              <w:bottom w:val="single" w:sz="12" w:space="0" w:color="auto"/>
            </w:tcBorders>
            <w:shd w:val="clear" w:color="auto" w:fill="auto"/>
          </w:tcPr>
          <w:p w14:paraId="355DFDD2" w14:textId="7DC1B006" w:rsidR="00C10753" w:rsidRPr="004D7DFE" w:rsidRDefault="002C1D67">
            <w:pPr>
              <w:ind w:firstLine="0"/>
              <w:jc w:val="center"/>
            </w:pPr>
            <w:r>
              <w:t>I</w:t>
            </w:r>
            <w:r w:rsidR="00C10753" w:rsidRPr="004D7DFE">
              <w:t>ndividual</w:t>
            </w:r>
          </w:p>
        </w:tc>
        <w:tc>
          <w:tcPr>
            <w:tcW w:w="1298" w:type="dxa"/>
            <w:tcBorders>
              <w:bottom w:val="single" w:sz="12" w:space="0" w:color="auto"/>
            </w:tcBorders>
            <w:shd w:val="clear" w:color="auto" w:fill="auto"/>
          </w:tcPr>
          <w:p w14:paraId="71DF350E" w14:textId="20B8A102" w:rsidR="00C10753" w:rsidRPr="004D7DFE" w:rsidRDefault="004B7492">
            <w:pPr>
              <w:ind w:firstLine="0"/>
              <w:jc w:val="center"/>
            </w:pPr>
            <w:r>
              <w:t>Corporate</w:t>
            </w:r>
          </w:p>
        </w:tc>
        <w:tc>
          <w:tcPr>
            <w:tcW w:w="1299" w:type="dxa"/>
            <w:tcBorders>
              <w:bottom w:val="single" w:sz="12" w:space="0" w:color="auto"/>
            </w:tcBorders>
          </w:tcPr>
          <w:p w14:paraId="392837AD" w14:textId="0BDEF8E3" w:rsidR="00C10753" w:rsidRPr="004D7DFE" w:rsidRDefault="002C1D67">
            <w:pPr>
              <w:ind w:firstLine="0"/>
              <w:jc w:val="center"/>
            </w:pPr>
            <w:r>
              <w:t>I</w:t>
            </w:r>
            <w:r w:rsidR="00C10753" w:rsidRPr="004D7DFE">
              <w:t>ndividual</w:t>
            </w:r>
          </w:p>
        </w:tc>
        <w:tc>
          <w:tcPr>
            <w:tcW w:w="1299" w:type="dxa"/>
            <w:tcBorders>
              <w:bottom w:val="single" w:sz="12" w:space="0" w:color="auto"/>
            </w:tcBorders>
          </w:tcPr>
          <w:p w14:paraId="027C5EEF" w14:textId="2C61BA46" w:rsidR="00C10753" w:rsidRPr="004D7DFE" w:rsidRDefault="00081B51">
            <w:pPr>
              <w:ind w:firstLine="0"/>
              <w:jc w:val="center"/>
            </w:pPr>
            <w:r>
              <w:t>Corporate</w:t>
            </w:r>
          </w:p>
        </w:tc>
      </w:tr>
      <w:bookmarkEnd w:id="7"/>
      <w:tr w:rsidR="00C06CBF" w:rsidRPr="004D7DFE" w14:paraId="23B4000E" w14:textId="77777777" w:rsidTr="00DC209A">
        <w:trPr>
          <w:trHeight w:val="714"/>
        </w:trPr>
        <w:tc>
          <w:tcPr>
            <w:tcW w:w="2268" w:type="dxa"/>
            <w:tcBorders>
              <w:top w:val="single" w:sz="12" w:space="0" w:color="auto"/>
            </w:tcBorders>
            <w:vAlign w:val="center"/>
          </w:tcPr>
          <w:p w14:paraId="43BA2267" w14:textId="4D154F7B" w:rsidR="00965ACF" w:rsidRPr="005D6575" w:rsidRDefault="00C06CBF" w:rsidP="00C9627A">
            <w:pPr>
              <w:rPr>
                <w:b/>
                <w:bCs/>
              </w:rPr>
            </w:pPr>
            <w:r w:rsidRPr="005D6575">
              <w:rPr>
                <w:b/>
                <w:bCs/>
              </w:rPr>
              <w:t>Total</w:t>
            </w:r>
          </w:p>
        </w:tc>
        <w:tc>
          <w:tcPr>
            <w:tcW w:w="2597" w:type="dxa"/>
            <w:gridSpan w:val="2"/>
            <w:tcBorders>
              <w:top w:val="single" w:sz="12" w:space="0" w:color="auto"/>
            </w:tcBorders>
            <w:shd w:val="clear" w:color="auto" w:fill="auto"/>
            <w:vAlign w:val="center"/>
          </w:tcPr>
          <w:p w14:paraId="1B94C21E" w14:textId="38AF694B" w:rsidR="00C06CBF" w:rsidRPr="005D6575" w:rsidRDefault="00C06CBF" w:rsidP="00C9627A">
            <w:pPr>
              <w:jc w:val="center"/>
              <w:rPr>
                <w:b/>
                <w:bCs/>
              </w:rPr>
            </w:pPr>
            <w:r w:rsidRPr="005D6575">
              <w:rPr>
                <w:b/>
                <w:bCs/>
              </w:rPr>
              <w:t>6,985</w:t>
            </w:r>
          </w:p>
        </w:tc>
        <w:tc>
          <w:tcPr>
            <w:tcW w:w="2597" w:type="dxa"/>
            <w:gridSpan w:val="2"/>
            <w:tcBorders>
              <w:top w:val="single" w:sz="12" w:space="0" w:color="auto"/>
            </w:tcBorders>
            <w:shd w:val="clear" w:color="auto" w:fill="auto"/>
            <w:vAlign w:val="center"/>
          </w:tcPr>
          <w:p w14:paraId="3B83FA3B" w14:textId="0BA12BC7" w:rsidR="00C06CBF" w:rsidRPr="005D6575" w:rsidRDefault="00965ACF" w:rsidP="00C9627A">
            <w:pPr>
              <w:jc w:val="center"/>
              <w:rPr>
                <w:b/>
                <w:bCs/>
              </w:rPr>
            </w:pPr>
            <w:r w:rsidRPr="005D6575">
              <w:rPr>
                <w:b/>
                <w:bCs/>
              </w:rPr>
              <w:t>1,612</w:t>
            </w:r>
          </w:p>
        </w:tc>
        <w:tc>
          <w:tcPr>
            <w:tcW w:w="2598" w:type="dxa"/>
            <w:gridSpan w:val="2"/>
            <w:tcBorders>
              <w:top w:val="single" w:sz="12" w:space="0" w:color="auto"/>
            </w:tcBorders>
            <w:vAlign w:val="center"/>
          </w:tcPr>
          <w:p w14:paraId="59B22EA3" w14:textId="26905F35" w:rsidR="00C06CBF" w:rsidRPr="005D6575" w:rsidRDefault="00965ACF" w:rsidP="00C9627A">
            <w:pPr>
              <w:jc w:val="center"/>
              <w:rPr>
                <w:b/>
                <w:bCs/>
              </w:rPr>
            </w:pPr>
            <w:r w:rsidRPr="005D6575">
              <w:rPr>
                <w:b/>
                <w:bCs/>
              </w:rPr>
              <w:t>5.373</w:t>
            </w:r>
          </w:p>
        </w:tc>
      </w:tr>
      <w:tr w:rsidR="00965ACF" w:rsidRPr="004D7DFE" w14:paraId="64EC3749" w14:textId="77777777" w:rsidTr="00E133B9">
        <w:tc>
          <w:tcPr>
            <w:tcW w:w="2268" w:type="dxa"/>
          </w:tcPr>
          <w:p w14:paraId="4DB42A26" w14:textId="64D4B04A" w:rsidR="00965ACF" w:rsidRPr="005D6575" w:rsidRDefault="00965ACF" w:rsidP="00D756A9">
            <w:pPr>
              <w:rPr>
                <w:b/>
                <w:bCs/>
              </w:rPr>
            </w:pPr>
            <w:r w:rsidRPr="005D6575">
              <w:rPr>
                <w:b/>
                <w:bCs/>
              </w:rPr>
              <w:t>Total by source</w:t>
            </w:r>
          </w:p>
        </w:tc>
        <w:tc>
          <w:tcPr>
            <w:tcW w:w="1298" w:type="dxa"/>
            <w:shd w:val="clear" w:color="auto" w:fill="auto"/>
          </w:tcPr>
          <w:p w14:paraId="13C1E519" w14:textId="53229A92" w:rsidR="00965ACF" w:rsidRPr="005D6575" w:rsidRDefault="00965ACF" w:rsidP="00840709">
            <w:pPr>
              <w:ind w:firstLine="0"/>
              <w:jc w:val="center"/>
              <w:rPr>
                <w:b/>
                <w:bCs/>
              </w:rPr>
            </w:pPr>
            <w:r w:rsidRPr="005D6575">
              <w:rPr>
                <w:b/>
                <w:bCs/>
              </w:rPr>
              <w:t>5,045</w:t>
            </w:r>
          </w:p>
        </w:tc>
        <w:tc>
          <w:tcPr>
            <w:tcW w:w="1299" w:type="dxa"/>
          </w:tcPr>
          <w:p w14:paraId="53F78CCC" w14:textId="56FFDD01" w:rsidR="00965ACF" w:rsidRPr="005D6575" w:rsidRDefault="00965ACF" w:rsidP="00840709">
            <w:pPr>
              <w:ind w:firstLine="0"/>
              <w:jc w:val="center"/>
              <w:rPr>
                <w:b/>
                <w:bCs/>
              </w:rPr>
            </w:pPr>
            <w:r w:rsidRPr="005D6575">
              <w:rPr>
                <w:b/>
                <w:bCs/>
              </w:rPr>
              <w:t>1,940</w:t>
            </w:r>
          </w:p>
        </w:tc>
        <w:tc>
          <w:tcPr>
            <w:tcW w:w="1299" w:type="dxa"/>
            <w:shd w:val="clear" w:color="auto" w:fill="auto"/>
          </w:tcPr>
          <w:p w14:paraId="6B18D5B7" w14:textId="30CE4981" w:rsidR="00965ACF" w:rsidRPr="005D6575" w:rsidRDefault="00965ACF" w:rsidP="00840709">
            <w:pPr>
              <w:ind w:firstLine="0"/>
              <w:jc w:val="center"/>
              <w:rPr>
                <w:b/>
                <w:bCs/>
              </w:rPr>
            </w:pPr>
            <w:r w:rsidRPr="005D6575">
              <w:rPr>
                <w:b/>
                <w:bCs/>
              </w:rPr>
              <w:t>1,429</w:t>
            </w:r>
          </w:p>
        </w:tc>
        <w:tc>
          <w:tcPr>
            <w:tcW w:w="1298" w:type="dxa"/>
            <w:shd w:val="clear" w:color="auto" w:fill="auto"/>
          </w:tcPr>
          <w:p w14:paraId="32CBAAB1" w14:textId="74E6A10B" w:rsidR="00965ACF" w:rsidRPr="005D6575" w:rsidRDefault="00965ACF" w:rsidP="00840709">
            <w:pPr>
              <w:ind w:firstLine="0"/>
              <w:jc w:val="center"/>
              <w:rPr>
                <w:b/>
                <w:bCs/>
              </w:rPr>
            </w:pPr>
            <w:r w:rsidRPr="005D6575">
              <w:rPr>
                <w:b/>
                <w:bCs/>
              </w:rPr>
              <w:t>183</w:t>
            </w:r>
          </w:p>
        </w:tc>
        <w:tc>
          <w:tcPr>
            <w:tcW w:w="1299" w:type="dxa"/>
          </w:tcPr>
          <w:p w14:paraId="5AE15A87" w14:textId="4EBD1244" w:rsidR="00965ACF" w:rsidRPr="005D6575" w:rsidRDefault="00965ACF" w:rsidP="00840709">
            <w:pPr>
              <w:ind w:firstLine="0"/>
              <w:jc w:val="center"/>
              <w:rPr>
                <w:b/>
                <w:bCs/>
              </w:rPr>
            </w:pPr>
            <w:r w:rsidRPr="005D6575">
              <w:rPr>
                <w:b/>
                <w:bCs/>
              </w:rPr>
              <w:t>3,616</w:t>
            </w:r>
          </w:p>
        </w:tc>
        <w:tc>
          <w:tcPr>
            <w:tcW w:w="1299" w:type="dxa"/>
          </w:tcPr>
          <w:p w14:paraId="107EBC23" w14:textId="46728A80" w:rsidR="00965ACF" w:rsidRPr="005D6575" w:rsidRDefault="00965ACF" w:rsidP="00840709">
            <w:pPr>
              <w:ind w:firstLine="0"/>
              <w:jc w:val="center"/>
              <w:rPr>
                <w:b/>
                <w:bCs/>
              </w:rPr>
            </w:pPr>
            <w:r w:rsidRPr="005D6575">
              <w:rPr>
                <w:b/>
                <w:bCs/>
              </w:rPr>
              <w:t>1,757</w:t>
            </w:r>
          </w:p>
        </w:tc>
      </w:tr>
      <w:tr w:rsidR="00ED2AB2" w:rsidRPr="004D7DFE" w14:paraId="236247EB" w14:textId="77777777" w:rsidTr="00E133B9">
        <w:tc>
          <w:tcPr>
            <w:tcW w:w="2268" w:type="dxa"/>
          </w:tcPr>
          <w:p w14:paraId="5511E7E6" w14:textId="2D9A6AFD" w:rsidR="00ED2AB2" w:rsidRPr="004D7DFE" w:rsidRDefault="00ED2AB2" w:rsidP="006D7452">
            <w:r w:rsidRPr="004D7DFE">
              <w:t>Up to NIS 18</w:t>
            </w:r>
            <w:r w:rsidR="006D7452">
              <w:t>0</w:t>
            </w:r>
          </w:p>
        </w:tc>
        <w:tc>
          <w:tcPr>
            <w:tcW w:w="1298" w:type="dxa"/>
            <w:shd w:val="clear" w:color="auto" w:fill="auto"/>
          </w:tcPr>
          <w:p w14:paraId="2AFA507A" w14:textId="0F4F5FAA" w:rsidR="00ED2AB2" w:rsidRPr="004D7DFE" w:rsidRDefault="00ED2AB2" w:rsidP="00840709">
            <w:pPr>
              <w:ind w:firstLine="0"/>
              <w:jc w:val="center"/>
            </w:pPr>
            <w:r w:rsidRPr="004D7DFE">
              <w:t>593</w:t>
            </w:r>
          </w:p>
        </w:tc>
        <w:tc>
          <w:tcPr>
            <w:tcW w:w="1299" w:type="dxa"/>
          </w:tcPr>
          <w:p w14:paraId="4458068D" w14:textId="40EAFEC8" w:rsidR="00ED2AB2" w:rsidRPr="004D7DFE" w:rsidRDefault="00ED2AB2" w:rsidP="00840709">
            <w:pPr>
              <w:ind w:firstLine="0"/>
              <w:jc w:val="center"/>
            </w:pPr>
            <w:r w:rsidRPr="004D7DFE">
              <w:t>-</w:t>
            </w:r>
          </w:p>
        </w:tc>
        <w:tc>
          <w:tcPr>
            <w:tcW w:w="1299" w:type="dxa"/>
            <w:shd w:val="clear" w:color="auto" w:fill="auto"/>
          </w:tcPr>
          <w:p w14:paraId="64D11356" w14:textId="2452C5BC" w:rsidR="00ED2AB2" w:rsidRPr="004D7DFE" w:rsidRDefault="00ED2AB2" w:rsidP="00840709">
            <w:pPr>
              <w:ind w:firstLine="0"/>
              <w:jc w:val="center"/>
            </w:pPr>
            <w:r w:rsidRPr="004D7DFE">
              <w:t>593</w:t>
            </w:r>
          </w:p>
        </w:tc>
        <w:tc>
          <w:tcPr>
            <w:tcW w:w="1298" w:type="dxa"/>
            <w:shd w:val="clear" w:color="auto" w:fill="auto"/>
          </w:tcPr>
          <w:p w14:paraId="43DFA954" w14:textId="123D19D9" w:rsidR="00ED2AB2" w:rsidRPr="004D7DFE" w:rsidRDefault="00ED2AB2" w:rsidP="00840709">
            <w:pPr>
              <w:ind w:firstLine="0"/>
              <w:jc w:val="center"/>
            </w:pPr>
            <w:r w:rsidRPr="004D7DFE">
              <w:t>-</w:t>
            </w:r>
          </w:p>
        </w:tc>
        <w:tc>
          <w:tcPr>
            <w:tcW w:w="1299" w:type="dxa"/>
          </w:tcPr>
          <w:p w14:paraId="00002DA3" w14:textId="157126EC" w:rsidR="00ED2AB2" w:rsidRPr="004D7DFE" w:rsidRDefault="00ED2AB2" w:rsidP="00840709">
            <w:pPr>
              <w:ind w:firstLine="0"/>
              <w:jc w:val="center"/>
            </w:pPr>
            <w:r w:rsidRPr="004D7DFE">
              <w:t>-</w:t>
            </w:r>
          </w:p>
        </w:tc>
        <w:tc>
          <w:tcPr>
            <w:tcW w:w="1299" w:type="dxa"/>
          </w:tcPr>
          <w:p w14:paraId="5FEE1DB4" w14:textId="5A150856" w:rsidR="00ED2AB2" w:rsidRPr="004D7DFE" w:rsidRDefault="00ED2AB2" w:rsidP="00840709">
            <w:pPr>
              <w:ind w:firstLine="0"/>
              <w:jc w:val="center"/>
            </w:pPr>
            <w:r w:rsidRPr="004D7DFE">
              <w:t>-</w:t>
            </w:r>
          </w:p>
        </w:tc>
      </w:tr>
      <w:tr w:rsidR="00ED2AB2" w:rsidRPr="004D7DFE" w14:paraId="53BD89C3" w14:textId="77777777" w:rsidTr="00E133B9">
        <w:tc>
          <w:tcPr>
            <w:tcW w:w="2268" w:type="dxa"/>
          </w:tcPr>
          <w:p w14:paraId="0C6DB70D" w14:textId="18074A53" w:rsidR="00ED2AB2" w:rsidRPr="004D7DFE" w:rsidRDefault="00ED2AB2" w:rsidP="006D7452">
            <w:r w:rsidRPr="004D7DFE">
              <w:t>NIS 180–2.000</w:t>
            </w:r>
          </w:p>
        </w:tc>
        <w:tc>
          <w:tcPr>
            <w:tcW w:w="1298" w:type="dxa"/>
          </w:tcPr>
          <w:p w14:paraId="6814156F" w14:textId="256E7F23" w:rsidR="00ED2AB2" w:rsidRPr="004D7DFE" w:rsidRDefault="00ED2AB2" w:rsidP="00840709">
            <w:pPr>
              <w:ind w:firstLine="0"/>
              <w:jc w:val="center"/>
            </w:pPr>
            <w:r w:rsidRPr="004D7DFE">
              <w:t>1,688</w:t>
            </w:r>
          </w:p>
        </w:tc>
        <w:tc>
          <w:tcPr>
            <w:tcW w:w="1299" w:type="dxa"/>
          </w:tcPr>
          <w:p w14:paraId="2DFCD5C5" w14:textId="1B103437" w:rsidR="00ED2AB2" w:rsidRPr="004D7DFE" w:rsidRDefault="00ED2AB2" w:rsidP="00840709">
            <w:pPr>
              <w:ind w:firstLine="0"/>
              <w:jc w:val="center"/>
            </w:pPr>
            <w:r w:rsidRPr="004D7DFE">
              <w:t>55</w:t>
            </w:r>
          </w:p>
        </w:tc>
        <w:tc>
          <w:tcPr>
            <w:tcW w:w="1299" w:type="dxa"/>
            <w:shd w:val="clear" w:color="auto" w:fill="auto"/>
          </w:tcPr>
          <w:p w14:paraId="387BD6B6" w14:textId="57AFD4EE" w:rsidR="00ED2AB2" w:rsidRPr="004D7DFE" w:rsidRDefault="00ED2AB2" w:rsidP="00840709">
            <w:pPr>
              <w:ind w:firstLine="0"/>
              <w:jc w:val="center"/>
            </w:pPr>
            <w:r w:rsidRPr="004D7DFE">
              <w:t>282</w:t>
            </w:r>
          </w:p>
        </w:tc>
        <w:tc>
          <w:tcPr>
            <w:tcW w:w="1298" w:type="dxa"/>
            <w:shd w:val="clear" w:color="auto" w:fill="auto"/>
          </w:tcPr>
          <w:p w14:paraId="01E8C648" w14:textId="0F889C16" w:rsidR="00ED2AB2" w:rsidRPr="004D7DFE" w:rsidRDefault="00ED2AB2" w:rsidP="00840709">
            <w:pPr>
              <w:ind w:firstLine="0"/>
              <w:jc w:val="center"/>
            </w:pPr>
            <w:r w:rsidRPr="004D7DFE">
              <w:t>9</w:t>
            </w:r>
          </w:p>
        </w:tc>
        <w:tc>
          <w:tcPr>
            <w:tcW w:w="1299" w:type="dxa"/>
          </w:tcPr>
          <w:p w14:paraId="57A1B311" w14:textId="06D8A182" w:rsidR="00ED2AB2" w:rsidRPr="004D7DFE" w:rsidRDefault="00ED2AB2" w:rsidP="00840709">
            <w:pPr>
              <w:ind w:firstLine="0"/>
              <w:jc w:val="center"/>
            </w:pPr>
            <w:r w:rsidRPr="004D7DFE">
              <w:t>1,406</w:t>
            </w:r>
          </w:p>
        </w:tc>
        <w:tc>
          <w:tcPr>
            <w:tcW w:w="1299" w:type="dxa"/>
          </w:tcPr>
          <w:p w14:paraId="65872780" w14:textId="3FB89D77" w:rsidR="00ED2AB2" w:rsidRPr="004D7DFE" w:rsidRDefault="00ED2AB2" w:rsidP="00840709">
            <w:pPr>
              <w:ind w:firstLine="0"/>
              <w:jc w:val="center"/>
            </w:pPr>
            <w:r w:rsidRPr="004D7DFE">
              <w:t>46</w:t>
            </w:r>
          </w:p>
        </w:tc>
      </w:tr>
      <w:tr w:rsidR="00ED2AB2" w:rsidRPr="004D7DFE" w14:paraId="26601B43" w14:textId="77777777" w:rsidTr="00E133B9">
        <w:tc>
          <w:tcPr>
            <w:tcW w:w="2268" w:type="dxa"/>
          </w:tcPr>
          <w:p w14:paraId="1EF54122" w14:textId="094BC46B" w:rsidR="00ED2AB2" w:rsidRPr="006473DD" w:rsidRDefault="00ED2AB2" w:rsidP="006D7452">
            <w:pPr>
              <w:rPr>
                <w:rtl/>
              </w:rPr>
            </w:pPr>
            <w:r w:rsidRPr="006473DD">
              <w:t>NIS 2</w:t>
            </w:r>
            <w:r w:rsidR="006D7452">
              <w:t>K</w:t>
            </w:r>
            <w:r w:rsidRPr="006473DD">
              <w:t>–20</w:t>
            </w:r>
            <w:r w:rsidR="006D7452">
              <w:t>K</w:t>
            </w:r>
          </w:p>
        </w:tc>
        <w:tc>
          <w:tcPr>
            <w:tcW w:w="1298" w:type="dxa"/>
          </w:tcPr>
          <w:p w14:paraId="41D082FA" w14:textId="287DC2A3" w:rsidR="00ED2AB2" w:rsidRPr="004D7DFE" w:rsidRDefault="00ED2AB2" w:rsidP="00840709">
            <w:pPr>
              <w:ind w:firstLine="0"/>
              <w:jc w:val="center"/>
            </w:pPr>
            <w:r w:rsidRPr="004D7DFE">
              <w:t>1,190</w:t>
            </w:r>
          </w:p>
        </w:tc>
        <w:tc>
          <w:tcPr>
            <w:tcW w:w="1299" w:type="dxa"/>
          </w:tcPr>
          <w:p w14:paraId="773D918D" w14:textId="7BA0A9F9" w:rsidR="00ED2AB2" w:rsidRPr="004D7DFE" w:rsidRDefault="00ED2AB2" w:rsidP="00840709">
            <w:pPr>
              <w:ind w:firstLine="0"/>
              <w:jc w:val="center"/>
            </w:pPr>
            <w:r w:rsidRPr="004D7DFE">
              <w:t>166</w:t>
            </w:r>
          </w:p>
        </w:tc>
        <w:tc>
          <w:tcPr>
            <w:tcW w:w="1299" w:type="dxa"/>
            <w:shd w:val="clear" w:color="auto" w:fill="auto"/>
          </w:tcPr>
          <w:p w14:paraId="1005BB2C" w14:textId="5DA5AF97" w:rsidR="00ED2AB2" w:rsidRPr="004D7DFE" w:rsidRDefault="00ED2AB2" w:rsidP="00840709">
            <w:pPr>
              <w:ind w:firstLine="0"/>
              <w:jc w:val="center"/>
            </w:pPr>
            <w:r w:rsidRPr="004D7DFE">
              <w:t>199</w:t>
            </w:r>
          </w:p>
        </w:tc>
        <w:tc>
          <w:tcPr>
            <w:tcW w:w="1298" w:type="dxa"/>
            <w:shd w:val="clear" w:color="auto" w:fill="auto"/>
          </w:tcPr>
          <w:p w14:paraId="46EA3EA8" w14:textId="384E10B1" w:rsidR="00ED2AB2" w:rsidRPr="004D7DFE" w:rsidRDefault="00ED2AB2" w:rsidP="00840709">
            <w:pPr>
              <w:ind w:firstLine="0"/>
              <w:jc w:val="center"/>
            </w:pPr>
            <w:r w:rsidRPr="004D7DFE">
              <w:t>28</w:t>
            </w:r>
          </w:p>
        </w:tc>
        <w:tc>
          <w:tcPr>
            <w:tcW w:w="1299" w:type="dxa"/>
          </w:tcPr>
          <w:p w14:paraId="23728B4D" w14:textId="25E3322A" w:rsidR="00ED2AB2" w:rsidRPr="004D7DFE" w:rsidRDefault="00ED2AB2" w:rsidP="00840709">
            <w:pPr>
              <w:ind w:firstLine="0"/>
              <w:jc w:val="center"/>
            </w:pPr>
            <w:r w:rsidRPr="004D7DFE">
              <w:t>991</w:t>
            </w:r>
          </w:p>
        </w:tc>
        <w:tc>
          <w:tcPr>
            <w:tcW w:w="1299" w:type="dxa"/>
          </w:tcPr>
          <w:p w14:paraId="7C56BB65" w14:textId="18084343" w:rsidR="00ED2AB2" w:rsidRPr="004D7DFE" w:rsidRDefault="00ED2AB2" w:rsidP="00840709">
            <w:pPr>
              <w:ind w:firstLine="0"/>
              <w:jc w:val="center"/>
            </w:pPr>
            <w:r w:rsidRPr="004D7DFE">
              <w:t>138</w:t>
            </w:r>
          </w:p>
        </w:tc>
      </w:tr>
      <w:tr w:rsidR="00ED2AB2" w:rsidRPr="004D7DFE" w14:paraId="66CEDC10" w14:textId="77777777" w:rsidTr="00E133B9">
        <w:tc>
          <w:tcPr>
            <w:tcW w:w="2268" w:type="dxa"/>
          </w:tcPr>
          <w:p w14:paraId="50029FB2" w14:textId="3ABAF91D" w:rsidR="00ED2AB2" w:rsidRPr="004D7DFE" w:rsidRDefault="00ED2AB2" w:rsidP="006D7452">
            <w:r w:rsidRPr="004D7DFE">
              <w:t>NIS 20</w:t>
            </w:r>
            <w:r w:rsidR="006D7452">
              <w:t>K</w:t>
            </w:r>
            <w:r w:rsidRPr="004D7DFE">
              <w:t>–100</w:t>
            </w:r>
            <w:r w:rsidR="006D7452">
              <w:t>K</w:t>
            </w:r>
          </w:p>
        </w:tc>
        <w:tc>
          <w:tcPr>
            <w:tcW w:w="1298" w:type="dxa"/>
          </w:tcPr>
          <w:p w14:paraId="0FB55F03" w14:textId="10091831" w:rsidR="00ED2AB2" w:rsidRPr="004D7DFE" w:rsidRDefault="00ED2AB2" w:rsidP="00840709">
            <w:pPr>
              <w:ind w:firstLine="0"/>
              <w:jc w:val="center"/>
            </w:pPr>
            <w:r w:rsidRPr="004D7DFE">
              <w:t>397</w:t>
            </w:r>
          </w:p>
        </w:tc>
        <w:tc>
          <w:tcPr>
            <w:tcW w:w="1299" w:type="dxa"/>
          </w:tcPr>
          <w:p w14:paraId="3C0AA66B" w14:textId="47F1C1C7" w:rsidR="00ED2AB2" w:rsidRPr="004D7DFE" w:rsidRDefault="00ED2AB2" w:rsidP="00840709">
            <w:pPr>
              <w:ind w:firstLine="0"/>
              <w:jc w:val="center"/>
            </w:pPr>
            <w:r w:rsidRPr="004D7DFE">
              <w:t>295</w:t>
            </w:r>
          </w:p>
        </w:tc>
        <w:tc>
          <w:tcPr>
            <w:tcW w:w="1299" w:type="dxa"/>
            <w:shd w:val="clear" w:color="auto" w:fill="auto"/>
          </w:tcPr>
          <w:p w14:paraId="7F9F36C7" w14:textId="20A3CF0E" w:rsidR="00ED2AB2" w:rsidRPr="004D7DFE" w:rsidRDefault="00ED2AB2" w:rsidP="00840709">
            <w:pPr>
              <w:ind w:firstLine="0"/>
              <w:jc w:val="center"/>
            </w:pPr>
            <w:r w:rsidRPr="004D7DFE">
              <w:t>67</w:t>
            </w:r>
          </w:p>
        </w:tc>
        <w:tc>
          <w:tcPr>
            <w:tcW w:w="1298" w:type="dxa"/>
            <w:shd w:val="clear" w:color="auto" w:fill="auto"/>
          </w:tcPr>
          <w:p w14:paraId="1A055D51" w14:textId="474B04CE" w:rsidR="00ED2AB2" w:rsidRPr="004D7DFE" w:rsidRDefault="00ED2AB2" w:rsidP="00840709">
            <w:pPr>
              <w:ind w:firstLine="0"/>
              <w:jc w:val="center"/>
            </w:pPr>
            <w:r w:rsidRPr="004D7DFE">
              <w:t>49</w:t>
            </w:r>
          </w:p>
        </w:tc>
        <w:tc>
          <w:tcPr>
            <w:tcW w:w="1299" w:type="dxa"/>
          </w:tcPr>
          <w:p w14:paraId="5AD9AAFD" w14:textId="24043FEF" w:rsidR="00ED2AB2" w:rsidRPr="004D7DFE" w:rsidRDefault="00ED2AB2" w:rsidP="00840709">
            <w:pPr>
              <w:ind w:firstLine="0"/>
              <w:jc w:val="center"/>
            </w:pPr>
            <w:r w:rsidRPr="004D7DFE">
              <w:t>330</w:t>
            </w:r>
          </w:p>
        </w:tc>
        <w:tc>
          <w:tcPr>
            <w:tcW w:w="1299" w:type="dxa"/>
          </w:tcPr>
          <w:p w14:paraId="6B819F72" w14:textId="52157948" w:rsidR="00ED2AB2" w:rsidRPr="004D7DFE" w:rsidRDefault="00ED2AB2" w:rsidP="00840709">
            <w:pPr>
              <w:ind w:firstLine="0"/>
              <w:jc w:val="center"/>
            </w:pPr>
            <w:r w:rsidRPr="004D7DFE">
              <w:t>246</w:t>
            </w:r>
          </w:p>
        </w:tc>
      </w:tr>
      <w:tr w:rsidR="00ED2AB2" w:rsidRPr="004D7DFE" w14:paraId="3995476A" w14:textId="77777777" w:rsidTr="00E133B9">
        <w:tc>
          <w:tcPr>
            <w:tcW w:w="2268" w:type="dxa"/>
          </w:tcPr>
          <w:p w14:paraId="28DD3133" w14:textId="31F3A8E0" w:rsidR="006D7452" w:rsidRPr="004D7DFE" w:rsidRDefault="00ED2AB2" w:rsidP="006D7452">
            <w:r w:rsidRPr="004D7DFE">
              <w:t>NIS 100</w:t>
            </w:r>
            <w:r w:rsidR="006D7452">
              <w:t>K</w:t>
            </w:r>
            <w:r w:rsidRPr="004D7DFE">
              <w:t xml:space="preserve"> –</w:t>
            </w:r>
            <w:r w:rsidR="006D7452">
              <w:t xml:space="preserve"> </w:t>
            </w:r>
            <w:r w:rsidRPr="004D7DFE">
              <w:t>NIS 1</w:t>
            </w:r>
            <w:r w:rsidR="006D7452">
              <w:t>M</w:t>
            </w:r>
          </w:p>
        </w:tc>
        <w:tc>
          <w:tcPr>
            <w:tcW w:w="1298" w:type="dxa"/>
          </w:tcPr>
          <w:p w14:paraId="48B52DC5" w14:textId="1CDAA79C" w:rsidR="00ED2AB2" w:rsidRPr="004D7DFE" w:rsidRDefault="00ED2AB2" w:rsidP="00840709">
            <w:pPr>
              <w:ind w:firstLine="0"/>
              <w:jc w:val="center"/>
            </w:pPr>
            <w:r w:rsidRPr="004D7DFE">
              <w:t>514</w:t>
            </w:r>
          </w:p>
        </w:tc>
        <w:tc>
          <w:tcPr>
            <w:tcW w:w="1299" w:type="dxa"/>
          </w:tcPr>
          <w:p w14:paraId="69A9B9E7" w14:textId="0B5CC718" w:rsidR="00ED2AB2" w:rsidRPr="004D7DFE" w:rsidRDefault="00ED2AB2" w:rsidP="00840709">
            <w:pPr>
              <w:ind w:firstLine="0"/>
              <w:jc w:val="center"/>
            </w:pPr>
            <w:r w:rsidRPr="004D7DFE">
              <w:t>576</w:t>
            </w:r>
          </w:p>
        </w:tc>
        <w:tc>
          <w:tcPr>
            <w:tcW w:w="1299" w:type="dxa"/>
            <w:shd w:val="clear" w:color="auto" w:fill="auto"/>
          </w:tcPr>
          <w:p w14:paraId="2F4DBCDE" w14:textId="014E98C6" w:rsidR="00ED2AB2" w:rsidRPr="004D7DFE" w:rsidRDefault="00ED2AB2" w:rsidP="00840709">
            <w:pPr>
              <w:ind w:firstLine="0"/>
              <w:jc w:val="center"/>
            </w:pPr>
            <w:r w:rsidRPr="004D7DFE">
              <w:t>69</w:t>
            </w:r>
          </w:p>
        </w:tc>
        <w:tc>
          <w:tcPr>
            <w:tcW w:w="1298" w:type="dxa"/>
            <w:shd w:val="clear" w:color="auto" w:fill="auto"/>
          </w:tcPr>
          <w:p w14:paraId="54536458" w14:textId="3F47881F" w:rsidR="00ED2AB2" w:rsidRPr="004D7DFE" w:rsidRDefault="00ED2AB2" w:rsidP="00840709">
            <w:pPr>
              <w:ind w:firstLine="0"/>
              <w:jc w:val="center"/>
            </w:pPr>
            <w:r w:rsidRPr="004D7DFE">
              <w:t>40</w:t>
            </w:r>
          </w:p>
        </w:tc>
        <w:tc>
          <w:tcPr>
            <w:tcW w:w="1299" w:type="dxa"/>
          </w:tcPr>
          <w:p w14:paraId="1E3D59B0" w14:textId="363DDCD6" w:rsidR="00ED2AB2" w:rsidRPr="004D7DFE" w:rsidRDefault="00ED2AB2" w:rsidP="00840709">
            <w:pPr>
              <w:ind w:firstLine="0"/>
              <w:jc w:val="center"/>
            </w:pPr>
            <w:r w:rsidRPr="004D7DFE">
              <w:t>445</w:t>
            </w:r>
          </w:p>
        </w:tc>
        <w:tc>
          <w:tcPr>
            <w:tcW w:w="1299" w:type="dxa"/>
          </w:tcPr>
          <w:p w14:paraId="32A686FC" w14:textId="7E4DDF4C" w:rsidR="00ED2AB2" w:rsidRPr="004D7DFE" w:rsidRDefault="00ED2AB2" w:rsidP="00840709">
            <w:pPr>
              <w:ind w:firstLine="0"/>
              <w:jc w:val="center"/>
            </w:pPr>
            <w:r w:rsidRPr="004D7DFE">
              <w:t>536</w:t>
            </w:r>
          </w:p>
        </w:tc>
      </w:tr>
      <w:tr w:rsidR="00ED2AB2" w:rsidRPr="004D7DFE" w14:paraId="2578BF3E" w14:textId="77777777" w:rsidTr="00E133B9">
        <w:tc>
          <w:tcPr>
            <w:tcW w:w="2268" w:type="dxa"/>
            <w:tcBorders>
              <w:bottom w:val="single" w:sz="8" w:space="0" w:color="auto"/>
            </w:tcBorders>
          </w:tcPr>
          <w:p w14:paraId="295AD967" w14:textId="5A68D8B4" w:rsidR="00ED2AB2" w:rsidRPr="004D7DFE" w:rsidRDefault="00ED2AB2" w:rsidP="00C9627A">
            <w:r w:rsidRPr="004D7DFE">
              <w:t>Above NIS 1</w:t>
            </w:r>
            <w:r w:rsidR="006D7452">
              <w:t>M</w:t>
            </w:r>
          </w:p>
        </w:tc>
        <w:tc>
          <w:tcPr>
            <w:tcW w:w="1298" w:type="dxa"/>
            <w:tcBorders>
              <w:bottom w:val="single" w:sz="8" w:space="0" w:color="auto"/>
            </w:tcBorders>
          </w:tcPr>
          <w:p w14:paraId="1D531CE9" w14:textId="0C7C537C" w:rsidR="00ED2AB2" w:rsidRPr="004D7DFE" w:rsidRDefault="00ED2AB2" w:rsidP="00840709">
            <w:pPr>
              <w:ind w:firstLine="0"/>
              <w:jc w:val="center"/>
            </w:pPr>
            <w:r w:rsidRPr="004D7DFE">
              <w:t>663</w:t>
            </w:r>
          </w:p>
        </w:tc>
        <w:tc>
          <w:tcPr>
            <w:tcW w:w="1299" w:type="dxa"/>
            <w:tcBorders>
              <w:bottom w:val="single" w:sz="8" w:space="0" w:color="auto"/>
            </w:tcBorders>
          </w:tcPr>
          <w:p w14:paraId="7783C5FD" w14:textId="189B6CAE" w:rsidR="00ED2AB2" w:rsidRPr="004D7DFE" w:rsidRDefault="00ED2AB2" w:rsidP="00840709">
            <w:pPr>
              <w:ind w:firstLine="0"/>
              <w:jc w:val="center"/>
            </w:pPr>
            <w:r w:rsidRPr="004D7DFE">
              <w:t>847</w:t>
            </w:r>
          </w:p>
        </w:tc>
        <w:tc>
          <w:tcPr>
            <w:tcW w:w="1299" w:type="dxa"/>
            <w:tcBorders>
              <w:bottom w:val="single" w:sz="8" w:space="0" w:color="auto"/>
            </w:tcBorders>
            <w:shd w:val="clear" w:color="auto" w:fill="auto"/>
          </w:tcPr>
          <w:p w14:paraId="0568FDCB" w14:textId="1DA4FE45" w:rsidR="00ED2AB2" w:rsidRPr="004D7DFE" w:rsidRDefault="00ED2AB2" w:rsidP="00840709">
            <w:pPr>
              <w:ind w:firstLine="0"/>
              <w:jc w:val="center"/>
            </w:pPr>
            <w:r w:rsidRPr="004D7DFE">
              <w:t>219</w:t>
            </w:r>
          </w:p>
        </w:tc>
        <w:tc>
          <w:tcPr>
            <w:tcW w:w="1298" w:type="dxa"/>
            <w:tcBorders>
              <w:bottom w:val="single" w:sz="8" w:space="0" w:color="auto"/>
            </w:tcBorders>
            <w:shd w:val="clear" w:color="auto" w:fill="auto"/>
          </w:tcPr>
          <w:p w14:paraId="27DD1051" w14:textId="5DBB533D" w:rsidR="00ED2AB2" w:rsidRPr="004D7DFE" w:rsidRDefault="00ED2AB2" w:rsidP="00840709">
            <w:pPr>
              <w:ind w:firstLine="0"/>
              <w:jc w:val="center"/>
            </w:pPr>
            <w:r w:rsidRPr="004D7DFE">
              <w:t>56</w:t>
            </w:r>
          </w:p>
        </w:tc>
        <w:tc>
          <w:tcPr>
            <w:tcW w:w="1299" w:type="dxa"/>
            <w:tcBorders>
              <w:bottom w:val="single" w:sz="8" w:space="0" w:color="auto"/>
            </w:tcBorders>
          </w:tcPr>
          <w:p w14:paraId="154F799E" w14:textId="76753182" w:rsidR="00ED2AB2" w:rsidRPr="004D7DFE" w:rsidRDefault="00ED2AB2" w:rsidP="00840709">
            <w:pPr>
              <w:ind w:firstLine="0"/>
              <w:jc w:val="center"/>
            </w:pPr>
            <w:r w:rsidRPr="004D7DFE">
              <w:t>444</w:t>
            </w:r>
          </w:p>
        </w:tc>
        <w:tc>
          <w:tcPr>
            <w:tcW w:w="1299" w:type="dxa"/>
            <w:tcBorders>
              <w:bottom w:val="single" w:sz="8" w:space="0" w:color="auto"/>
            </w:tcBorders>
          </w:tcPr>
          <w:p w14:paraId="1888DDFB" w14:textId="08F94D14" w:rsidR="00ED2AB2" w:rsidRPr="004D7DFE" w:rsidRDefault="00ED2AB2" w:rsidP="00840709">
            <w:pPr>
              <w:ind w:firstLine="0"/>
              <w:jc w:val="center"/>
            </w:pPr>
            <w:r w:rsidRPr="004D7DFE">
              <w:t>791</w:t>
            </w:r>
          </w:p>
        </w:tc>
      </w:tr>
    </w:tbl>
    <w:p w14:paraId="5E896BBE" w14:textId="77777777" w:rsidR="00407071" w:rsidRDefault="00407071"/>
    <w:p w14:paraId="675E69E6" w14:textId="18A822E4" w:rsidR="00944129" w:rsidRDefault="009916BD">
      <w:r w:rsidRPr="004D7DFE">
        <w:t xml:space="preserve">Out of </w:t>
      </w:r>
      <w:r w:rsidR="00900A0D" w:rsidRPr="004D7DFE">
        <w:t xml:space="preserve">the </w:t>
      </w:r>
      <w:r w:rsidR="002C1D67">
        <w:t>NIS </w:t>
      </w:r>
      <w:r w:rsidR="002C1D67" w:rsidRPr="004D7DFE">
        <w:t xml:space="preserve">5.4 </w:t>
      </w:r>
      <w:r w:rsidR="002C1D67">
        <w:t>billion</w:t>
      </w:r>
      <w:r w:rsidR="002C1D67" w:rsidRPr="004D7DFE">
        <w:t xml:space="preserve"> </w:t>
      </w:r>
      <w:r w:rsidR="002C1D67">
        <w:t xml:space="preserve">in </w:t>
      </w:r>
      <w:r w:rsidRPr="004D7DFE">
        <w:t>eligible donations</w:t>
      </w:r>
      <w:r w:rsidR="002C1D67">
        <w:t>,</w:t>
      </w:r>
      <w:r w:rsidR="00900A0D" w:rsidRPr="004D7DFE">
        <w:t xml:space="preserve"> donors claimed </w:t>
      </w:r>
      <w:r w:rsidR="002C1D67">
        <w:t xml:space="preserve">a </w:t>
      </w:r>
      <w:r w:rsidR="00900A0D" w:rsidRPr="004D7DFE">
        <w:t>tax benefit</w:t>
      </w:r>
      <w:r w:rsidR="00E036E9">
        <w:t xml:space="preserve"> for</w:t>
      </w:r>
      <w:r w:rsidR="00900A0D" w:rsidRPr="004D7DFE">
        <w:t xml:space="preserve"> </w:t>
      </w:r>
      <w:r w:rsidR="00D756A9">
        <w:t>NIS </w:t>
      </w:r>
      <w:r w:rsidR="00D756A9" w:rsidRPr="004D7DFE">
        <w:t>2.5</w:t>
      </w:r>
      <w:r w:rsidR="00D756A9">
        <w:t xml:space="preserve"> billion</w:t>
      </w:r>
      <w:r w:rsidR="00D756A9" w:rsidRPr="004D7DFE">
        <w:t xml:space="preserve"> </w:t>
      </w:r>
      <w:r w:rsidR="00D756A9">
        <w:t xml:space="preserve">in </w:t>
      </w:r>
      <w:r w:rsidR="00323128" w:rsidRPr="004D7DFE">
        <w:t>donations</w:t>
      </w:r>
      <w:r w:rsidR="00D756A9">
        <w:t>,</w:t>
      </w:r>
      <w:r w:rsidR="002C1D67">
        <w:t xml:space="preserve"> for an</w:t>
      </w:r>
      <w:r w:rsidR="000B766C" w:rsidRPr="004D7DFE">
        <w:t xml:space="preserve"> overall take-up </w:t>
      </w:r>
      <w:r w:rsidR="002C1D67">
        <w:t xml:space="preserve">rate of </w:t>
      </w:r>
      <w:r w:rsidR="00323128" w:rsidRPr="004D7DFE">
        <w:t>46% of eligible donations. Corpora</w:t>
      </w:r>
      <w:r w:rsidR="002C1D67">
        <w:t>te</w:t>
      </w:r>
      <w:r w:rsidR="00323128" w:rsidRPr="004D7DFE">
        <w:t xml:space="preserve"> donors reported 66% of </w:t>
      </w:r>
      <w:r w:rsidR="0013092B" w:rsidRPr="004D7DFE">
        <w:t>the</w:t>
      </w:r>
      <w:r w:rsidR="002C1D67">
        <w:t xml:space="preserve">ir total </w:t>
      </w:r>
      <w:r w:rsidR="00323128" w:rsidRPr="004D7DFE">
        <w:t>donations</w:t>
      </w:r>
      <w:r w:rsidR="00D756A9">
        <w:t>, and</w:t>
      </w:r>
      <w:r w:rsidR="00323128" w:rsidRPr="004D7DFE">
        <w:t xml:space="preserve"> individual donors reported 36% of</w:t>
      </w:r>
      <w:r w:rsidR="0013092B" w:rsidRPr="004D7DFE">
        <w:t xml:space="preserve"> the</w:t>
      </w:r>
      <w:r w:rsidR="002C1D67">
        <w:t>ir total</w:t>
      </w:r>
      <w:r w:rsidR="00D756A9">
        <w:t xml:space="preserve"> donations</w:t>
      </w:r>
      <w:r w:rsidR="002C1D67">
        <w:t xml:space="preserve"> </w:t>
      </w:r>
      <w:r w:rsidR="00AA1F47" w:rsidRPr="004D7DFE">
        <w:t>(Table 3)</w:t>
      </w:r>
      <w:r w:rsidR="00323128" w:rsidRPr="004D7DFE">
        <w:t xml:space="preserve">. </w:t>
      </w:r>
      <w:r w:rsidR="002C1D67">
        <w:t xml:space="preserve">Apart from </w:t>
      </w:r>
      <w:r w:rsidR="000B766C" w:rsidRPr="004D7DFE">
        <w:t xml:space="preserve">the difference between </w:t>
      </w:r>
      <w:r w:rsidR="002C1D67">
        <w:t>corporate</w:t>
      </w:r>
      <w:r w:rsidR="000B766C" w:rsidRPr="004D7DFE">
        <w:t xml:space="preserve"> and individual donors, it is sali</w:t>
      </w:r>
      <w:r w:rsidR="002C1D67">
        <w:t>e</w:t>
      </w:r>
      <w:r w:rsidR="000B766C" w:rsidRPr="004D7DFE">
        <w:t xml:space="preserve">nt that the take-up percentages are significantly higher for large donations than for small </w:t>
      </w:r>
      <w:r w:rsidR="002C1D67">
        <w:t xml:space="preserve">ones. Thus, </w:t>
      </w:r>
      <w:r w:rsidR="00315E3E">
        <w:t xml:space="preserve">while </w:t>
      </w:r>
      <w:r w:rsidR="000B766C" w:rsidRPr="004D7DFE">
        <w:t>less</w:t>
      </w:r>
      <w:r w:rsidR="003922FC">
        <w:t xml:space="preserve"> than</w:t>
      </w:r>
      <w:r w:rsidR="000B766C" w:rsidRPr="004D7DFE">
        <w:t xml:space="preserve"> 10% of eligible donations </w:t>
      </w:r>
      <w:r w:rsidR="002C1D67">
        <w:t xml:space="preserve">in sums smaller than </w:t>
      </w:r>
      <w:r w:rsidR="00061B6B">
        <w:t>NIS</w:t>
      </w:r>
      <w:r w:rsidR="002C1D67">
        <w:t> </w:t>
      </w:r>
      <w:r w:rsidR="000B766C" w:rsidRPr="004D7DFE">
        <w:t xml:space="preserve">2,000 are reported </w:t>
      </w:r>
      <w:r w:rsidR="00A50C39" w:rsidRPr="004D7DFE">
        <w:t xml:space="preserve">(claiming </w:t>
      </w:r>
      <w:r w:rsidR="002C1D67">
        <w:t xml:space="preserve">a </w:t>
      </w:r>
      <w:r w:rsidR="000B766C" w:rsidRPr="004D7DFE">
        <w:t>tax benefit</w:t>
      </w:r>
      <w:r w:rsidR="00A50C39" w:rsidRPr="004D7DFE">
        <w:t>)</w:t>
      </w:r>
      <w:r w:rsidR="000B766C" w:rsidRPr="004D7DFE">
        <w:t>, most donations above</w:t>
      </w:r>
      <w:r w:rsidR="00061B6B">
        <w:t xml:space="preserve"> NIS</w:t>
      </w:r>
      <w:r w:rsidR="002C1D67">
        <w:t> </w:t>
      </w:r>
      <w:r w:rsidR="000B766C" w:rsidRPr="004D7DFE">
        <w:t xml:space="preserve">1 </w:t>
      </w:r>
      <w:r w:rsidR="003922FC">
        <w:t>million</w:t>
      </w:r>
      <w:r w:rsidR="000B766C" w:rsidRPr="004D7DFE">
        <w:t xml:space="preserve"> are reported (96% of </w:t>
      </w:r>
      <w:r w:rsidR="002C1D67">
        <w:t>corporate</w:t>
      </w:r>
      <w:r w:rsidR="000B766C" w:rsidRPr="004D7DFE">
        <w:t xml:space="preserve"> donations and 83% of individual</w:t>
      </w:r>
      <w:r w:rsidR="00EE5E2D">
        <w:t xml:space="preserve"> </w:t>
      </w:r>
      <w:r w:rsidR="000B766C" w:rsidRPr="004D7DFE">
        <w:t>donations).</w:t>
      </w:r>
      <w:r w:rsidR="00944129" w:rsidRPr="004D7DFE">
        <w:t xml:space="preserve"> </w:t>
      </w:r>
    </w:p>
    <w:p w14:paraId="22B22E1E" w14:textId="4FB08626" w:rsidR="00D408F5" w:rsidRPr="004D7DFE" w:rsidRDefault="002C1D67">
      <w:r>
        <w:t xml:space="preserve">Unreported </w:t>
      </w:r>
      <w:r w:rsidR="00D408F5" w:rsidRPr="004D7DFE">
        <w:t xml:space="preserve">donations </w:t>
      </w:r>
      <w:r>
        <w:t xml:space="preserve">added up </w:t>
      </w:r>
      <w:r w:rsidR="00D408F5" w:rsidRPr="004D7DFE">
        <w:t xml:space="preserve">to </w:t>
      </w:r>
      <w:r w:rsidR="00D408F5">
        <w:t>NIS</w:t>
      </w:r>
      <w:r>
        <w:t> </w:t>
      </w:r>
      <w:r w:rsidR="00D408F5" w:rsidRPr="004D7DFE">
        <w:t>2.9</w:t>
      </w:r>
      <w:r w:rsidR="00D408F5">
        <w:t xml:space="preserve"> billion</w:t>
      </w:r>
      <w:r w:rsidR="00D408F5" w:rsidRPr="004D7DFE">
        <w:t xml:space="preserve">, </w:t>
      </w:r>
      <w:r>
        <w:t xml:space="preserve">meaning that </w:t>
      </w:r>
      <w:r w:rsidR="00D408F5" w:rsidRPr="004D7DFE">
        <w:t>the tax benefit was not taken up for 54% of eligible donations. Looking at the absolute numbers</w:t>
      </w:r>
      <w:r>
        <w:t>, one</w:t>
      </w:r>
      <w:r w:rsidR="00E501A8">
        <w:t>’</w:t>
      </w:r>
      <w:r>
        <w:t>s</w:t>
      </w:r>
      <w:r w:rsidR="00D408F5" w:rsidRPr="004D7DFE">
        <w:t xml:space="preserve"> attention is immediately </w:t>
      </w:r>
      <w:r>
        <w:t xml:space="preserve">drawn </w:t>
      </w:r>
      <w:r w:rsidR="00D408F5" w:rsidRPr="004D7DFE">
        <w:t xml:space="preserve">to individual donations below </w:t>
      </w:r>
      <w:r w:rsidR="00D408F5">
        <w:t>NIS</w:t>
      </w:r>
      <w:r>
        <w:t> </w:t>
      </w:r>
      <w:r w:rsidR="00D756A9">
        <w:rPr>
          <w:rtl/>
        </w:rPr>
        <w:t>20</w:t>
      </w:r>
      <w:r w:rsidR="00D756A9">
        <w:t>K</w:t>
      </w:r>
      <w:r w:rsidR="00D408F5" w:rsidRPr="004D7DFE">
        <w:t xml:space="preserve">: the tax benefit </w:t>
      </w:r>
      <w:r w:rsidR="00D842BD">
        <w:t>wa</w:t>
      </w:r>
      <w:r w:rsidR="00D408F5" w:rsidRPr="004D7DFE">
        <w:t xml:space="preserve">s not claimed for </w:t>
      </w:r>
      <w:r>
        <w:t>NIS</w:t>
      </w:r>
      <w:r w:rsidRPr="004D7DFE">
        <w:t xml:space="preserve"> 2 </w:t>
      </w:r>
      <w:r>
        <w:t>billion</w:t>
      </w:r>
      <w:r w:rsidRPr="004D7DFE">
        <w:t xml:space="preserve"> </w:t>
      </w:r>
      <w:r>
        <w:t xml:space="preserve">in </w:t>
      </w:r>
      <w:r w:rsidR="00D408F5" w:rsidRPr="004D7DFE">
        <w:t xml:space="preserve">donations </w:t>
      </w:r>
      <w:r>
        <w:t xml:space="preserve">within this </w:t>
      </w:r>
      <w:r w:rsidR="00D408F5" w:rsidRPr="004D7DFE">
        <w:t>range (</w:t>
      </w:r>
      <w:r w:rsidR="00D408F5">
        <w:t>NIS</w:t>
      </w:r>
      <w:r>
        <w:t> </w:t>
      </w:r>
      <w:r w:rsidR="00D408F5" w:rsidRPr="004D7DFE">
        <w:t xml:space="preserve">1.36 </w:t>
      </w:r>
      <w:r w:rsidR="00D408F5">
        <w:t>billion</w:t>
      </w:r>
      <w:r w:rsidR="00D408F5" w:rsidRPr="004D7DFE">
        <w:t xml:space="preserve"> </w:t>
      </w:r>
      <w:r>
        <w:t xml:space="preserve">in </w:t>
      </w:r>
      <w:r w:rsidR="00D408F5" w:rsidRPr="004D7DFE">
        <w:t xml:space="preserve">donations below </w:t>
      </w:r>
      <w:r w:rsidR="00D408F5">
        <w:t>NIS</w:t>
      </w:r>
      <w:r>
        <w:t> </w:t>
      </w:r>
      <w:r w:rsidR="00D408F5" w:rsidRPr="004D7DFE">
        <w:t xml:space="preserve">2,000 </w:t>
      </w:r>
      <w:r>
        <w:t xml:space="preserve">and </w:t>
      </w:r>
      <w:r w:rsidR="00D408F5">
        <w:t>NIS</w:t>
      </w:r>
      <w:r w:rsidR="00D408F5" w:rsidRPr="004D7DFE">
        <w:t xml:space="preserve"> 0.7 </w:t>
      </w:r>
      <w:r w:rsidR="00D408F5">
        <w:t>billion</w:t>
      </w:r>
      <w:r w:rsidR="00D408F5" w:rsidRPr="004D7DFE">
        <w:t xml:space="preserve"> </w:t>
      </w:r>
      <w:r>
        <w:t xml:space="preserve">in </w:t>
      </w:r>
      <w:r w:rsidR="00D408F5" w:rsidRPr="004D7DFE">
        <w:t xml:space="preserve">donations </w:t>
      </w:r>
      <w:r>
        <w:t xml:space="preserve">within the </w:t>
      </w:r>
      <w:r w:rsidR="00D408F5">
        <w:t>NIS</w:t>
      </w:r>
      <w:r w:rsidR="00D408F5" w:rsidRPr="004D7DFE">
        <w:t xml:space="preserve"> </w:t>
      </w:r>
      <w:r w:rsidR="00D408F5">
        <w:t>2</w:t>
      </w:r>
      <w:r w:rsidR="00D756A9">
        <w:t>K</w:t>
      </w:r>
      <w:r w:rsidR="00D408F5" w:rsidRPr="004D7DFE">
        <w:t>–</w:t>
      </w:r>
      <w:r w:rsidR="00D756A9">
        <w:t>20K range</w:t>
      </w:r>
      <w:r w:rsidR="00D408F5" w:rsidRPr="004D7DFE">
        <w:t xml:space="preserve"> – together, more than 70% of </w:t>
      </w:r>
      <w:r>
        <w:t>un</w:t>
      </w:r>
      <w:r w:rsidR="00D408F5" w:rsidRPr="004D7DFE">
        <w:t>reported donations) (Table 3).</w:t>
      </w:r>
    </w:p>
    <w:p w14:paraId="2E348A1A" w14:textId="74E8D79F" w:rsidR="003D6CE1" w:rsidRDefault="003D6CE1" w:rsidP="004B7492">
      <w:pPr>
        <w:pStyle w:val="Heading3"/>
      </w:pPr>
      <w:r w:rsidRPr="009363B0">
        <w:t>Table 3</w:t>
      </w:r>
      <w:r w:rsidR="003D6F2F" w:rsidRPr="009363B0">
        <w:t>.</w:t>
      </w:r>
      <w:r w:rsidRPr="009363B0">
        <w:t xml:space="preserve"> </w:t>
      </w:r>
      <w:r w:rsidR="005C4338" w:rsidRPr="009363B0">
        <w:t>R</w:t>
      </w:r>
      <w:r w:rsidRPr="009363B0">
        <w:t xml:space="preserve">eported and </w:t>
      </w:r>
      <w:r w:rsidR="002C1D67">
        <w:t>un</w:t>
      </w:r>
      <w:r w:rsidRPr="009363B0">
        <w:t>reported donations</w:t>
      </w:r>
      <w:r w:rsidR="002C1D67">
        <w:t>,</w:t>
      </w:r>
      <w:r w:rsidR="003631F8" w:rsidRPr="009363B0">
        <w:t xml:space="preserve"> </w:t>
      </w:r>
      <w:r w:rsidR="003922FC">
        <w:t>NIS million</w:t>
      </w:r>
      <w:r w:rsidRPr="009363B0">
        <w:t>, by source and range</w:t>
      </w:r>
    </w:p>
    <w:p w14:paraId="1C6AD6F8" w14:textId="77777777" w:rsidR="00C9627A" w:rsidRPr="00C9627A" w:rsidRDefault="00C9627A" w:rsidP="00D756A9">
      <w:pPr>
        <w:keepNext/>
      </w:pPr>
    </w:p>
    <w:tbl>
      <w:tblPr>
        <w:tblStyle w:val="TableGrid"/>
        <w:tblW w:w="10060" w:type="dxa"/>
        <w:tblLayout w:type="fixed"/>
        <w:tblLook w:val="04A0" w:firstRow="1" w:lastRow="0" w:firstColumn="1" w:lastColumn="0" w:noHBand="0" w:noVBand="1"/>
      </w:tblPr>
      <w:tblGrid>
        <w:gridCol w:w="2268"/>
        <w:gridCol w:w="1298"/>
        <w:gridCol w:w="1299"/>
        <w:gridCol w:w="1299"/>
        <w:gridCol w:w="1298"/>
        <w:gridCol w:w="1299"/>
        <w:gridCol w:w="1299"/>
      </w:tblGrid>
      <w:tr w:rsidR="00367E53" w:rsidRPr="004D7DFE" w14:paraId="66FF3A90" w14:textId="77777777" w:rsidTr="00DC209A">
        <w:tc>
          <w:tcPr>
            <w:tcW w:w="2268" w:type="dxa"/>
            <w:tcBorders>
              <w:top w:val="single" w:sz="2" w:space="0" w:color="auto"/>
              <w:left w:val="nil"/>
              <w:bottom w:val="nil"/>
              <w:right w:val="nil"/>
            </w:tcBorders>
          </w:tcPr>
          <w:p w14:paraId="715F1992" w14:textId="77777777" w:rsidR="00367E53" w:rsidRPr="004D7DFE" w:rsidRDefault="00367E53" w:rsidP="00D756A9">
            <w:pPr>
              <w:keepNext/>
              <w:spacing w:after="120"/>
              <w:ind w:firstLine="0"/>
            </w:pPr>
            <w:r w:rsidRPr="004D7DFE">
              <w:t>Range</w:t>
            </w:r>
          </w:p>
        </w:tc>
        <w:tc>
          <w:tcPr>
            <w:tcW w:w="2597" w:type="dxa"/>
            <w:gridSpan w:val="2"/>
            <w:tcBorders>
              <w:top w:val="single" w:sz="2" w:space="0" w:color="auto"/>
              <w:left w:val="nil"/>
              <w:bottom w:val="nil"/>
              <w:right w:val="nil"/>
            </w:tcBorders>
            <w:shd w:val="clear" w:color="auto" w:fill="auto"/>
          </w:tcPr>
          <w:p w14:paraId="6864F27E" w14:textId="655F495E" w:rsidR="00367E53" w:rsidRPr="004D7DFE" w:rsidRDefault="009916BD" w:rsidP="00D756A9">
            <w:pPr>
              <w:keepNext/>
              <w:spacing w:after="120"/>
              <w:ind w:firstLine="0"/>
              <w:jc w:val="center"/>
            </w:pPr>
            <w:r w:rsidRPr="004D7DFE">
              <w:t>Percent of reported donations out of e</w:t>
            </w:r>
            <w:r w:rsidR="00367E53" w:rsidRPr="004D7DFE">
              <w:t>ligible donations</w:t>
            </w:r>
          </w:p>
        </w:tc>
        <w:tc>
          <w:tcPr>
            <w:tcW w:w="2597" w:type="dxa"/>
            <w:gridSpan w:val="2"/>
            <w:tcBorders>
              <w:top w:val="single" w:sz="2" w:space="0" w:color="auto"/>
              <w:left w:val="nil"/>
              <w:bottom w:val="nil"/>
              <w:right w:val="nil"/>
            </w:tcBorders>
            <w:shd w:val="clear" w:color="auto" w:fill="auto"/>
          </w:tcPr>
          <w:p w14:paraId="03B7C0BE" w14:textId="20054BD6" w:rsidR="00367E53" w:rsidRPr="004D7DFE" w:rsidRDefault="00007A4C" w:rsidP="00D756A9">
            <w:pPr>
              <w:keepNext/>
              <w:ind w:firstLine="0"/>
              <w:jc w:val="center"/>
            </w:pPr>
            <w:r w:rsidRPr="004D7DFE">
              <w:t>R</w:t>
            </w:r>
            <w:r w:rsidR="000E391D" w:rsidRPr="004D7DFE">
              <w:t>eported</w:t>
            </w:r>
            <w:r w:rsidR="00367E53" w:rsidRPr="004D7DFE">
              <w:t xml:space="preserve"> donations</w:t>
            </w:r>
            <w:r w:rsidR="002C1D67">
              <w:t xml:space="preserve"> </w:t>
            </w:r>
            <w:r w:rsidR="002C1D67">
              <w:br/>
            </w:r>
            <w:r w:rsidR="00633887">
              <w:t>(benefit take-up)</w:t>
            </w:r>
          </w:p>
        </w:tc>
        <w:tc>
          <w:tcPr>
            <w:tcW w:w="2598" w:type="dxa"/>
            <w:gridSpan w:val="2"/>
            <w:tcBorders>
              <w:top w:val="single" w:sz="2" w:space="0" w:color="auto"/>
              <w:left w:val="nil"/>
              <w:bottom w:val="nil"/>
              <w:right w:val="nil"/>
            </w:tcBorders>
            <w:shd w:val="clear" w:color="auto" w:fill="auto"/>
          </w:tcPr>
          <w:p w14:paraId="3B69DAE4" w14:textId="66B51B6B" w:rsidR="00367E53" w:rsidRPr="004D7DFE" w:rsidRDefault="002C1D67" w:rsidP="00D756A9">
            <w:pPr>
              <w:keepNext/>
              <w:spacing w:after="120"/>
              <w:ind w:firstLine="0"/>
              <w:jc w:val="center"/>
            </w:pPr>
            <w:r>
              <w:t>Un</w:t>
            </w:r>
            <w:r w:rsidR="000E391D" w:rsidRPr="004D7DFE">
              <w:t>reported</w:t>
            </w:r>
            <w:r w:rsidR="00367E53" w:rsidRPr="004D7DFE">
              <w:t xml:space="preserve"> donations</w:t>
            </w:r>
            <w:r w:rsidR="00633887">
              <w:t xml:space="preserve"> </w:t>
            </w:r>
            <w:r w:rsidR="00334974">
              <w:t>(</w:t>
            </w:r>
            <w:r w:rsidR="00633887">
              <w:t xml:space="preserve">benefit </w:t>
            </w:r>
            <w:r w:rsidR="00334974">
              <w:t>non-take-up</w:t>
            </w:r>
            <w:r w:rsidR="00633887">
              <w:t>)</w:t>
            </w:r>
          </w:p>
        </w:tc>
      </w:tr>
      <w:tr w:rsidR="004B7492" w:rsidRPr="004D7DFE" w14:paraId="2593B56C" w14:textId="77777777" w:rsidTr="00DC209A">
        <w:tc>
          <w:tcPr>
            <w:tcW w:w="2268" w:type="dxa"/>
            <w:tcBorders>
              <w:top w:val="nil"/>
              <w:left w:val="nil"/>
              <w:bottom w:val="single" w:sz="12" w:space="0" w:color="auto"/>
              <w:right w:val="nil"/>
            </w:tcBorders>
          </w:tcPr>
          <w:p w14:paraId="68768911" w14:textId="77777777" w:rsidR="004B7492" w:rsidRPr="004D7DFE" w:rsidRDefault="004B7492" w:rsidP="00D756A9">
            <w:pPr>
              <w:keepNext/>
              <w:ind w:firstLine="0"/>
            </w:pPr>
          </w:p>
        </w:tc>
        <w:tc>
          <w:tcPr>
            <w:tcW w:w="1298" w:type="dxa"/>
            <w:tcBorders>
              <w:top w:val="nil"/>
              <w:left w:val="nil"/>
              <w:bottom w:val="single" w:sz="12" w:space="0" w:color="auto"/>
              <w:right w:val="nil"/>
            </w:tcBorders>
            <w:shd w:val="clear" w:color="auto" w:fill="auto"/>
          </w:tcPr>
          <w:p w14:paraId="26753A74" w14:textId="1440AB3E" w:rsidR="004B7492" w:rsidRPr="004D7DFE" w:rsidRDefault="004B7492" w:rsidP="00D756A9">
            <w:pPr>
              <w:keepNext/>
              <w:ind w:firstLine="0"/>
              <w:jc w:val="left"/>
            </w:pPr>
            <w:r>
              <w:t>I</w:t>
            </w:r>
            <w:r w:rsidRPr="004D7DFE">
              <w:t>ndividual</w:t>
            </w:r>
          </w:p>
        </w:tc>
        <w:tc>
          <w:tcPr>
            <w:tcW w:w="1299" w:type="dxa"/>
            <w:tcBorders>
              <w:top w:val="nil"/>
              <w:left w:val="nil"/>
              <w:bottom w:val="single" w:sz="12" w:space="0" w:color="auto"/>
              <w:right w:val="nil"/>
            </w:tcBorders>
            <w:shd w:val="clear" w:color="auto" w:fill="auto"/>
          </w:tcPr>
          <w:p w14:paraId="7A502F7B" w14:textId="7269BC26" w:rsidR="004B7492" w:rsidRPr="004D7DFE" w:rsidRDefault="004B7492" w:rsidP="00D756A9">
            <w:pPr>
              <w:keepNext/>
              <w:ind w:firstLine="0"/>
              <w:jc w:val="left"/>
            </w:pPr>
            <w:r>
              <w:t>Corporate</w:t>
            </w:r>
          </w:p>
        </w:tc>
        <w:tc>
          <w:tcPr>
            <w:tcW w:w="1299" w:type="dxa"/>
            <w:tcBorders>
              <w:top w:val="nil"/>
              <w:left w:val="nil"/>
              <w:bottom w:val="single" w:sz="12" w:space="0" w:color="auto"/>
              <w:right w:val="nil"/>
            </w:tcBorders>
            <w:shd w:val="clear" w:color="auto" w:fill="auto"/>
          </w:tcPr>
          <w:p w14:paraId="713A7C7D" w14:textId="5DFDBC87" w:rsidR="004B7492" w:rsidRPr="004D7DFE" w:rsidRDefault="004B7492" w:rsidP="00D756A9">
            <w:pPr>
              <w:keepNext/>
              <w:ind w:firstLine="0"/>
              <w:jc w:val="left"/>
            </w:pPr>
            <w:r>
              <w:t>I</w:t>
            </w:r>
            <w:r w:rsidRPr="004D7DFE">
              <w:t>ndividual</w:t>
            </w:r>
          </w:p>
        </w:tc>
        <w:tc>
          <w:tcPr>
            <w:tcW w:w="1298" w:type="dxa"/>
            <w:tcBorders>
              <w:top w:val="nil"/>
              <w:left w:val="nil"/>
              <w:bottom w:val="single" w:sz="12" w:space="0" w:color="auto"/>
              <w:right w:val="nil"/>
            </w:tcBorders>
            <w:shd w:val="clear" w:color="auto" w:fill="auto"/>
          </w:tcPr>
          <w:p w14:paraId="6BC6BC85" w14:textId="440CE5D1" w:rsidR="004B7492" w:rsidRPr="004D7DFE" w:rsidRDefault="004B7492" w:rsidP="00D756A9">
            <w:pPr>
              <w:keepNext/>
              <w:ind w:firstLine="0"/>
              <w:jc w:val="left"/>
            </w:pPr>
            <w:r>
              <w:t>Corporate</w:t>
            </w:r>
          </w:p>
        </w:tc>
        <w:tc>
          <w:tcPr>
            <w:tcW w:w="1299" w:type="dxa"/>
            <w:tcBorders>
              <w:top w:val="nil"/>
              <w:left w:val="nil"/>
              <w:bottom w:val="single" w:sz="12" w:space="0" w:color="auto"/>
              <w:right w:val="nil"/>
            </w:tcBorders>
            <w:shd w:val="clear" w:color="auto" w:fill="auto"/>
          </w:tcPr>
          <w:p w14:paraId="423B36EC" w14:textId="5527CFA0" w:rsidR="004B7492" w:rsidRPr="004D7DFE" w:rsidRDefault="004B7492" w:rsidP="00D756A9">
            <w:pPr>
              <w:keepNext/>
              <w:ind w:firstLine="0"/>
              <w:jc w:val="left"/>
            </w:pPr>
            <w:r>
              <w:t>I</w:t>
            </w:r>
            <w:r w:rsidRPr="004D7DFE">
              <w:t>ndividual</w:t>
            </w:r>
          </w:p>
        </w:tc>
        <w:tc>
          <w:tcPr>
            <w:tcW w:w="1299" w:type="dxa"/>
            <w:tcBorders>
              <w:top w:val="nil"/>
              <w:left w:val="nil"/>
              <w:bottom w:val="single" w:sz="12" w:space="0" w:color="auto"/>
              <w:right w:val="nil"/>
            </w:tcBorders>
            <w:shd w:val="clear" w:color="auto" w:fill="auto"/>
          </w:tcPr>
          <w:p w14:paraId="74B6D845" w14:textId="2337BE07" w:rsidR="004B7492" w:rsidRPr="004D7DFE" w:rsidRDefault="004B7492" w:rsidP="00D756A9">
            <w:pPr>
              <w:keepNext/>
              <w:ind w:firstLine="0"/>
              <w:jc w:val="left"/>
            </w:pPr>
            <w:r>
              <w:t>Corporate</w:t>
            </w:r>
          </w:p>
        </w:tc>
      </w:tr>
      <w:tr w:rsidR="00367E53" w:rsidRPr="00E133B9" w14:paraId="4C58E682" w14:textId="77777777" w:rsidTr="00DC209A">
        <w:trPr>
          <w:trHeight w:val="667"/>
        </w:trPr>
        <w:tc>
          <w:tcPr>
            <w:tcW w:w="2268" w:type="dxa"/>
            <w:tcBorders>
              <w:top w:val="single" w:sz="12" w:space="0" w:color="auto"/>
              <w:left w:val="nil"/>
              <w:bottom w:val="nil"/>
              <w:right w:val="nil"/>
            </w:tcBorders>
            <w:vAlign w:val="center"/>
          </w:tcPr>
          <w:p w14:paraId="57844683" w14:textId="6376659F" w:rsidR="00367E53" w:rsidRPr="005D6575" w:rsidRDefault="00367E53" w:rsidP="005D797A">
            <w:pPr>
              <w:ind w:firstLine="0"/>
              <w:rPr>
                <w:b/>
                <w:bCs/>
              </w:rPr>
            </w:pPr>
            <w:r w:rsidRPr="005D6575">
              <w:rPr>
                <w:b/>
                <w:bCs/>
              </w:rPr>
              <w:t>Total</w:t>
            </w:r>
          </w:p>
        </w:tc>
        <w:tc>
          <w:tcPr>
            <w:tcW w:w="2597" w:type="dxa"/>
            <w:gridSpan w:val="2"/>
            <w:tcBorders>
              <w:top w:val="single" w:sz="12" w:space="0" w:color="auto"/>
              <w:left w:val="nil"/>
              <w:bottom w:val="nil"/>
              <w:right w:val="nil"/>
            </w:tcBorders>
            <w:shd w:val="clear" w:color="auto" w:fill="auto"/>
            <w:vAlign w:val="center"/>
          </w:tcPr>
          <w:p w14:paraId="0891EDC7" w14:textId="2D9988E8" w:rsidR="00367E53" w:rsidRPr="005D6575" w:rsidRDefault="007759AF" w:rsidP="005D797A">
            <w:pPr>
              <w:ind w:firstLine="0"/>
              <w:jc w:val="center"/>
              <w:rPr>
                <w:b/>
                <w:bCs/>
              </w:rPr>
            </w:pPr>
            <w:r w:rsidRPr="005D6575">
              <w:rPr>
                <w:b/>
                <w:bCs/>
              </w:rPr>
              <w:t>46%</w:t>
            </w:r>
          </w:p>
        </w:tc>
        <w:tc>
          <w:tcPr>
            <w:tcW w:w="2597" w:type="dxa"/>
            <w:gridSpan w:val="2"/>
            <w:tcBorders>
              <w:top w:val="single" w:sz="12" w:space="0" w:color="auto"/>
              <w:left w:val="nil"/>
              <w:bottom w:val="nil"/>
              <w:right w:val="nil"/>
            </w:tcBorders>
            <w:shd w:val="clear" w:color="auto" w:fill="auto"/>
            <w:vAlign w:val="center"/>
          </w:tcPr>
          <w:p w14:paraId="615BAB21" w14:textId="095617E6" w:rsidR="00367E53" w:rsidRPr="005D6575" w:rsidRDefault="000E391D" w:rsidP="005D797A">
            <w:pPr>
              <w:ind w:firstLine="0"/>
              <w:jc w:val="center"/>
              <w:rPr>
                <w:b/>
                <w:bCs/>
              </w:rPr>
            </w:pPr>
            <w:r w:rsidRPr="005D6575">
              <w:rPr>
                <w:b/>
                <w:bCs/>
              </w:rPr>
              <w:t>2,481</w:t>
            </w:r>
          </w:p>
        </w:tc>
        <w:tc>
          <w:tcPr>
            <w:tcW w:w="2598" w:type="dxa"/>
            <w:gridSpan w:val="2"/>
            <w:tcBorders>
              <w:top w:val="single" w:sz="12" w:space="0" w:color="auto"/>
              <w:left w:val="nil"/>
              <w:bottom w:val="nil"/>
              <w:right w:val="nil"/>
            </w:tcBorders>
            <w:shd w:val="clear" w:color="auto" w:fill="auto"/>
            <w:vAlign w:val="center"/>
          </w:tcPr>
          <w:p w14:paraId="14C107E7" w14:textId="46C307C1" w:rsidR="00367E53" w:rsidRPr="005D6575" w:rsidRDefault="000E391D" w:rsidP="005D797A">
            <w:pPr>
              <w:ind w:firstLine="0"/>
              <w:jc w:val="center"/>
              <w:rPr>
                <w:b/>
                <w:bCs/>
              </w:rPr>
            </w:pPr>
            <w:r w:rsidRPr="005D6575">
              <w:rPr>
                <w:b/>
                <w:bCs/>
              </w:rPr>
              <w:t>2,892</w:t>
            </w:r>
          </w:p>
        </w:tc>
      </w:tr>
      <w:tr w:rsidR="007759AF" w:rsidRPr="00E133B9" w14:paraId="1FA30B61" w14:textId="77777777" w:rsidTr="00E133B9">
        <w:tc>
          <w:tcPr>
            <w:tcW w:w="2268" w:type="dxa"/>
            <w:tcBorders>
              <w:top w:val="nil"/>
              <w:left w:val="nil"/>
              <w:bottom w:val="nil"/>
              <w:right w:val="nil"/>
            </w:tcBorders>
          </w:tcPr>
          <w:p w14:paraId="71CD0069" w14:textId="630A5113" w:rsidR="007759AF" w:rsidRPr="005D6575" w:rsidRDefault="007759AF" w:rsidP="00D756A9">
            <w:pPr>
              <w:ind w:firstLine="0"/>
              <w:rPr>
                <w:b/>
                <w:bCs/>
              </w:rPr>
            </w:pPr>
            <w:r w:rsidRPr="005D6575">
              <w:rPr>
                <w:b/>
                <w:bCs/>
              </w:rPr>
              <w:t>Total by source</w:t>
            </w:r>
          </w:p>
        </w:tc>
        <w:tc>
          <w:tcPr>
            <w:tcW w:w="1298" w:type="dxa"/>
            <w:tcBorders>
              <w:top w:val="nil"/>
              <w:left w:val="nil"/>
              <w:bottom w:val="nil"/>
              <w:right w:val="nil"/>
            </w:tcBorders>
            <w:shd w:val="clear" w:color="auto" w:fill="auto"/>
          </w:tcPr>
          <w:p w14:paraId="6095BCF2" w14:textId="237B8336" w:rsidR="007759AF" w:rsidRPr="005D6575" w:rsidRDefault="007759AF" w:rsidP="005D797A">
            <w:pPr>
              <w:ind w:firstLine="0"/>
              <w:jc w:val="center"/>
              <w:rPr>
                <w:b/>
                <w:bCs/>
              </w:rPr>
            </w:pPr>
            <w:r w:rsidRPr="005D6575">
              <w:rPr>
                <w:b/>
                <w:bCs/>
              </w:rPr>
              <w:t>36%</w:t>
            </w:r>
          </w:p>
        </w:tc>
        <w:tc>
          <w:tcPr>
            <w:tcW w:w="1299" w:type="dxa"/>
            <w:tcBorders>
              <w:top w:val="nil"/>
              <w:left w:val="nil"/>
              <w:bottom w:val="nil"/>
              <w:right w:val="nil"/>
            </w:tcBorders>
            <w:shd w:val="clear" w:color="auto" w:fill="auto"/>
          </w:tcPr>
          <w:p w14:paraId="6B7E730B" w14:textId="540BC943" w:rsidR="007759AF" w:rsidRPr="005D6575" w:rsidRDefault="007759AF" w:rsidP="005D797A">
            <w:pPr>
              <w:ind w:firstLine="0"/>
              <w:jc w:val="center"/>
              <w:rPr>
                <w:b/>
                <w:bCs/>
              </w:rPr>
            </w:pPr>
            <w:r w:rsidRPr="005D6575">
              <w:rPr>
                <w:b/>
                <w:bCs/>
              </w:rPr>
              <w:t>66%</w:t>
            </w:r>
          </w:p>
        </w:tc>
        <w:tc>
          <w:tcPr>
            <w:tcW w:w="1299" w:type="dxa"/>
            <w:tcBorders>
              <w:top w:val="nil"/>
              <w:left w:val="nil"/>
              <w:bottom w:val="nil"/>
              <w:right w:val="nil"/>
            </w:tcBorders>
            <w:shd w:val="clear" w:color="auto" w:fill="auto"/>
          </w:tcPr>
          <w:p w14:paraId="6D1052BF" w14:textId="521EF49C" w:rsidR="007759AF" w:rsidRPr="005D6575" w:rsidRDefault="007759AF" w:rsidP="005D797A">
            <w:pPr>
              <w:ind w:firstLine="0"/>
              <w:jc w:val="center"/>
              <w:rPr>
                <w:b/>
                <w:bCs/>
              </w:rPr>
            </w:pPr>
            <w:r w:rsidRPr="005D6575">
              <w:rPr>
                <w:b/>
                <w:bCs/>
              </w:rPr>
              <w:t>1,315</w:t>
            </w:r>
          </w:p>
        </w:tc>
        <w:tc>
          <w:tcPr>
            <w:tcW w:w="1298" w:type="dxa"/>
            <w:tcBorders>
              <w:top w:val="nil"/>
              <w:left w:val="nil"/>
              <w:bottom w:val="nil"/>
              <w:right w:val="nil"/>
            </w:tcBorders>
            <w:shd w:val="clear" w:color="auto" w:fill="auto"/>
          </w:tcPr>
          <w:p w14:paraId="26435D01" w14:textId="38E1130E" w:rsidR="007759AF" w:rsidRPr="005D6575" w:rsidRDefault="007759AF" w:rsidP="005D797A">
            <w:pPr>
              <w:ind w:firstLine="0"/>
              <w:jc w:val="center"/>
              <w:rPr>
                <w:b/>
                <w:bCs/>
              </w:rPr>
            </w:pPr>
            <w:r w:rsidRPr="005D6575">
              <w:rPr>
                <w:b/>
                <w:bCs/>
              </w:rPr>
              <w:t>1,166</w:t>
            </w:r>
          </w:p>
        </w:tc>
        <w:tc>
          <w:tcPr>
            <w:tcW w:w="1299" w:type="dxa"/>
            <w:tcBorders>
              <w:top w:val="nil"/>
              <w:left w:val="nil"/>
              <w:bottom w:val="nil"/>
              <w:right w:val="nil"/>
            </w:tcBorders>
            <w:shd w:val="clear" w:color="auto" w:fill="auto"/>
          </w:tcPr>
          <w:p w14:paraId="0153AD55" w14:textId="2751F5E5" w:rsidR="007759AF" w:rsidRPr="005D6575" w:rsidRDefault="007759AF" w:rsidP="005D797A">
            <w:pPr>
              <w:ind w:firstLine="0"/>
              <w:jc w:val="center"/>
              <w:rPr>
                <w:b/>
                <w:bCs/>
              </w:rPr>
            </w:pPr>
            <w:r w:rsidRPr="005D6575">
              <w:rPr>
                <w:b/>
                <w:bCs/>
              </w:rPr>
              <w:t>2,301</w:t>
            </w:r>
          </w:p>
        </w:tc>
        <w:tc>
          <w:tcPr>
            <w:tcW w:w="1299" w:type="dxa"/>
            <w:tcBorders>
              <w:top w:val="nil"/>
              <w:left w:val="nil"/>
              <w:bottom w:val="nil"/>
              <w:right w:val="nil"/>
            </w:tcBorders>
            <w:shd w:val="clear" w:color="auto" w:fill="auto"/>
          </w:tcPr>
          <w:p w14:paraId="022D51AD" w14:textId="235AB3CB" w:rsidR="007759AF" w:rsidRPr="005D6575" w:rsidRDefault="007759AF" w:rsidP="005D797A">
            <w:pPr>
              <w:ind w:firstLine="0"/>
              <w:jc w:val="center"/>
              <w:rPr>
                <w:b/>
                <w:bCs/>
              </w:rPr>
            </w:pPr>
            <w:r w:rsidRPr="005D6575">
              <w:rPr>
                <w:b/>
                <w:bCs/>
              </w:rPr>
              <w:t>591</w:t>
            </w:r>
          </w:p>
        </w:tc>
      </w:tr>
      <w:tr w:rsidR="007759AF" w:rsidRPr="004D7DFE" w14:paraId="2AB40CE2" w14:textId="77777777" w:rsidTr="00E133B9">
        <w:tc>
          <w:tcPr>
            <w:tcW w:w="2268" w:type="dxa"/>
            <w:tcBorders>
              <w:top w:val="nil"/>
              <w:left w:val="nil"/>
              <w:bottom w:val="nil"/>
              <w:right w:val="nil"/>
            </w:tcBorders>
          </w:tcPr>
          <w:p w14:paraId="6C2FAE07" w14:textId="77E6EBE8" w:rsidR="009363B0" w:rsidRPr="004D7DFE" w:rsidRDefault="007759AF" w:rsidP="006D7452">
            <w:pPr>
              <w:ind w:firstLine="0"/>
            </w:pPr>
            <w:r w:rsidRPr="004D7DFE">
              <w:t xml:space="preserve">Up to </w:t>
            </w:r>
            <w:r w:rsidR="00ED2AB2" w:rsidRPr="004D7DFE">
              <w:t xml:space="preserve">NIS </w:t>
            </w:r>
            <w:r w:rsidRPr="004D7DFE">
              <w:t xml:space="preserve">180 </w:t>
            </w:r>
            <w:r w:rsidR="00944129" w:rsidRPr="004D7DFE">
              <w:t>– ineligible</w:t>
            </w:r>
          </w:p>
        </w:tc>
        <w:tc>
          <w:tcPr>
            <w:tcW w:w="1298" w:type="dxa"/>
            <w:tcBorders>
              <w:top w:val="nil"/>
              <w:left w:val="nil"/>
              <w:bottom w:val="nil"/>
              <w:right w:val="nil"/>
            </w:tcBorders>
            <w:shd w:val="clear" w:color="auto" w:fill="auto"/>
          </w:tcPr>
          <w:p w14:paraId="7C3436D4" w14:textId="1FED4130" w:rsidR="007759AF" w:rsidRPr="004D7DFE" w:rsidRDefault="00944129" w:rsidP="005D797A">
            <w:pPr>
              <w:ind w:firstLine="0"/>
              <w:jc w:val="center"/>
            </w:pPr>
            <w:r w:rsidRPr="004D7DFE">
              <w:t>-</w:t>
            </w:r>
          </w:p>
        </w:tc>
        <w:tc>
          <w:tcPr>
            <w:tcW w:w="1299" w:type="dxa"/>
            <w:tcBorders>
              <w:top w:val="nil"/>
              <w:left w:val="nil"/>
              <w:bottom w:val="nil"/>
              <w:right w:val="nil"/>
            </w:tcBorders>
            <w:shd w:val="clear" w:color="auto" w:fill="auto"/>
          </w:tcPr>
          <w:p w14:paraId="7A285F9E" w14:textId="6BEA964B" w:rsidR="007759AF" w:rsidRPr="004D7DFE" w:rsidRDefault="00944129" w:rsidP="005D797A">
            <w:pPr>
              <w:ind w:firstLine="0"/>
              <w:jc w:val="center"/>
            </w:pPr>
            <w:r w:rsidRPr="004D7DFE">
              <w:t>-</w:t>
            </w:r>
          </w:p>
        </w:tc>
        <w:tc>
          <w:tcPr>
            <w:tcW w:w="1299" w:type="dxa"/>
            <w:tcBorders>
              <w:top w:val="nil"/>
              <w:left w:val="nil"/>
              <w:bottom w:val="nil"/>
              <w:right w:val="nil"/>
            </w:tcBorders>
            <w:shd w:val="clear" w:color="auto" w:fill="auto"/>
          </w:tcPr>
          <w:p w14:paraId="79E9334C" w14:textId="21949C81" w:rsidR="007759AF" w:rsidRPr="004D7DFE" w:rsidRDefault="00944129" w:rsidP="005D797A">
            <w:pPr>
              <w:ind w:firstLine="0"/>
              <w:jc w:val="center"/>
            </w:pPr>
            <w:r w:rsidRPr="004D7DFE">
              <w:t>-</w:t>
            </w:r>
          </w:p>
        </w:tc>
        <w:tc>
          <w:tcPr>
            <w:tcW w:w="1298" w:type="dxa"/>
            <w:tcBorders>
              <w:top w:val="nil"/>
              <w:left w:val="nil"/>
              <w:bottom w:val="nil"/>
              <w:right w:val="nil"/>
            </w:tcBorders>
            <w:shd w:val="clear" w:color="auto" w:fill="auto"/>
          </w:tcPr>
          <w:p w14:paraId="0261D10A" w14:textId="5D44D202" w:rsidR="007759AF" w:rsidRPr="004D7DFE" w:rsidRDefault="00944129" w:rsidP="005D797A">
            <w:pPr>
              <w:ind w:firstLine="0"/>
              <w:jc w:val="center"/>
            </w:pPr>
            <w:r w:rsidRPr="004D7DFE">
              <w:t>-</w:t>
            </w:r>
          </w:p>
        </w:tc>
        <w:tc>
          <w:tcPr>
            <w:tcW w:w="1299" w:type="dxa"/>
            <w:tcBorders>
              <w:top w:val="nil"/>
              <w:left w:val="nil"/>
              <w:bottom w:val="nil"/>
              <w:right w:val="nil"/>
            </w:tcBorders>
            <w:shd w:val="clear" w:color="auto" w:fill="auto"/>
          </w:tcPr>
          <w:p w14:paraId="7D9D2BCB" w14:textId="34398C11" w:rsidR="007759AF" w:rsidRPr="004D7DFE" w:rsidRDefault="00944129" w:rsidP="005D797A">
            <w:pPr>
              <w:ind w:firstLine="0"/>
              <w:jc w:val="center"/>
            </w:pPr>
            <w:r w:rsidRPr="004D7DFE">
              <w:t>-</w:t>
            </w:r>
          </w:p>
        </w:tc>
        <w:tc>
          <w:tcPr>
            <w:tcW w:w="1299" w:type="dxa"/>
            <w:tcBorders>
              <w:top w:val="nil"/>
              <w:left w:val="nil"/>
              <w:bottom w:val="nil"/>
              <w:right w:val="nil"/>
            </w:tcBorders>
            <w:shd w:val="clear" w:color="auto" w:fill="auto"/>
          </w:tcPr>
          <w:p w14:paraId="11A60FAD" w14:textId="1EBF2CE3" w:rsidR="007759AF" w:rsidRPr="004D7DFE" w:rsidRDefault="00944129" w:rsidP="005D797A">
            <w:pPr>
              <w:ind w:firstLine="0"/>
              <w:jc w:val="center"/>
            </w:pPr>
            <w:r w:rsidRPr="004D7DFE">
              <w:t>-</w:t>
            </w:r>
          </w:p>
        </w:tc>
      </w:tr>
      <w:tr w:rsidR="006D7452" w:rsidRPr="004D7DFE" w14:paraId="35851B0F" w14:textId="77777777" w:rsidTr="00E133B9">
        <w:tc>
          <w:tcPr>
            <w:tcW w:w="2268" w:type="dxa"/>
            <w:tcBorders>
              <w:top w:val="nil"/>
              <w:left w:val="nil"/>
              <w:bottom w:val="nil"/>
              <w:right w:val="nil"/>
            </w:tcBorders>
          </w:tcPr>
          <w:p w14:paraId="4DC16D72" w14:textId="20592D3E" w:rsidR="006D7452" w:rsidRPr="004D7DFE" w:rsidRDefault="006D7452" w:rsidP="006D7452">
            <w:pPr>
              <w:ind w:firstLine="0"/>
            </w:pPr>
            <w:r w:rsidRPr="004D7DFE">
              <w:t>NIS 180–2.000</w:t>
            </w:r>
          </w:p>
        </w:tc>
        <w:tc>
          <w:tcPr>
            <w:tcW w:w="1298" w:type="dxa"/>
            <w:tcBorders>
              <w:top w:val="nil"/>
              <w:left w:val="nil"/>
              <w:bottom w:val="nil"/>
              <w:right w:val="nil"/>
            </w:tcBorders>
            <w:shd w:val="clear" w:color="auto" w:fill="auto"/>
          </w:tcPr>
          <w:p w14:paraId="109082C9" w14:textId="786CD10A" w:rsidR="006D7452" w:rsidRPr="004D7DFE" w:rsidRDefault="006D7452" w:rsidP="006D7452">
            <w:pPr>
              <w:ind w:firstLine="0"/>
              <w:jc w:val="center"/>
            </w:pPr>
            <w:r w:rsidRPr="004D7DFE">
              <w:t>3%</w:t>
            </w:r>
          </w:p>
        </w:tc>
        <w:tc>
          <w:tcPr>
            <w:tcW w:w="1299" w:type="dxa"/>
            <w:tcBorders>
              <w:top w:val="nil"/>
              <w:left w:val="nil"/>
              <w:bottom w:val="nil"/>
              <w:right w:val="nil"/>
            </w:tcBorders>
            <w:shd w:val="clear" w:color="auto" w:fill="auto"/>
          </w:tcPr>
          <w:p w14:paraId="12F620BB" w14:textId="65310BB7" w:rsidR="006D7452" w:rsidRPr="004D7DFE" w:rsidRDefault="006D7452" w:rsidP="006D7452">
            <w:pPr>
              <w:ind w:firstLine="0"/>
              <w:jc w:val="center"/>
            </w:pPr>
            <w:r w:rsidRPr="004D7DFE">
              <w:t>9%</w:t>
            </w:r>
          </w:p>
        </w:tc>
        <w:tc>
          <w:tcPr>
            <w:tcW w:w="1299" w:type="dxa"/>
            <w:tcBorders>
              <w:top w:val="nil"/>
              <w:left w:val="nil"/>
              <w:bottom w:val="nil"/>
              <w:right w:val="nil"/>
            </w:tcBorders>
            <w:shd w:val="clear" w:color="auto" w:fill="auto"/>
          </w:tcPr>
          <w:p w14:paraId="075252E5" w14:textId="6119C483" w:rsidR="006D7452" w:rsidRPr="004D7DFE" w:rsidRDefault="006D7452" w:rsidP="006D7452">
            <w:pPr>
              <w:ind w:firstLine="0"/>
              <w:jc w:val="center"/>
            </w:pPr>
            <w:r w:rsidRPr="004D7DFE">
              <w:t>45</w:t>
            </w:r>
          </w:p>
        </w:tc>
        <w:tc>
          <w:tcPr>
            <w:tcW w:w="1298" w:type="dxa"/>
            <w:tcBorders>
              <w:top w:val="nil"/>
              <w:left w:val="nil"/>
              <w:bottom w:val="nil"/>
              <w:right w:val="nil"/>
            </w:tcBorders>
            <w:shd w:val="clear" w:color="auto" w:fill="auto"/>
          </w:tcPr>
          <w:p w14:paraId="7C42CE10" w14:textId="49375F52" w:rsidR="006D7452" w:rsidRPr="004D7DFE" w:rsidRDefault="006D7452" w:rsidP="006D7452">
            <w:pPr>
              <w:ind w:firstLine="0"/>
              <w:jc w:val="center"/>
            </w:pPr>
            <w:r w:rsidRPr="004D7DFE">
              <w:t>4</w:t>
            </w:r>
          </w:p>
        </w:tc>
        <w:tc>
          <w:tcPr>
            <w:tcW w:w="1299" w:type="dxa"/>
            <w:tcBorders>
              <w:top w:val="nil"/>
              <w:left w:val="nil"/>
              <w:bottom w:val="nil"/>
              <w:right w:val="nil"/>
            </w:tcBorders>
            <w:shd w:val="clear" w:color="auto" w:fill="auto"/>
          </w:tcPr>
          <w:p w14:paraId="29E848D4" w14:textId="70487B4D" w:rsidR="006D7452" w:rsidRPr="004D7DFE" w:rsidRDefault="006D7452" w:rsidP="006D7452">
            <w:pPr>
              <w:ind w:firstLine="0"/>
              <w:jc w:val="center"/>
            </w:pPr>
            <w:r w:rsidRPr="004D7DFE">
              <w:t>1,361</w:t>
            </w:r>
          </w:p>
        </w:tc>
        <w:tc>
          <w:tcPr>
            <w:tcW w:w="1299" w:type="dxa"/>
            <w:tcBorders>
              <w:top w:val="nil"/>
              <w:left w:val="nil"/>
              <w:bottom w:val="nil"/>
              <w:right w:val="nil"/>
            </w:tcBorders>
            <w:shd w:val="clear" w:color="auto" w:fill="auto"/>
          </w:tcPr>
          <w:p w14:paraId="4F3EC129" w14:textId="04996E7C" w:rsidR="006D7452" w:rsidRPr="004D7DFE" w:rsidRDefault="006D7452" w:rsidP="006D7452">
            <w:pPr>
              <w:ind w:firstLine="0"/>
              <w:jc w:val="center"/>
            </w:pPr>
            <w:r w:rsidRPr="004D7DFE">
              <w:t>42</w:t>
            </w:r>
          </w:p>
        </w:tc>
      </w:tr>
      <w:tr w:rsidR="006D7452" w:rsidRPr="004D7DFE" w14:paraId="7D32DDCD" w14:textId="77777777" w:rsidTr="00E133B9">
        <w:tc>
          <w:tcPr>
            <w:tcW w:w="2268" w:type="dxa"/>
            <w:tcBorders>
              <w:top w:val="nil"/>
              <w:left w:val="nil"/>
              <w:bottom w:val="nil"/>
              <w:right w:val="nil"/>
            </w:tcBorders>
          </w:tcPr>
          <w:p w14:paraId="1D9B6678" w14:textId="704E7C4E" w:rsidR="006D7452" w:rsidRPr="004D7DFE" w:rsidRDefault="006D7452" w:rsidP="006D7452">
            <w:pPr>
              <w:ind w:firstLine="0"/>
            </w:pPr>
            <w:r w:rsidRPr="006473DD">
              <w:t>NIS 2</w:t>
            </w:r>
            <w:r>
              <w:t>K</w:t>
            </w:r>
            <w:r w:rsidRPr="006473DD">
              <w:t>–20</w:t>
            </w:r>
            <w:r>
              <w:t>K</w:t>
            </w:r>
          </w:p>
        </w:tc>
        <w:tc>
          <w:tcPr>
            <w:tcW w:w="1298" w:type="dxa"/>
            <w:tcBorders>
              <w:top w:val="nil"/>
              <w:left w:val="nil"/>
              <w:bottom w:val="nil"/>
              <w:right w:val="nil"/>
            </w:tcBorders>
            <w:shd w:val="clear" w:color="auto" w:fill="auto"/>
          </w:tcPr>
          <w:p w14:paraId="6DB6D472" w14:textId="55F7DBCA" w:rsidR="006D7452" w:rsidRPr="004D7DFE" w:rsidRDefault="006D7452" w:rsidP="006D7452">
            <w:pPr>
              <w:ind w:firstLine="0"/>
              <w:jc w:val="center"/>
            </w:pPr>
            <w:r w:rsidRPr="004D7DFE">
              <w:t>29%</w:t>
            </w:r>
          </w:p>
        </w:tc>
        <w:tc>
          <w:tcPr>
            <w:tcW w:w="1299" w:type="dxa"/>
            <w:tcBorders>
              <w:top w:val="nil"/>
              <w:left w:val="nil"/>
              <w:bottom w:val="nil"/>
              <w:right w:val="nil"/>
            </w:tcBorders>
            <w:shd w:val="clear" w:color="auto" w:fill="auto"/>
          </w:tcPr>
          <w:p w14:paraId="1A0104DD" w14:textId="40A69DC3" w:rsidR="006D7452" w:rsidRPr="004D7DFE" w:rsidRDefault="006D7452" w:rsidP="006D7452">
            <w:pPr>
              <w:ind w:firstLine="0"/>
              <w:jc w:val="center"/>
            </w:pPr>
            <w:r w:rsidRPr="004D7DFE">
              <w:t>36%</w:t>
            </w:r>
          </w:p>
        </w:tc>
        <w:tc>
          <w:tcPr>
            <w:tcW w:w="1299" w:type="dxa"/>
            <w:tcBorders>
              <w:top w:val="nil"/>
              <w:left w:val="nil"/>
              <w:bottom w:val="nil"/>
              <w:right w:val="nil"/>
            </w:tcBorders>
            <w:shd w:val="clear" w:color="auto" w:fill="auto"/>
          </w:tcPr>
          <w:p w14:paraId="3424580B" w14:textId="0C3DAA7D" w:rsidR="006D7452" w:rsidRPr="004D7DFE" w:rsidRDefault="006D7452" w:rsidP="006D7452">
            <w:pPr>
              <w:ind w:firstLine="0"/>
              <w:jc w:val="center"/>
            </w:pPr>
            <w:r w:rsidRPr="004D7DFE">
              <w:t>290</w:t>
            </w:r>
          </w:p>
        </w:tc>
        <w:tc>
          <w:tcPr>
            <w:tcW w:w="1298" w:type="dxa"/>
            <w:tcBorders>
              <w:top w:val="nil"/>
              <w:left w:val="nil"/>
              <w:bottom w:val="nil"/>
              <w:right w:val="nil"/>
            </w:tcBorders>
            <w:shd w:val="clear" w:color="auto" w:fill="auto"/>
          </w:tcPr>
          <w:p w14:paraId="71527BF4" w14:textId="18F424FA" w:rsidR="006D7452" w:rsidRPr="004D7DFE" w:rsidRDefault="006D7452" w:rsidP="006D7452">
            <w:pPr>
              <w:ind w:firstLine="0"/>
              <w:jc w:val="center"/>
            </w:pPr>
            <w:r w:rsidRPr="004D7DFE">
              <w:t>49</w:t>
            </w:r>
          </w:p>
        </w:tc>
        <w:tc>
          <w:tcPr>
            <w:tcW w:w="1299" w:type="dxa"/>
            <w:tcBorders>
              <w:top w:val="nil"/>
              <w:left w:val="nil"/>
              <w:bottom w:val="nil"/>
              <w:right w:val="nil"/>
            </w:tcBorders>
            <w:shd w:val="clear" w:color="auto" w:fill="auto"/>
          </w:tcPr>
          <w:p w14:paraId="046A374E" w14:textId="20F159DC" w:rsidR="006D7452" w:rsidRPr="004D7DFE" w:rsidRDefault="006D7452" w:rsidP="006D7452">
            <w:pPr>
              <w:ind w:firstLine="0"/>
              <w:jc w:val="center"/>
            </w:pPr>
            <w:r w:rsidRPr="004D7DFE">
              <w:t>701</w:t>
            </w:r>
          </w:p>
        </w:tc>
        <w:tc>
          <w:tcPr>
            <w:tcW w:w="1299" w:type="dxa"/>
            <w:tcBorders>
              <w:top w:val="nil"/>
              <w:left w:val="nil"/>
              <w:bottom w:val="nil"/>
              <w:right w:val="nil"/>
            </w:tcBorders>
            <w:shd w:val="clear" w:color="auto" w:fill="auto"/>
          </w:tcPr>
          <w:p w14:paraId="79D861F5" w14:textId="39EC4551" w:rsidR="006D7452" w:rsidRPr="004D7DFE" w:rsidRDefault="006D7452" w:rsidP="006D7452">
            <w:pPr>
              <w:ind w:firstLine="0"/>
              <w:jc w:val="center"/>
            </w:pPr>
            <w:r w:rsidRPr="004D7DFE">
              <w:t>89</w:t>
            </w:r>
          </w:p>
        </w:tc>
      </w:tr>
      <w:tr w:rsidR="006D7452" w:rsidRPr="004D7DFE" w14:paraId="279FFC75" w14:textId="77777777" w:rsidTr="00E133B9">
        <w:tc>
          <w:tcPr>
            <w:tcW w:w="2268" w:type="dxa"/>
            <w:tcBorders>
              <w:top w:val="nil"/>
              <w:left w:val="nil"/>
              <w:bottom w:val="nil"/>
              <w:right w:val="nil"/>
            </w:tcBorders>
          </w:tcPr>
          <w:p w14:paraId="316EBE41" w14:textId="6C3CF5F1" w:rsidR="006D7452" w:rsidRPr="004D7DFE" w:rsidRDefault="006D7452" w:rsidP="006D7452">
            <w:pPr>
              <w:ind w:firstLine="0"/>
            </w:pPr>
            <w:r w:rsidRPr="004D7DFE">
              <w:t>NIS 20</w:t>
            </w:r>
            <w:r>
              <w:t>K</w:t>
            </w:r>
            <w:r w:rsidRPr="004D7DFE">
              <w:t>–100</w:t>
            </w:r>
            <w:r>
              <w:t>K</w:t>
            </w:r>
          </w:p>
        </w:tc>
        <w:tc>
          <w:tcPr>
            <w:tcW w:w="1298" w:type="dxa"/>
            <w:tcBorders>
              <w:top w:val="nil"/>
              <w:left w:val="nil"/>
              <w:bottom w:val="nil"/>
              <w:right w:val="nil"/>
            </w:tcBorders>
            <w:shd w:val="clear" w:color="auto" w:fill="auto"/>
          </w:tcPr>
          <w:p w14:paraId="00859BE2" w14:textId="1C9F98DF" w:rsidR="006D7452" w:rsidRPr="004D7DFE" w:rsidRDefault="006D7452" w:rsidP="006D7452">
            <w:pPr>
              <w:ind w:firstLine="0"/>
              <w:jc w:val="center"/>
            </w:pPr>
            <w:r w:rsidRPr="004D7DFE">
              <w:t>95%</w:t>
            </w:r>
          </w:p>
        </w:tc>
        <w:tc>
          <w:tcPr>
            <w:tcW w:w="1299" w:type="dxa"/>
            <w:tcBorders>
              <w:top w:val="nil"/>
              <w:left w:val="nil"/>
              <w:bottom w:val="nil"/>
              <w:right w:val="nil"/>
            </w:tcBorders>
            <w:shd w:val="clear" w:color="auto" w:fill="auto"/>
          </w:tcPr>
          <w:p w14:paraId="20B9DF88" w14:textId="0BF11C03" w:rsidR="006D7452" w:rsidRPr="004D7DFE" w:rsidRDefault="006D7452" w:rsidP="006D7452">
            <w:pPr>
              <w:ind w:firstLine="0"/>
              <w:jc w:val="center"/>
            </w:pPr>
            <w:r w:rsidRPr="004D7DFE">
              <w:t>49%</w:t>
            </w:r>
          </w:p>
        </w:tc>
        <w:tc>
          <w:tcPr>
            <w:tcW w:w="1299" w:type="dxa"/>
            <w:tcBorders>
              <w:top w:val="nil"/>
              <w:left w:val="nil"/>
              <w:bottom w:val="nil"/>
              <w:right w:val="nil"/>
            </w:tcBorders>
            <w:shd w:val="clear" w:color="auto" w:fill="auto"/>
          </w:tcPr>
          <w:p w14:paraId="15C12141" w14:textId="0B015157" w:rsidR="006D7452" w:rsidRPr="004D7DFE" w:rsidRDefault="006D7452" w:rsidP="006D7452">
            <w:pPr>
              <w:ind w:firstLine="0"/>
              <w:jc w:val="center"/>
            </w:pPr>
            <w:r w:rsidRPr="004D7DFE">
              <w:t>313</w:t>
            </w:r>
          </w:p>
        </w:tc>
        <w:tc>
          <w:tcPr>
            <w:tcW w:w="1298" w:type="dxa"/>
            <w:tcBorders>
              <w:top w:val="nil"/>
              <w:left w:val="nil"/>
              <w:bottom w:val="nil"/>
              <w:right w:val="nil"/>
            </w:tcBorders>
            <w:shd w:val="clear" w:color="auto" w:fill="auto"/>
          </w:tcPr>
          <w:p w14:paraId="2D25661C" w14:textId="4FB22BCB" w:rsidR="006D7452" w:rsidRPr="004D7DFE" w:rsidRDefault="006D7452" w:rsidP="006D7452">
            <w:pPr>
              <w:ind w:firstLine="0"/>
              <w:jc w:val="center"/>
            </w:pPr>
            <w:r w:rsidRPr="004D7DFE">
              <w:t>120</w:t>
            </w:r>
          </w:p>
        </w:tc>
        <w:tc>
          <w:tcPr>
            <w:tcW w:w="1299" w:type="dxa"/>
            <w:tcBorders>
              <w:top w:val="nil"/>
              <w:left w:val="nil"/>
              <w:bottom w:val="nil"/>
              <w:right w:val="nil"/>
            </w:tcBorders>
            <w:shd w:val="clear" w:color="auto" w:fill="auto"/>
          </w:tcPr>
          <w:p w14:paraId="0ECB17CE" w14:textId="19BEA904" w:rsidR="006D7452" w:rsidRPr="004D7DFE" w:rsidRDefault="006D7452" w:rsidP="006D7452">
            <w:pPr>
              <w:ind w:firstLine="0"/>
              <w:jc w:val="center"/>
            </w:pPr>
            <w:r w:rsidRPr="004D7DFE">
              <w:t>17</w:t>
            </w:r>
          </w:p>
        </w:tc>
        <w:tc>
          <w:tcPr>
            <w:tcW w:w="1299" w:type="dxa"/>
            <w:tcBorders>
              <w:top w:val="nil"/>
              <w:left w:val="nil"/>
              <w:bottom w:val="nil"/>
              <w:right w:val="nil"/>
            </w:tcBorders>
            <w:shd w:val="clear" w:color="auto" w:fill="auto"/>
          </w:tcPr>
          <w:p w14:paraId="205CEA94" w14:textId="7D230253" w:rsidR="006D7452" w:rsidRPr="004D7DFE" w:rsidRDefault="006D7452" w:rsidP="006D7452">
            <w:pPr>
              <w:ind w:firstLine="0"/>
              <w:jc w:val="center"/>
            </w:pPr>
            <w:r w:rsidRPr="004D7DFE">
              <w:t>126</w:t>
            </w:r>
          </w:p>
        </w:tc>
      </w:tr>
      <w:tr w:rsidR="006D7452" w:rsidRPr="004D7DFE" w14:paraId="1B2CBF97" w14:textId="77777777" w:rsidTr="00E133B9">
        <w:tc>
          <w:tcPr>
            <w:tcW w:w="2268" w:type="dxa"/>
            <w:tcBorders>
              <w:top w:val="nil"/>
              <w:left w:val="nil"/>
              <w:bottom w:val="nil"/>
              <w:right w:val="nil"/>
            </w:tcBorders>
          </w:tcPr>
          <w:p w14:paraId="31F2EEC3" w14:textId="52ECFB92" w:rsidR="006D7452" w:rsidRPr="004D7DFE" w:rsidRDefault="006D7452" w:rsidP="006D7452">
            <w:pPr>
              <w:ind w:firstLine="0"/>
            </w:pPr>
            <w:r w:rsidRPr="004D7DFE">
              <w:t>NIS 100</w:t>
            </w:r>
            <w:r>
              <w:t>K</w:t>
            </w:r>
            <w:r w:rsidRPr="004D7DFE">
              <w:t xml:space="preserve"> –</w:t>
            </w:r>
            <w:r>
              <w:t xml:space="preserve"> </w:t>
            </w:r>
            <w:r w:rsidRPr="004D7DFE">
              <w:t>NIS 1</w:t>
            </w:r>
            <w:r>
              <w:t>M</w:t>
            </w:r>
          </w:p>
        </w:tc>
        <w:tc>
          <w:tcPr>
            <w:tcW w:w="1298" w:type="dxa"/>
            <w:tcBorders>
              <w:top w:val="nil"/>
              <w:left w:val="nil"/>
              <w:bottom w:val="nil"/>
              <w:right w:val="nil"/>
            </w:tcBorders>
            <w:shd w:val="clear" w:color="auto" w:fill="auto"/>
          </w:tcPr>
          <w:p w14:paraId="4FBE8801" w14:textId="27E19DDA" w:rsidR="006D7452" w:rsidRPr="004D7DFE" w:rsidRDefault="006D7452" w:rsidP="006D7452">
            <w:pPr>
              <w:ind w:firstLine="0"/>
              <w:jc w:val="center"/>
            </w:pPr>
            <w:r w:rsidRPr="004D7DFE">
              <w:t>54%</w:t>
            </w:r>
          </w:p>
        </w:tc>
        <w:tc>
          <w:tcPr>
            <w:tcW w:w="1299" w:type="dxa"/>
            <w:tcBorders>
              <w:top w:val="nil"/>
              <w:left w:val="nil"/>
              <w:bottom w:val="nil"/>
              <w:right w:val="nil"/>
            </w:tcBorders>
            <w:shd w:val="clear" w:color="auto" w:fill="auto"/>
          </w:tcPr>
          <w:p w14:paraId="5B746E0C" w14:textId="3BE4F4AC" w:rsidR="006D7452" w:rsidRPr="004D7DFE" w:rsidRDefault="006D7452" w:rsidP="006D7452">
            <w:pPr>
              <w:ind w:firstLine="0"/>
              <w:jc w:val="center"/>
            </w:pPr>
            <w:r w:rsidRPr="004D7DFE">
              <w:t>63%</w:t>
            </w:r>
          </w:p>
        </w:tc>
        <w:tc>
          <w:tcPr>
            <w:tcW w:w="1299" w:type="dxa"/>
            <w:tcBorders>
              <w:top w:val="nil"/>
              <w:left w:val="nil"/>
              <w:bottom w:val="nil"/>
              <w:right w:val="nil"/>
            </w:tcBorders>
            <w:shd w:val="clear" w:color="auto" w:fill="auto"/>
          </w:tcPr>
          <w:p w14:paraId="1CAE9A7A" w14:textId="4E8A726D" w:rsidR="006D7452" w:rsidRPr="004D7DFE" w:rsidRDefault="006D7452" w:rsidP="006D7452">
            <w:pPr>
              <w:ind w:firstLine="0"/>
              <w:jc w:val="center"/>
            </w:pPr>
            <w:r w:rsidRPr="004D7DFE">
              <w:t>242</w:t>
            </w:r>
          </w:p>
        </w:tc>
        <w:tc>
          <w:tcPr>
            <w:tcW w:w="1298" w:type="dxa"/>
            <w:tcBorders>
              <w:top w:val="nil"/>
              <w:left w:val="nil"/>
              <w:bottom w:val="nil"/>
              <w:right w:val="nil"/>
            </w:tcBorders>
            <w:shd w:val="clear" w:color="auto" w:fill="auto"/>
          </w:tcPr>
          <w:p w14:paraId="7169052C" w14:textId="39E53FF8" w:rsidR="006D7452" w:rsidRPr="004D7DFE" w:rsidRDefault="006D7452" w:rsidP="006D7452">
            <w:pPr>
              <w:ind w:firstLine="0"/>
              <w:jc w:val="center"/>
            </w:pPr>
            <w:r w:rsidRPr="004D7DFE">
              <w:t>336</w:t>
            </w:r>
          </w:p>
        </w:tc>
        <w:tc>
          <w:tcPr>
            <w:tcW w:w="1299" w:type="dxa"/>
            <w:tcBorders>
              <w:top w:val="nil"/>
              <w:left w:val="nil"/>
              <w:bottom w:val="nil"/>
              <w:right w:val="nil"/>
            </w:tcBorders>
            <w:shd w:val="clear" w:color="auto" w:fill="auto"/>
          </w:tcPr>
          <w:p w14:paraId="64F8546E" w14:textId="1F7D02EB" w:rsidR="006D7452" w:rsidRPr="004D7DFE" w:rsidRDefault="006D7452" w:rsidP="006D7452">
            <w:pPr>
              <w:ind w:firstLine="0"/>
              <w:jc w:val="center"/>
            </w:pPr>
            <w:r w:rsidRPr="004D7DFE">
              <w:t>203</w:t>
            </w:r>
          </w:p>
        </w:tc>
        <w:tc>
          <w:tcPr>
            <w:tcW w:w="1299" w:type="dxa"/>
            <w:tcBorders>
              <w:top w:val="nil"/>
              <w:left w:val="nil"/>
              <w:bottom w:val="nil"/>
              <w:right w:val="nil"/>
            </w:tcBorders>
            <w:shd w:val="clear" w:color="auto" w:fill="auto"/>
          </w:tcPr>
          <w:p w14:paraId="25CBEC16" w14:textId="1E055B90" w:rsidR="006D7452" w:rsidRPr="004D7DFE" w:rsidRDefault="006D7452" w:rsidP="006D7452">
            <w:pPr>
              <w:ind w:firstLine="0"/>
              <w:jc w:val="center"/>
            </w:pPr>
            <w:r w:rsidRPr="004D7DFE">
              <w:t>200</w:t>
            </w:r>
          </w:p>
        </w:tc>
      </w:tr>
      <w:tr w:rsidR="006D7452" w:rsidRPr="004D7DFE" w14:paraId="16A60C92" w14:textId="77777777" w:rsidTr="00E133B9">
        <w:tc>
          <w:tcPr>
            <w:tcW w:w="2268" w:type="dxa"/>
            <w:tcBorders>
              <w:top w:val="nil"/>
              <w:left w:val="nil"/>
              <w:bottom w:val="single" w:sz="8" w:space="0" w:color="auto"/>
              <w:right w:val="nil"/>
            </w:tcBorders>
            <w:shd w:val="clear" w:color="auto" w:fill="auto"/>
          </w:tcPr>
          <w:p w14:paraId="1A041615" w14:textId="4DE2D91F" w:rsidR="006D7452" w:rsidRPr="004D7DFE" w:rsidRDefault="006D7452" w:rsidP="006D7452">
            <w:pPr>
              <w:ind w:firstLine="0"/>
            </w:pPr>
            <w:r w:rsidRPr="004D7DFE">
              <w:t>Above NIS 1</w:t>
            </w:r>
            <w:r>
              <w:t>M</w:t>
            </w:r>
          </w:p>
        </w:tc>
        <w:tc>
          <w:tcPr>
            <w:tcW w:w="1298" w:type="dxa"/>
            <w:tcBorders>
              <w:top w:val="nil"/>
              <w:left w:val="nil"/>
              <w:bottom w:val="single" w:sz="8" w:space="0" w:color="auto"/>
              <w:right w:val="nil"/>
            </w:tcBorders>
            <w:shd w:val="clear" w:color="auto" w:fill="auto"/>
          </w:tcPr>
          <w:p w14:paraId="29CFE019" w14:textId="4E89B8AB" w:rsidR="006D7452" w:rsidRPr="004D7DFE" w:rsidRDefault="006D7452" w:rsidP="006D7452">
            <w:pPr>
              <w:ind w:firstLine="0"/>
              <w:jc w:val="center"/>
            </w:pPr>
            <w:r w:rsidRPr="004D7DFE">
              <w:t>95%</w:t>
            </w:r>
          </w:p>
        </w:tc>
        <w:tc>
          <w:tcPr>
            <w:tcW w:w="1299" w:type="dxa"/>
            <w:tcBorders>
              <w:top w:val="nil"/>
              <w:left w:val="nil"/>
              <w:bottom w:val="single" w:sz="8" w:space="0" w:color="auto"/>
              <w:right w:val="nil"/>
            </w:tcBorders>
            <w:shd w:val="clear" w:color="auto" w:fill="auto"/>
          </w:tcPr>
          <w:p w14:paraId="26D4E8F7" w14:textId="4F2084C3" w:rsidR="006D7452" w:rsidRPr="004D7DFE" w:rsidRDefault="006D7452" w:rsidP="006D7452">
            <w:pPr>
              <w:ind w:firstLine="0"/>
              <w:jc w:val="center"/>
            </w:pPr>
            <w:r w:rsidRPr="004D7DFE">
              <w:t>83%</w:t>
            </w:r>
          </w:p>
        </w:tc>
        <w:tc>
          <w:tcPr>
            <w:tcW w:w="1299" w:type="dxa"/>
            <w:tcBorders>
              <w:top w:val="nil"/>
              <w:left w:val="nil"/>
              <w:bottom w:val="single" w:sz="8" w:space="0" w:color="auto"/>
              <w:right w:val="nil"/>
            </w:tcBorders>
            <w:shd w:val="clear" w:color="auto" w:fill="auto"/>
          </w:tcPr>
          <w:p w14:paraId="50FA02F4" w14:textId="7883B571" w:rsidR="006D7452" w:rsidRPr="004D7DFE" w:rsidRDefault="006D7452" w:rsidP="006D7452">
            <w:pPr>
              <w:ind w:firstLine="0"/>
              <w:jc w:val="center"/>
            </w:pPr>
            <w:r w:rsidRPr="004D7DFE">
              <w:t>424</w:t>
            </w:r>
          </w:p>
        </w:tc>
        <w:tc>
          <w:tcPr>
            <w:tcW w:w="1298" w:type="dxa"/>
            <w:tcBorders>
              <w:top w:val="nil"/>
              <w:left w:val="nil"/>
              <w:bottom w:val="single" w:sz="8" w:space="0" w:color="auto"/>
              <w:right w:val="nil"/>
            </w:tcBorders>
            <w:shd w:val="clear" w:color="auto" w:fill="auto"/>
          </w:tcPr>
          <w:p w14:paraId="22501F76" w14:textId="4983CD16" w:rsidR="006D7452" w:rsidRPr="004D7DFE" w:rsidRDefault="006D7452" w:rsidP="006D7452">
            <w:pPr>
              <w:ind w:firstLine="0"/>
              <w:jc w:val="center"/>
            </w:pPr>
            <w:r w:rsidRPr="004D7DFE">
              <w:t>658</w:t>
            </w:r>
          </w:p>
        </w:tc>
        <w:tc>
          <w:tcPr>
            <w:tcW w:w="1299" w:type="dxa"/>
            <w:tcBorders>
              <w:top w:val="nil"/>
              <w:left w:val="nil"/>
              <w:bottom w:val="single" w:sz="8" w:space="0" w:color="auto"/>
              <w:right w:val="nil"/>
            </w:tcBorders>
            <w:shd w:val="clear" w:color="auto" w:fill="auto"/>
          </w:tcPr>
          <w:p w14:paraId="76D3BD04" w14:textId="50EF90F2" w:rsidR="006D7452" w:rsidRPr="004D7DFE" w:rsidRDefault="006D7452" w:rsidP="006D7452">
            <w:pPr>
              <w:ind w:firstLine="0"/>
              <w:jc w:val="center"/>
            </w:pPr>
            <w:r w:rsidRPr="004D7DFE">
              <w:t>20</w:t>
            </w:r>
          </w:p>
        </w:tc>
        <w:tc>
          <w:tcPr>
            <w:tcW w:w="1299" w:type="dxa"/>
            <w:tcBorders>
              <w:top w:val="nil"/>
              <w:left w:val="nil"/>
              <w:bottom w:val="single" w:sz="8" w:space="0" w:color="auto"/>
              <w:right w:val="nil"/>
            </w:tcBorders>
            <w:shd w:val="clear" w:color="auto" w:fill="auto"/>
          </w:tcPr>
          <w:p w14:paraId="340749C6" w14:textId="1F6C9A26" w:rsidR="006D7452" w:rsidRPr="004D7DFE" w:rsidRDefault="006D7452" w:rsidP="006D7452">
            <w:pPr>
              <w:ind w:firstLine="0"/>
              <w:jc w:val="center"/>
            </w:pPr>
            <w:r w:rsidRPr="004D7DFE">
              <w:t>133</w:t>
            </w:r>
          </w:p>
        </w:tc>
      </w:tr>
    </w:tbl>
    <w:p w14:paraId="7B3CF622" w14:textId="77777777" w:rsidR="003D6CE1" w:rsidRPr="004D7DFE" w:rsidRDefault="003D6CE1" w:rsidP="00C9627A">
      <w:pPr>
        <w:ind w:firstLine="0"/>
      </w:pPr>
    </w:p>
    <w:p w14:paraId="6CFC2477" w14:textId="6046711B" w:rsidR="000E391D" w:rsidRPr="004D7DFE" w:rsidRDefault="00586181">
      <w:r w:rsidRPr="004D7DFE">
        <w:lastRenderedPageBreak/>
        <w:t>Figure 4 summarize</w:t>
      </w:r>
      <w:r w:rsidR="0037263C" w:rsidRPr="004D7DFE">
        <w:t>s</w:t>
      </w:r>
      <w:r w:rsidRPr="004D7DFE">
        <w:t xml:space="preserve"> the data and </w:t>
      </w:r>
      <w:r w:rsidR="00E76813">
        <w:t xml:space="preserve">maps the actual outcome of </w:t>
      </w:r>
      <w:r w:rsidRPr="004D7DFE">
        <w:t>tax poli</w:t>
      </w:r>
      <w:r w:rsidR="00582FDA">
        <w:t xml:space="preserve">cy </w:t>
      </w:r>
      <w:r w:rsidR="00557A32">
        <w:t>toward</w:t>
      </w:r>
      <w:r w:rsidR="00582FDA">
        <w:t xml:space="preserve"> </w:t>
      </w:r>
      <w:r w:rsidRPr="004D7DFE">
        <w:t xml:space="preserve">charitable giving in Israel in 2018. </w:t>
      </w:r>
      <w:r w:rsidR="00E76813">
        <w:t xml:space="preserve">The map </w:t>
      </w:r>
      <w:r w:rsidR="00EE5E2D">
        <w:t>departures from</w:t>
      </w:r>
      <w:r w:rsidR="00061B6B" w:rsidRPr="00061B6B">
        <w:t xml:space="preserve"> </w:t>
      </w:r>
      <w:r w:rsidR="00061B6B">
        <w:t>NIS</w:t>
      </w:r>
      <w:r w:rsidR="00E76813">
        <w:t> </w:t>
      </w:r>
      <w:r w:rsidR="00FA6781" w:rsidRPr="004D7DFE">
        <w:t xml:space="preserve">7 </w:t>
      </w:r>
      <w:r w:rsidR="003922FC">
        <w:t>billion</w:t>
      </w:r>
      <w:r w:rsidRPr="004D7DFE">
        <w:t xml:space="preserve"> </w:t>
      </w:r>
      <w:r w:rsidR="00E76813">
        <w:t xml:space="preserve">in </w:t>
      </w:r>
      <w:r w:rsidRPr="004D7DFE">
        <w:t xml:space="preserve">total private donations from individuals and </w:t>
      </w:r>
      <w:r w:rsidR="00E76813">
        <w:t>companies</w:t>
      </w:r>
      <w:r w:rsidR="003411BE" w:rsidRPr="004D7DFE">
        <w:t xml:space="preserve">. 23% of </w:t>
      </w:r>
      <w:r w:rsidR="00E76813">
        <w:t xml:space="preserve">this </w:t>
      </w:r>
      <w:r w:rsidR="003411BE" w:rsidRPr="004D7DFE">
        <w:t>total donation</w:t>
      </w:r>
      <w:r w:rsidR="00E76813">
        <w:t xml:space="preserve"> is </w:t>
      </w:r>
      <w:r w:rsidR="003411BE" w:rsidRPr="004D7DFE">
        <w:t xml:space="preserve">ineligible due to the policy </w:t>
      </w:r>
      <w:r w:rsidR="00480C2D" w:rsidRPr="004D7DFE">
        <w:t>boundaries</w:t>
      </w:r>
      <w:r w:rsidR="00CE07F1" w:rsidRPr="004D7DFE">
        <w:t xml:space="preserve"> (Figure 4, </w:t>
      </w:r>
      <w:r w:rsidR="001851BF" w:rsidRPr="004D7DFE">
        <w:t xml:space="preserve">the </w:t>
      </w:r>
      <w:r w:rsidR="00C45DAC">
        <w:t xml:space="preserve">lightest </w:t>
      </w:r>
      <w:r w:rsidR="00CE07F1" w:rsidRPr="004D7DFE">
        <w:t xml:space="preserve">grey </w:t>
      </w:r>
      <w:r w:rsidR="001851BF" w:rsidRPr="004D7DFE">
        <w:t xml:space="preserve">circular </w:t>
      </w:r>
      <w:r w:rsidR="00CE07F1" w:rsidRPr="004D7DFE">
        <w:t>sectors)</w:t>
      </w:r>
      <w:r w:rsidR="003411BE" w:rsidRPr="004D7DFE">
        <w:t xml:space="preserve">. </w:t>
      </w:r>
      <w:r w:rsidR="009916BD" w:rsidRPr="004D7DFE">
        <w:t>The</w:t>
      </w:r>
      <w:r w:rsidR="00CE07F1" w:rsidRPr="004D7DFE">
        <w:t xml:space="preserve"> rest </w:t>
      </w:r>
      <w:r w:rsidR="00E76813">
        <w:t xml:space="preserve">is </w:t>
      </w:r>
      <w:r w:rsidR="00CE07F1" w:rsidRPr="004D7DFE">
        <w:t xml:space="preserve">eligible for </w:t>
      </w:r>
      <w:r w:rsidR="00E76813">
        <w:t xml:space="preserve">the </w:t>
      </w:r>
      <w:r w:rsidR="00CE07F1" w:rsidRPr="004D7DFE">
        <w:t xml:space="preserve">tax benefit. The </w:t>
      </w:r>
      <w:r w:rsidR="009916BD" w:rsidRPr="004D7DFE">
        <w:t xml:space="preserve">scope of eligible donations reflects the actual </w:t>
      </w:r>
      <w:r w:rsidR="009916BD" w:rsidRPr="004D7DFE">
        <w:rPr>
          <w:b/>
          <w:bCs/>
        </w:rPr>
        <w:t>potential</w:t>
      </w:r>
      <w:r w:rsidR="009916BD" w:rsidRPr="004D7DFE">
        <w:t xml:space="preserve"> of the tax benefit</w:t>
      </w:r>
      <w:r w:rsidR="009B0875" w:rsidRPr="004D7DFE">
        <w:t xml:space="preserve"> – </w:t>
      </w:r>
      <w:r w:rsidR="00CE07F1" w:rsidRPr="004D7DFE">
        <w:t xml:space="preserve">77% of donations. The largest portion </w:t>
      </w:r>
      <w:r w:rsidR="00CE6C24" w:rsidRPr="004D7DFE">
        <w:t>of donation</w:t>
      </w:r>
      <w:r w:rsidR="00E76813">
        <w:t>s</w:t>
      </w:r>
      <w:r w:rsidR="009B0875" w:rsidRPr="004D7DFE">
        <w:t xml:space="preserve"> – </w:t>
      </w:r>
      <w:r w:rsidR="00CE07F1" w:rsidRPr="004D7DFE">
        <w:t>41% of total donations</w:t>
      </w:r>
      <w:r w:rsidR="009B0875" w:rsidRPr="004D7DFE">
        <w:t xml:space="preserve"> – </w:t>
      </w:r>
      <w:r w:rsidR="00CE07F1" w:rsidRPr="004D7DFE">
        <w:t xml:space="preserve">are eligible donations </w:t>
      </w:r>
      <w:r w:rsidR="00E76813">
        <w:t xml:space="preserve">that </w:t>
      </w:r>
      <w:r w:rsidR="00E76813" w:rsidRPr="004D7DFE">
        <w:t xml:space="preserve">donors </w:t>
      </w:r>
      <w:r w:rsidR="00E76813">
        <w:t xml:space="preserve">do </w:t>
      </w:r>
      <w:r w:rsidR="00CE07F1" w:rsidRPr="004D7DFE">
        <w:t>not report</w:t>
      </w:r>
      <w:r w:rsidR="00E76813">
        <w:t xml:space="preserve"> </w:t>
      </w:r>
      <w:r w:rsidR="00CE07F1" w:rsidRPr="004D7DFE">
        <w:t>the ITA</w:t>
      </w:r>
      <w:r w:rsidR="00E76813">
        <w:t xml:space="preserve">, resulting in zero </w:t>
      </w:r>
      <w:r w:rsidR="00CE07F1" w:rsidRPr="004D7DFE">
        <w:t>take-up</w:t>
      </w:r>
      <w:r w:rsidR="00E76813">
        <w:t xml:space="preserve"> of the benefit</w:t>
      </w:r>
      <w:r w:rsidR="00CE6C24" w:rsidRPr="004D7DFE">
        <w:t>. Most of the</w:t>
      </w:r>
      <w:r w:rsidR="00E76813">
        <w:t xml:space="preserve">se donations come </w:t>
      </w:r>
      <w:r w:rsidR="00CE6C24" w:rsidRPr="004D7DFE">
        <w:t>from individuals (Figure 4,</w:t>
      </w:r>
      <w:r w:rsidR="001851BF" w:rsidRPr="004D7DFE">
        <w:t xml:space="preserve"> the </w:t>
      </w:r>
      <w:r w:rsidR="00C45DAC">
        <w:t xml:space="preserve">dark </w:t>
      </w:r>
      <w:r w:rsidR="00C45DAC" w:rsidRPr="004D7DFE">
        <w:t xml:space="preserve">grey </w:t>
      </w:r>
      <w:r w:rsidR="001851BF" w:rsidRPr="004D7DFE">
        <w:t xml:space="preserve">circular </w:t>
      </w:r>
      <w:r w:rsidR="00CE6C24" w:rsidRPr="004D7DFE">
        <w:t xml:space="preserve">sectors). </w:t>
      </w:r>
      <w:r w:rsidR="00E76813">
        <w:t xml:space="preserve">This leaves </w:t>
      </w:r>
      <w:r w:rsidR="00CE6C24" w:rsidRPr="004D7DFE">
        <w:t xml:space="preserve">us with 36% of total donations that were reported by donors who </w:t>
      </w:r>
      <w:r w:rsidR="00AA1F47">
        <w:t>claimed</w:t>
      </w:r>
      <w:r w:rsidR="00CE6C24" w:rsidRPr="004D7DFE">
        <w:t xml:space="preserve"> the benefit and received partial or full tax credit (Figure 4, </w:t>
      </w:r>
      <w:r w:rsidR="001851BF" w:rsidRPr="004D7DFE">
        <w:t xml:space="preserve">the </w:t>
      </w:r>
      <w:r w:rsidR="00C45DAC">
        <w:t>black</w:t>
      </w:r>
      <w:r w:rsidR="00CE6C24" w:rsidRPr="004D7DFE">
        <w:t xml:space="preserve"> </w:t>
      </w:r>
      <w:r w:rsidR="001851BF" w:rsidRPr="004D7DFE">
        <w:t xml:space="preserve">circular </w:t>
      </w:r>
      <w:r w:rsidR="00CE6C24" w:rsidRPr="004D7DFE">
        <w:t xml:space="preserve">sectors). </w:t>
      </w:r>
    </w:p>
    <w:p w14:paraId="17F36F25" w14:textId="50EBC7A9" w:rsidR="000E391D" w:rsidRPr="004D7DFE" w:rsidRDefault="00586181" w:rsidP="004B7492">
      <w:pPr>
        <w:pStyle w:val="Heading3"/>
      </w:pPr>
      <w:r w:rsidRPr="004D7DFE">
        <w:t xml:space="preserve">Figure </w:t>
      </w:r>
      <w:r w:rsidR="00CE07F1" w:rsidRPr="004D7DFE">
        <w:t>4</w:t>
      </w:r>
      <w:r w:rsidR="003D6F2F" w:rsidRPr="004D7DFE">
        <w:t>.</w:t>
      </w:r>
      <w:r w:rsidRPr="004D7DFE">
        <w:t xml:space="preserve"> </w:t>
      </w:r>
      <w:r w:rsidR="00CE6C24" w:rsidRPr="004D7DFE">
        <w:t xml:space="preserve">The map of </w:t>
      </w:r>
      <w:r w:rsidR="00582FDA">
        <w:t xml:space="preserve">realized </w:t>
      </w:r>
      <w:r w:rsidR="00CE6C24" w:rsidRPr="004D7DFE">
        <w:t xml:space="preserve">tax policy </w:t>
      </w:r>
      <w:r w:rsidR="00C714F9">
        <w:t>toward</w:t>
      </w:r>
      <w:r w:rsidR="00F00130" w:rsidRPr="004D7DFE">
        <w:t xml:space="preserve"> </w:t>
      </w:r>
      <w:r w:rsidR="00CE6C24" w:rsidRPr="004D7DFE">
        <w:t xml:space="preserve">charitable giving </w:t>
      </w:r>
      <w:r w:rsidR="00AA1F47">
        <w:t>in Israel</w:t>
      </w:r>
    </w:p>
    <w:p w14:paraId="0255654B" w14:textId="4FB27DF9" w:rsidR="000E391D" w:rsidRPr="004D7DFE" w:rsidRDefault="000E391D" w:rsidP="00C9627A"/>
    <w:p w14:paraId="392CA982" w14:textId="376B9B29" w:rsidR="000E391D" w:rsidRPr="004D7DFE" w:rsidRDefault="00E00FCE" w:rsidP="00DA6973">
      <w:pPr>
        <w:jc w:val="center"/>
      </w:pPr>
      <w:r>
        <w:rPr>
          <w:noProof/>
        </w:rPr>
        <w:drawing>
          <wp:inline distT="0" distB="0" distL="0" distR="0" wp14:anchorId="362C3F59" wp14:editId="45816CC7">
            <wp:extent cx="2503251" cy="2074611"/>
            <wp:effectExtent l="0" t="0" r="0" b="1905"/>
            <wp:docPr id="201022662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26623" name="תמונה 13"/>
                    <pic:cNvPicPr/>
                  </pic:nvPicPr>
                  <pic:blipFill rotWithShape="1">
                    <a:blip r:embed="rId14" cstate="print">
                      <a:extLst>
                        <a:ext uri="{28A0092B-C50C-407E-A947-70E740481C1C}">
                          <a14:useLocalDpi xmlns:a14="http://schemas.microsoft.com/office/drawing/2010/main" val="0"/>
                        </a:ext>
                      </a:extLst>
                    </a:blip>
                    <a:srcRect l="30153" t="16005" r="15065" b="3283"/>
                    <a:stretch/>
                  </pic:blipFill>
                  <pic:spPr bwMode="auto">
                    <a:xfrm>
                      <a:off x="0" y="0"/>
                      <a:ext cx="2514078" cy="2083584"/>
                    </a:xfrm>
                    <a:prstGeom prst="rect">
                      <a:avLst/>
                    </a:prstGeom>
                    <a:ln>
                      <a:noFill/>
                    </a:ln>
                    <a:extLst>
                      <a:ext uri="{53640926-AAD7-44D8-BBD7-CCE9431645EC}">
                        <a14:shadowObscured xmlns:a14="http://schemas.microsoft.com/office/drawing/2010/main"/>
                      </a:ext>
                    </a:extLst>
                  </pic:spPr>
                </pic:pic>
              </a:graphicData>
            </a:graphic>
          </wp:inline>
        </w:drawing>
      </w:r>
    </w:p>
    <w:p w14:paraId="1B1BA335" w14:textId="77777777" w:rsidR="003945FD" w:rsidRDefault="003945FD"/>
    <w:p w14:paraId="6624B398" w14:textId="499AC497" w:rsidR="00582FDA" w:rsidRDefault="00647FDB">
      <w:pPr>
        <w:rPr>
          <w:highlight w:val="yellow"/>
        </w:rPr>
      </w:pPr>
      <w:r w:rsidRPr="004D7DFE">
        <w:t xml:space="preserve">The scope of take-up reflects the relevance of the tax </w:t>
      </w:r>
      <w:r w:rsidR="00C76B4A">
        <w:t>benefit</w:t>
      </w:r>
      <w:r w:rsidRPr="004D7DFE">
        <w:t>.</w:t>
      </w:r>
      <w:r w:rsidR="008A02AF" w:rsidRPr="004D7DFE">
        <w:t xml:space="preserve"> </w:t>
      </w:r>
      <w:r w:rsidR="00E501A8">
        <w:t>“</w:t>
      </w:r>
      <w:r w:rsidR="008A02AF" w:rsidRPr="004D7DFE">
        <w:t>Relevance</w:t>
      </w:r>
      <w:r w:rsidR="00E501A8">
        <w:t>”</w:t>
      </w:r>
      <w:r w:rsidR="008A02AF" w:rsidRPr="004D7DFE">
        <w:t xml:space="preserve"> </w:t>
      </w:r>
      <w:r w:rsidR="00CB03E2">
        <w:t xml:space="preserve">denotes the effect of </w:t>
      </w:r>
      <w:r w:rsidR="008A02AF" w:rsidRPr="004D7DFE">
        <w:t>t</w:t>
      </w:r>
      <w:r w:rsidRPr="004D7DFE">
        <w:t xml:space="preserve">he </w:t>
      </w:r>
      <w:r w:rsidR="00C76B4A">
        <w:t>benefit</w:t>
      </w:r>
      <w:r w:rsidRPr="004D7DFE">
        <w:t xml:space="preserve"> only </w:t>
      </w:r>
      <w:r w:rsidR="00CB03E2">
        <w:t xml:space="preserve">on </w:t>
      </w:r>
      <w:r w:rsidRPr="004D7DFE">
        <w:t xml:space="preserve">donors who claim </w:t>
      </w:r>
      <w:r w:rsidR="00CB03E2">
        <w:t>it and who may (or may not) increase their donation sums for this reason</w:t>
      </w:r>
      <w:r w:rsidR="009C6524" w:rsidRPr="004D7DFE">
        <w:t xml:space="preserve">. </w:t>
      </w:r>
      <w:r w:rsidR="008A02AF" w:rsidRPr="004D7DFE">
        <w:t xml:space="preserve">Drawing the </w:t>
      </w:r>
      <w:r w:rsidR="00C714F9">
        <w:t>r</w:t>
      </w:r>
      <w:r w:rsidR="008A02AF" w:rsidRPr="004D7DFE">
        <w:t>elevance</w:t>
      </w:r>
      <w:r w:rsidR="00C714F9">
        <w:t xml:space="preserve"> zone</w:t>
      </w:r>
      <w:r w:rsidR="008A02AF" w:rsidRPr="004D7DFE">
        <w:t xml:space="preserve"> allow</w:t>
      </w:r>
      <w:r w:rsidR="00582FDA">
        <w:t>s</w:t>
      </w:r>
      <w:r w:rsidR="008A02AF" w:rsidRPr="004D7DFE">
        <w:t xml:space="preserve"> us to move to the next stage, estimating the </w:t>
      </w:r>
      <w:r w:rsidR="00E501A8">
        <w:t>“</w:t>
      </w:r>
      <w:r w:rsidR="008A02AF" w:rsidRPr="004D7DFE">
        <w:t>effectiveness</w:t>
      </w:r>
      <w:r w:rsidR="00E501A8">
        <w:t>”</w:t>
      </w:r>
      <w:r w:rsidR="008A02AF" w:rsidRPr="004D7DFE">
        <w:t xml:space="preserve"> of the tax </w:t>
      </w:r>
      <w:r w:rsidR="00C76B4A">
        <w:t>benefit</w:t>
      </w:r>
      <w:r w:rsidR="008A02AF" w:rsidRPr="004D7DFE">
        <w:t xml:space="preserve">. </w:t>
      </w:r>
      <w:r w:rsidR="009C6524" w:rsidRPr="004D7DFE">
        <w:t xml:space="preserve">The </w:t>
      </w:r>
      <w:r w:rsidR="00C76B4A">
        <w:t>benefit</w:t>
      </w:r>
      <w:r w:rsidR="009C6524" w:rsidRPr="004D7DFE">
        <w:t xml:space="preserve"> </w:t>
      </w:r>
      <w:r w:rsidR="008A02AF" w:rsidRPr="004D7DFE">
        <w:t xml:space="preserve">is effective only if </w:t>
      </w:r>
      <w:r w:rsidR="00CB03E2">
        <w:t xml:space="preserve">it </w:t>
      </w:r>
      <w:r w:rsidR="00582FDA">
        <w:t>induces an increase in</w:t>
      </w:r>
      <w:r w:rsidR="00CB03E2">
        <w:t xml:space="preserve"> total </w:t>
      </w:r>
      <w:r w:rsidR="008A02AF" w:rsidRPr="004D7DFE">
        <w:t xml:space="preserve">donations </w:t>
      </w:r>
      <w:r w:rsidR="00CB03E2">
        <w:t xml:space="preserve">in a sum that exceeds its cost to the </w:t>
      </w:r>
      <w:r w:rsidRPr="004D7DFE">
        <w:t>public.</w:t>
      </w:r>
      <w:r w:rsidR="00862DA8" w:rsidRPr="004D7DFE">
        <w:t xml:space="preserve"> </w:t>
      </w:r>
      <w:r w:rsidRPr="004D7DFE">
        <w:t>Thus</w:t>
      </w:r>
      <w:r w:rsidR="008A02AF" w:rsidRPr="004D7DFE">
        <w:t>,</w:t>
      </w:r>
      <w:r w:rsidRPr="004D7DFE">
        <w:t xml:space="preserve"> effectiveness is bounded by the extent of claimed donations.</w:t>
      </w:r>
      <w:r w:rsidR="00862DA8" w:rsidRPr="004D7DFE">
        <w:rPr>
          <w:rStyle w:val="FootnoteReference"/>
        </w:rPr>
        <w:footnoteReference w:id="4"/>
      </w:r>
      <w:r w:rsidR="00CB03E2">
        <w:t xml:space="preserve"> </w:t>
      </w:r>
    </w:p>
    <w:p w14:paraId="7FFD9E42" w14:textId="67567E52" w:rsidR="00AF5C38" w:rsidRPr="004D7DFE" w:rsidRDefault="00BF5002">
      <w:pPr>
        <w:pStyle w:val="Heading1"/>
      </w:pPr>
      <w:r>
        <w:t>Preliminary evidence of effectiveness in Israel</w:t>
      </w:r>
      <w:r w:rsidR="00754125">
        <w:t xml:space="preserve"> </w:t>
      </w:r>
    </w:p>
    <w:p w14:paraId="3F369511" w14:textId="34211597" w:rsidR="00C642B5" w:rsidRDefault="00C642B5">
      <w:r>
        <w:t xml:space="preserve">Evaluating effectiveness of the tax policy using the common method of exploring price elasticities is suitable mostly </w:t>
      </w:r>
      <w:r w:rsidR="00CB03E2">
        <w:t xml:space="preserve">for </w:t>
      </w:r>
      <w:r>
        <w:t xml:space="preserve">countries </w:t>
      </w:r>
      <w:r w:rsidR="00CB03E2">
        <w:t xml:space="preserve">that </w:t>
      </w:r>
      <w:r>
        <w:t xml:space="preserve">apply the deduction method. In countries </w:t>
      </w:r>
      <w:r w:rsidR="00CB03E2">
        <w:t xml:space="preserve">that </w:t>
      </w:r>
      <w:r w:rsidR="005D4FB7">
        <w:t xml:space="preserve">use </w:t>
      </w:r>
      <w:r>
        <w:t>the credit method</w:t>
      </w:r>
      <w:r w:rsidR="00CB03E2">
        <w:t>,</w:t>
      </w:r>
      <w:r>
        <w:t xml:space="preserve"> it is possible only </w:t>
      </w:r>
      <w:r w:rsidR="00CB03E2">
        <w:t xml:space="preserve">when the percent of the credit is revised, triggering </w:t>
      </w:r>
      <w:r>
        <w:t xml:space="preserve">changes in the </w:t>
      </w:r>
      <w:r w:rsidR="00E501A8">
        <w:t>“</w:t>
      </w:r>
      <w:r w:rsidR="00CB03E2">
        <w:t>price</w:t>
      </w:r>
      <w:r w:rsidR="00E501A8">
        <w:t>”</w:t>
      </w:r>
      <w:r w:rsidR="00CB03E2">
        <w:t xml:space="preserve"> of donating</w:t>
      </w:r>
      <w:r w:rsidR="00CB344D">
        <w:t>.</w:t>
      </w:r>
      <w:r>
        <w:t xml:space="preserve"> In Israel</w:t>
      </w:r>
      <w:r w:rsidR="00CB03E2">
        <w:t>,</w:t>
      </w:r>
      <w:r>
        <w:t xml:space="preserve"> such a reform </w:t>
      </w:r>
      <w:r w:rsidR="00CB03E2">
        <w:t xml:space="preserve">took place </w:t>
      </w:r>
      <w:r>
        <w:t>in 1985 – about 40 years ago</w:t>
      </w:r>
      <w:r w:rsidR="00CB03E2">
        <w:t xml:space="preserve"> – and t</w:t>
      </w:r>
      <w:r>
        <w:t xml:space="preserve">he </w:t>
      </w:r>
      <w:r w:rsidR="00203555">
        <w:t>only</w:t>
      </w:r>
      <w:r>
        <w:t xml:space="preserve"> changes </w:t>
      </w:r>
      <w:r w:rsidR="00B74114">
        <w:t>since then</w:t>
      </w:r>
      <w:r>
        <w:t xml:space="preserve"> </w:t>
      </w:r>
      <w:r w:rsidR="005D4FB7">
        <w:t xml:space="preserve">relate to </w:t>
      </w:r>
      <w:r>
        <w:t>the level</w:t>
      </w:r>
      <w:r w:rsidR="00203555">
        <w:t>s</w:t>
      </w:r>
      <w:r>
        <w:t xml:space="preserve"> of the credit floor </w:t>
      </w:r>
      <w:r w:rsidR="00203555">
        <w:t>and</w:t>
      </w:r>
      <w:r>
        <w:t xml:space="preserve"> </w:t>
      </w:r>
      <w:r w:rsidR="00203555">
        <w:t>ceiling</w:t>
      </w:r>
      <w:r>
        <w:t xml:space="preserve">. Thus, evaluating </w:t>
      </w:r>
      <w:r w:rsidR="00CB03E2">
        <w:t xml:space="preserve">the </w:t>
      </w:r>
      <w:r>
        <w:t xml:space="preserve">effectiveness of </w:t>
      </w:r>
      <w:r w:rsidR="00CB03E2">
        <w:t>Israel</w:t>
      </w:r>
      <w:r w:rsidR="00E501A8">
        <w:t>’</w:t>
      </w:r>
      <w:r w:rsidR="00CB03E2">
        <w:t xml:space="preserve">s </w:t>
      </w:r>
      <w:r>
        <w:t xml:space="preserve">tax policy requires alternative measures. While this endeavor is beyond the scope of the current paper, it is worth presenting here the </w:t>
      </w:r>
      <w:r w:rsidR="005D4FB7">
        <w:t xml:space="preserve">aggregate </w:t>
      </w:r>
      <w:r>
        <w:t xml:space="preserve">data </w:t>
      </w:r>
      <w:r w:rsidR="005D4FB7">
        <w:t xml:space="preserve">that </w:t>
      </w:r>
      <w:r>
        <w:t>indicate</w:t>
      </w:r>
      <w:r w:rsidR="005D4FB7">
        <w:t>,</w:t>
      </w:r>
      <w:r>
        <w:t xml:space="preserve"> </w:t>
      </w:r>
      <w:r w:rsidR="00B74114">
        <w:t>roughly</w:t>
      </w:r>
      <w:r w:rsidR="005D4FB7">
        <w:t>,</w:t>
      </w:r>
      <w:r w:rsidR="00B74114">
        <w:t xml:space="preserve"> </w:t>
      </w:r>
      <w:r>
        <w:t>to what extent the policy changes were effective</w:t>
      </w:r>
      <w:r w:rsidR="00F05A37">
        <w:t>.</w:t>
      </w:r>
      <w:r>
        <w:t xml:space="preserve"> </w:t>
      </w:r>
    </w:p>
    <w:p w14:paraId="50D1D7AF" w14:textId="6DE03FCF" w:rsidR="00EF11DF" w:rsidRDefault="00EF11DF">
      <w:r>
        <w:t xml:space="preserve">In principle, </w:t>
      </w:r>
      <w:r w:rsidR="009B68F7">
        <w:t xml:space="preserve">effectiveness </w:t>
      </w:r>
      <w:r w:rsidR="00902E27">
        <w:t xml:space="preserve">relates </w:t>
      </w:r>
      <w:r>
        <w:t xml:space="preserve">not only </w:t>
      </w:r>
      <w:r w:rsidR="00902E27">
        <w:t xml:space="preserve">to </w:t>
      </w:r>
      <w:r>
        <w:t xml:space="preserve">the </w:t>
      </w:r>
      <w:r w:rsidR="005D4FB7">
        <w:t xml:space="preserve">ability of the tax policy to </w:t>
      </w:r>
      <w:r>
        <w:t xml:space="preserve">increase donations. It is rather about the increase of donations above and beyond the </w:t>
      </w:r>
      <w:r w:rsidR="00433E23">
        <w:t xml:space="preserve">benefits' cost </w:t>
      </w:r>
      <w:r>
        <w:t>(</w:t>
      </w:r>
      <w:r w:rsidR="005D4FB7">
        <w:t xml:space="preserve">the waiver </w:t>
      </w:r>
      <w:r>
        <w:t xml:space="preserve">of tax revenues). Otherwise, the state </w:t>
      </w:r>
      <w:r w:rsidR="00203555">
        <w:t xml:space="preserve">would not </w:t>
      </w:r>
      <w:r>
        <w:t>encourag</w:t>
      </w:r>
      <w:r w:rsidR="005D4FB7">
        <w:t>e</w:t>
      </w:r>
      <w:r>
        <w:t xml:space="preserve"> private donations but </w:t>
      </w:r>
      <w:r w:rsidR="005D4FB7">
        <w:t xml:space="preserve">would fund </w:t>
      </w:r>
      <w:r>
        <w:t>them from public resources. Therefor</w:t>
      </w:r>
      <w:r w:rsidR="005D4FB7">
        <w:t>e,</w:t>
      </w:r>
      <w:r>
        <w:t xml:space="preserve"> I explore the </w:t>
      </w:r>
      <w:r w:rsidR="00E501A8">
        <w:t>“</w:t>
      </w:r>
      <w:r>
        <w:t>net utility</w:t>
      </w:r>
      <w:r w:rsidR="00E501A8">
        <w:t>”</w:t>
      </w:r>
      <w:r>
        <w:t xml:space="preserve"> of the tax policy, </w:t>
      </w:r>
      <w:r w:rsidR="005D4FB7">
        <w:t xml:space="preserve">total </w:t>
      </w:r>
      <w:r>
        <w:t xml:space="preserve">donations </w:t>
      </w:r>
      <w:r w:rsidR="005D4FB7">
        <w:t xml:space="preserve">less </w:t>
      </w:r>
      <w:r>
        <w:t xml:space="preserve">the tax credit </w:t>
      </w:r>
      <w:r w:rsidR="005D4FB7">
        <w:t xml:space="preserve">given </w:t>
      </w:r>
      <w:r>
        <w:t>(</w:t>
      </w:r>
      <w:r w:rsidR="005D4FB7">
        <w:t xml:space="preserve">hereinafter: </w:t>
      </w:r>
      <w:r w:rsidR="00E501A8">
        <w:t>“</w:t>
      </w:r>
      <w:r w:rsidR="00361FAC">
        <w:t xml:space="preserve">net </w:t>
      </w:r>
      <w:r w:rsidR="00BC2CE2">
        <w:t xml:space="preserve">sum of </w:t>
      </w:r>
      <w:r w:rsidR="00361FAC">
        <w:t>donations</w:t>
      </w:r>
      <w:r w:rsidR="00E501A8">
        <w:t>”</w:t>
      </w:r>
      <w:r>
        <w:t>).</w:t>
      </w:r>
    </w:p>
    <w:p w14:paraId="4F931335" w14:textId="1974CCD5" w:rsidR="00433E23" w:rsidRDefault="00EF11DF" w:rsidP="00D61219">
      <w:r>
        <w:t xml:space="preserve">Looking separately </w:t>
      </w:r>
      <w:r w:rsidR="00F23893">
        <w:t xml:space="preserve">at </w:t>
      </w:r>
      <w:r>
        <w:t xml:space="preserve">the changes in the floor and in the </w:t>
      </w:r>
      <w:r w:rsidR="00203555">
        <w:t>ceiling</w:t>
      </w:r>
      <w:r>
        <w:t xml:space="preserve">, it is </w:t>
      </w:r>
      <w:r w:rsidR="00747428">
        <w:t>most</w:t>
      </w:r>
      <w:r>
        <w:t xml:space="preserve"> evident that changes in the floor level influenced the number of individual donors</w:t>
      </w:r>
      <w:r w:rsidR="00747428">
        <w:t xml:space="preserve"> (Figure 5)</w:t>
      </w:r>
      <w:r>
        <w:t>.</w:t>
      </w:r>
      <w:r w:rsidR="00A75570">
        <w:t xml:space="preserve"> In 2011</w:t>
      </w:r>
      <w:r w:rsidR="00F23893">
        <w:t>,</w:t>
      </w:r>
      <w:r w:rsidR="00A75570">
        <w:t xml:space="preserve"> the floor was raised to</w:t>
      </w:r>
      <w:r w:rsidR="00203555">
        <w:t xml:space="preserve"> NIS</w:t>
      </w:r>
      <w:r w:rsidR="00F23893">
        <w:t> </w:t>
      </w:r>
      <w:r w:rsidR="00A75570">
        <w:t>410 and then, in 2012 onward</w:t>
      </w:r>
      <w:r w:rsidR="00F23893">
        <w:t>,</w:t>
      </w:r>
      <w:r w:rsidR="00A75570">
        <w:t xml:space="preserve"> </w:t>
      </w:r>
      <w:r w:rsidR="00F23893">
        <w:t xml:space="preserve">it </w:t>
      </w:r>
      <w:r w:rsidR="00A75570">
        <w:t>was dropped significantly</w:t>
      </w:r>
      <w:r w:rsidR="00E55C33">
        <w:t>,</w:t>
      </w:r>
      <w:r w:rsidR="00A75570">
        <w:t xml:space="preserve"> to </w:t>
      </w:r>
      <w:r w:rsidR="00203555">
        <w:t>NIS</w:t>
      </w:r>
      <w:r w:rsidR="00F23893">
        <w:t> </w:t>
      </w:r>
      <w:r w:rsidR="00A75570">
        <w:t>180</w:t>
      </w:r>
      <w:r w:rsidR="00F23893">
        <w:t>–</w:t>
      </w:r>
      <w:r w:rsidR="00A75570">
        <w:t xml:space="preserve">190. </w:t>
      </w:r>
      <w:r w:rsidR="00F23893">
        <w:t>T</w:t>
      </w:r>
      <w:r w:rsidR="00B97E76">
        <w:t xml:space="preserve">he </w:t>
      </w:r>
      <w:r w:rsidR="00F23893">
        <w:t xml:space="preserve">respective </w:t>
      </w:r>
      <w:r w:rsidR="00B97E76">
        <w:t xml:space="preserve">net </w:t>
      </w:r>
      <w:r w:rsidR="00BC2CE2">
        <w:t xml:space="preserve">sum of </w:t>
      </w:r>
      <w:r w:rsidR="00A75570">
        <w:t>donation</w:t>
      </w:r>
      <w:r w:rsidR="00F23893">
        <w:t>s</w:t>
      </w:r>
      <w:r w:rsidR="00A75570">
        <w:t xml:space="preserve"> in the relevant range (below</w:t>
      </w:r>
      <w:r w:rsidR="00203555">
        <w:t xml:space="preserve"> NIS</w:t>
      </w:r>
      <w:r w:rsidR="00F23893">
        <w:t> </w:t>
      </w:r>
      <w:r w:rsidR="00A75570">
        <w:t>500) dropped in 2011, increased in 2012</w:t>
      </w:r>
      <w:r w:rsidR="00F23893">
        <w:t>,</w:t>
      </w:r>
      <w:r w:rsidR="00A75570">
        <w:t xml:space="preserve"> and </w:t>
      </w:r>
      <w:r w:rsidR="009326D5">
        <w:t xml:space="preserve">was </w:t>
      </w:r>
      <w:r w:rsidR="00A75570">
        <w:t xml:space="preserve">quite steady </w:t>
      </w:r>
      <w:r w:rsidR="00F23893">
        <w:t xml:space="preserve">thereafter </w:t>
      </w:r>
      <w:r w:rsidR="000F3494">
        <w:t>(</w:t>
      </w:r>
      <w:r w:rsidR="00433E23">
        <w:t>at</w:t>
      </w:r>
      <w:r w:rsidR="000F3494">
        <w:t xml:space="preserve"> constant prices)</w:t>
      </w:r>
      <w:r w:rsidR="00A75570">
        <w:t xml:space="preserve">. Furthermore, the numbers of donors </w:t>
      </w:r>
      <w:r w:rsidR="00F23893">
        <w:t xml:space="preserve">followed </w:t>
      </w:r>
      <w:r w:rsidR="00A75570">
        <w:t>the same patterns</w:t>
      </w:r>
      <w:r w:rsidR="00B74114">
        <w:t>,</w:t>
      </w:r>
      <w:r w:rsidR="00A75570">
        <w:t xml:space="preserve"> indicating that </w:t>
      </w:r>
      <w:r w:rsidR="00F23893">
        <w:t>it was the count</w:t>
      </w:r>
      <w:r w:rsidR="00F23893" w:rsidRPr="00F23893">
        <w:t xml:space="preserve"> </w:t>
      </w:r>
      <w:r w:rsidR="00F23893">
        <w:t>of individual donors, and not their</w:t>
      </w:r>
      <w:r w:rsidR="00A75570">
        <w:t xml:space="preserve"> average donation</w:t>
      </w:r>
      <w:r w:rsidR="00F23893">
        <w:t>, that changed</w:t>
      </w:r>
      <w:r w:rsidR="00A75570">
        <w:t xml:space="preserve">. </w:t>
      </w:r>
      <w:r w:rsidR="009F741B">
        <w:t>The changes in the floor</w:t>
      </w:r>
      <w:r w:rsidR="00F23893">
        <w:t>,</w:t>
      </w:r>
      <w:r w:rsidR="009F741B">
        <w:t xml:space="preserve"> however</w:t>
      </w:r>
      <w:r w:rsidR="00F23893">
        <w:t>,</w:t>
      </w:r>
      <w:r w:rsidR="009F741B">
        <w:t xml:space="preserve"> </w:t>
      </w:r>
      <w:r w:rsidR="00F23893">
        <w:t xml:space="preserve">do not attest </w:t>
      </w:r>
      <w:r w:rsidR="009F741B">
        <w:t>in</w:t>
      </w:r>
      <w:r w:rsidR="00B97E76">
        <w:t xml:space="preserve"> </w:t>
      </w:r>
      <w:r w:rsidR="00BC2CE2">
        <w:t xml:space="preserve">the </w:t>
      </w:r>
      <w:r w:rsidR="00B97E76">
        <w:t xml:space="preserve">net </w:t>
      </w:r>
      <w:r w:rsidR="00BC2CE2">
        <w:t xml:space="preserve">sum of </w:t>
      </w:r>
      <w:r w:rsidR="009F741B">
        <w:t xml:space="preserve">donations </w:t>
      </w:r>
      <w:r w:rsidR="00F23893">
        <w:t xml:space="preserve">in the </w:t>
      </w:r>
      <w:r w:rsidR="00203555">
        <w:t>NIS</w:t>
      </w:r>
      <w:r w:rsidR="00F23893">
        <w:t> </w:t>
      </w:r>
      <w:r w:rsidR="009F741B">
        <w:t>500</w:t>
      </w:r>
      <w:r w:rsidR="00F23893">
        <w:t>–</w:t>
      </w:r>
      <w:r w:rsidR="009F741B">
        <w:t>1,000</w:t>
      </w:r>
      <w:r w:rsidR="00F23893">
        <w:t xml:space="preserve"> range</w:t>
      </w:r>
      <w:r w:rsidR="009F741B">
        <w:t xml:space="preserve">. </w:t>
      </w:r>
    </w:p>
    <w:p w14:paraId="086BAF9A" w14:textId="77777777" w:rsidR="00D61219" w:rsidRDefault="00D61219" w:rsidP="00D61219"/>
    <w:p w14:paraId="72D624E1" w14:textId="77777777" w:rsidR="00D61219" w:rsidRDefault="00D61219" w:rsidP="00D61219"/>
    <w:p w14:paraId="0893D3AE" w14:textId="77777777" w:rsidR="00D61219" w:rsidRDefault="00D61219" w:rsidP="00D61219"/>
    <w:p w14:paraId="1885567F" w14:textId="73F6FFFF" w:rsidR="00EF11DF" w:rsidRDefault="00DE01DF" w:rsidP="004B7492">
      <w:pPr>
        <w:pStyle w:val="Heading3"/>
      </w:pPr>
      <w:r>
        <w:lastRenderedPageBreak/>
        <w:t>F</w:t>
      </w:r>
      <w:r w:rsidR="00EF11DF" w:rsidRPr="004D7DFE">
        <w:t xml:space="preserve">igure </w:t>
      </w:r>
      <w:r w:rsidR="00EF11DF">
        <w:t>5</w:t>
      </w:r>
      <w:r w:rsidR="00EF11DF" w:rsidRPr="004D7DFE">
        <w:t xml:space="preserve">. </w:t>
      </w:r>
      <w:r w:rsidR="00F23893">
        <w:t>S</w:t>
      </w:r>
      <w:r w:rsidR="00747428">
        <w:t xml:space="preserve">cope of </w:t>
      </w:r>
      <w:r w:rsidR="00F23893">
        <w:t>i</w:t>
      </w:r>
      <w:r w:rsidR="00747428">
        <w:t>ndividual</w:t>
      </w:r>
      <w:r w:rsidR="00B97E76">
        <w:t>s</w:t>
      </w:r>
      <w:r w:rsidR="00E501A8">
        <w:t>’</w:t>
      </w:r>
      <w:r w:rsidR="00747428">
        <w:t xml:space="preserve"> small donations </w:t>
      </w:r>
      <w:r w:rsidR="00A53D49">
        <w:t xml:space="preserve">in respect of the </w:t>
      </w:r>
      <w:r w:rsidR="00747428">
        <w:t xml:space="preserve">changes in </w:t>
      </w:r>
      <w:r w:rsidR="00EB3FB2">
        <w:t>tax-</w:t>
      </w:r>
      <w:r w:rsidR="00747428">
        <w:t xml:space="preserve">credit floor </w:t>
      </w:r>
    </w:p>
    <w:p w14:paraId="6D1C5760" w14:textId="77777777" w:rsidR="00D408F5" w:rsidRPr="00D408F5" w:rsidRDefault="00D408F5" w:rsidP="00D408F5"/>
    <w:p w14:paraId="78713C6D" w14:textId="183AF1DE" w:rsidR="001D4816" w:rsidRDefault="001D4816" w:rsidP="00CF4593">
      <w:pPr>
        <w:ind w:firstLine="142"/>
      </w:pPr>
    </w:p>
    <w:p w14:paraId="7F29D476" w14:textId="4AF84489" w:rsidR="00F23893" w:rsidRDefault="00A53D49" w:rsidP="00A53D49">
      <w:pPr>
        <w:ind w:firstLine="0"/>
      </w:pPr>
      <w:r>
        <w:rPr>
          <w:noProof/>
        </w:rPr>
        <w:drawing>
          <wp:inline distT="0" distB="0" distL="0" distR="0" wp14:anchorId="4B96ABDF" wp14:editId="4D40D355">
            <wp:extent cx="6059805" cy="6041390"/>
            <wp:effectExtent l="0" t="0" r="0" b="0"/>
            <wp:docPr id="117908335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9805" cy="6041390"/>
                    </a:xfrm>
                    <a:prstGeom prst="rect">
                      <a:avLst/>
                    </a:prstGeom>
                    <a:noFill/>
                  </pic:spPr>
                </pic:pic>
              </a:graphicData>
            </a:graphic>
          </wp:inline>
        </w:drawing>
      </w:r>
    </w:p>
    <w:p w14:paraId="01110D89" w14:textId="6EB25F0A" w:rsidR="00DD7C1F" w:rsidRDefault="00BC2CE2">
      <w:r>
        <w:t>T</w:t>
      </w:r>
      <w:r w:rsidR="00DD7C1F">
        <w:t xml:space="preserve">he changes </w:t>
      </w:r>
      <w:r w:rsidR="00B74114">
        <w:t>in</w:t>
      </w:r>
      <w:r w:rsidR="00DD7C1F">
        <w:t xml:space="preserve"> the credit </w:t>
      </w:r>
      <w:r w:rsidR="00203555">
        <w:t>ceiling</w:t>
      </w:r>
      <w:r>
        <w:t>, however,</w:t>
      </w:r>
      <w:r w:rsidR="00DD7C1F">
        <w:t xml:space="preserve"> seem somewhat less </w:t>
      </w:r>
      <w:r w:rsidR="00B74114">
        <w:t>effective</w:t>
      </w:r>
      <w:r w:rsidR="00DD7C1F">
        <w:t xml:space="preserve">. The </w:t>
      </w:r>
      <w:r w:rsidR="00203555">
        <w:t>ceiling</w:t>
      </w:r>
      <w:r w:rsidR="00DD7C1F">
        <w:t xml:space="preserve"> was raise</w:t>
      </w:r>
      <w:r>
        <w:t>d</w:t>
      </w:r>
      <w:r w:rsidR="00DD7C1F">
        <w:t xml:space="preserve"> significantly four times (</w:t>
      </w:r>
      <w:r w:rsidR="00B97E76">
        <w:t xml:space="preserve">in </w:t>
      </w:r>
      <w:r w:rsidR="00DD7C1F">
        <w:t>2000, 2007, 2009</w:t>
      </w:r>
      <w:r>
        <w:t>,</w:t>
      </w:r>
      <w:r w:rsidR="00B97E76">
        <w:t xml:space="preserve"> and</w:t>
      </w:r>
      <w:r w:rsidR="00DD7C1F">
        <w:t xml:space="preserve"> 2012). Overall, the </w:t>
      </w:r>
      <w:r w:rsidR="00B97E76">
        <w:t xml:space="preserve">net </w:t>
      </w:r>
      <w:r w:rsidR="00DD7C1F">
        <w:t>sum of the largest individual</w:t>
      </w:r>
      <w:r>
        <w:t xml:space="preserve"> </w:t>
      </w:r>
      <w:r w:rsidR="00DD7C1F">
        <w:t xml:space="preserve">donations (above </w:t>
      </w:r>
      <w:r w:rsidR="00B97E76">
        <w:t>NIS</w:t>
      </w:r>
      <w:r>
        <w:t> </w:t>
      </w:r>
      <w:r w:rsidR="00DD7C1F">
        <w:t>1</w:t>
      </w:r>
      <w:r>
        <w:t> </w:t>
      </w:r>
      <w:r w:rsidR="003922FC">
        <w:t>million</w:t>
      </w:r>
      <w:r w:rsidR="00DD7C1F">
        <w:t xml:space="preserve">) to which the credit </w:t>
      </w:r>
      <w:r w:rsidR="00203555">
        <w:t>ceiling</w:t>
      </w:r>
      <w:r w:rsidR="00DD7C1F">
        <w:t xml:space="preserve"> may be relevant</w:t>
      </w:r>
      <w:r>
        <w:t xml:space="preserve"> has grown over the years</w:t>
      </w:r>
      <w:r w:rsidR="00B74114">
        <w:t>, a</w:t>
      </w:r>
      <w:r w:rsidR="00DD7C1F">
        <w:t xml:space="preserve">lthough the patterns of increase </w:t>
      </w:r>
      <w:r>
        <w:t xml:space="preserve">do not </w:t>
      </w:r>
      <w:r w:rsidR="009326D5">
        <w:t xml:space="preserve">appear </w:t>
      </w:r>
      <w:r w:rsidR="00DD7C1F">
        <w:t xml:space="preserve">to match the changes in the </w:t>
      </w:r>
      <w:r w:rsidR="00203555">
        <w:t>ceiling</w:t>
      </w:r>
      <w:r w:rsidR="00B74114">
        <w:t xml:space="preserve"> (Figure 6)</w:t>
      </w:r>
      <w:r w:rsidR="00DD7C1F">
        <w:t xml:space="preserve">. </w:t>
      </w:r>
      <w:r>
        <w:t>For example,</w:t>
      </w:r>
      <w:r w:rsidR="00DD7C1F">
        <w:t xml:space="preserve"> the </w:t>
      </w:r>
      <w:r w:rsidR="00203555">
        <w:t>ceiling</w:t>
      </w:r>
      <w:r w:rsidR="00DD7C1F">
        <w:t xml:space="preserve"> was almost </w:t>
      </w:r>
      <w:r>
        <w:t xml:space="preserve">twice as high </w:t>
      </w:r>
      <w:r w:rsidR="00EB3FB2">
        <w:t>i</w:t>
      </w:r>
      <w:r>
        <w:t>n 2009–2010</w:t>
      </w:r>
      <w:r w:rsidRPr="00BC2CE2">
        <w:t xml:space="preserve"> </w:t>
      </w:r>
      <w:r>
        <w:t xml:space="preserve">as </w:t>
      </w:r>
      <w:r w:rsidR="00DD7C1F">
        <w:t xml:space="preserve">before, yet the </w:t>
      </w:r>
      <w:r w:rsidR="00B97E76">
        <w:t xml:space="preserve">net </w:t>
      </w:r>
      <w:r w:rsidR="00DD7C1F">
        <w:t xml:space="preserve">sum of </w:t>
      </w:r>
      <w:r w:rsidR="00B97E76">
        <w:t xml:space="preserve">the largest </w:t>
      </w:r>
      <w:r w:rsidR="00DD7C1F">
        <w:t>donations drop</w:t>
      </w:r>
      <w:r w:rsidR="00B74114">
        <w:t>ped</w:t>
      </w:r>
      <w:r w:rsidR="00DD7C1F">
        <w:t xml:space="preserve">. Furthermore, unlike </w:t>
      </w:r>
      <w:r w:rsidR="00EB3FB2">
        <w:t xml:space="preserve">donors who made </w:t>
      </w:r>
      <w:r w:rsidR="00DD7C1F">
        <w:t>small donations</w:t>
      </w:r>
      <w:r w:rsidR="00BD1DF0">
        <w:t>,</w:t>
      </w:r>
      <w:r w:rsidR="00DD7C1F">
        <w:t xml:space="preserve"> the number of </w:t>
      </w:r>
      <w:r w:rsidR="00AE41A4">
        <w:t>large-scale</w:t>
      </w:r>
      <w:r w:rsidR="00EB3FB2">
        <w:t xml:space="preserve"> </w:t>
      </w:r>
      <w:r w:rsidR="00DD7C1F">
        <w:t xml:space="preserve">donors </w:t>
      </w:r>
      <w:r w:rsidR="00EB3FB2">
        <w:t xml:space="preserve">showed no particular </w:t>
      </w:r>
      <w:r w:rsidR="00DD7C1F">
        <w:t xml:space="preserve">increase </w:t>
      </w:r>
      <w:r w:rsidR="00EB3FB2">
        <w:t xml:space="preserve">after </w:t>
      </w:r>
      <w:r w:rsidR="00BD1DF0">
        <w:t xml:space="preserve">the </w:t>
      </w:r>
      <w:r w:rsidR="00203555">
        <w:t>ceiling</w:t>
      </w:r>
      <w:r w:rsidR="00BD1DF0">
        <w:t xml:space="preserve"> </w:t>
      </w:r>
      <w:r w:rsidR="00EB3FB2">
        <w:t>was raised</w:t>
      </w:r>
      <w:r w:rsidR="00DD7C1F">
        <w:t>– especially</w:t>
      </w:r>
      <w:r w:rsidR="00BD1DF0">
        <w:t xml:space="preserve"> </w:t>
      </w:r>
      <w:r w:rsidR="00DD7C1F">
        <w:t xml:space="preserve">in comparison </w:t>
      </w:r>
      <w:r w:rsidR="00EB3FB2">
        <w:t xml:space="preserve">with </w:t>
      </w:r>
      <w:r w:rsidR="00DD7C1F">
        <w:t xml:space="preserve">the number of medium donors (see the slopes). </w:t>
      </w:r>
    </w:p>
    <w:p w14:paraId="2765EAF2" w14:textId="77777777" w:rsidR="003945FD" w:rsidRDefault="003945FD" w:rsidP="004B7492">
      <w:pPr>
        <w:pStyle w:val="Heading3"/>
      </w:pPr>
      <w:r>
        <w:br w:type="page"/>
      </w:r>
    </w:p>
    <w:p w14:paraId="61F566AD" w14:textId="51FE6498" w:rsidR="000312A0" w:rsidRPr="004D7DFE" w:rsidRDefault="000312A0" w:rsidP="004B7492">
      <w:pPr>
        <w:pStyle w:val="Heading3"/>
      </w:pPr>
      <w:r w:rsidRPr="004D7DFE">
        <w:lastRenderedPageBreak/>
        <w:t xml:space="preserve">Figure </w:t>
      </w:r>
      <w:r>
        <w:t>6</w:t>
      </w:r>
      <w:r w:rsidRPr="004D7DFE">
        <w:t xml:space="preserve">. </w:t>
      </w:r>
      <w:r w:rsidR="00EB3FB2">
        <w:t>S</w:t>
      </w:r>
      <w:r>
        <w:t>cope of Individual</w:t>
      </w:r>
      <w:r w:rsidR="00B97E76">
        <w:t>s</w:t>
      </w:r>
      <w:r w:rsidR="00E501A8">
        <w:t>’</w:t>
      </w:r>
      <w:r>
        <w:t xml:space="preserve"> medium and large donations </w:t>
      </w:r>
      <w:r w:rsidR="00A53D49">
        <w:t>in respect of the</w:t>
      </w:r>
      <w:r>
        <w:t xml:space="preserve"> changes in </w:t>
      </w:r>
      <w:r w:rsidR="00EB3FB2">
        <w:t>tax-</w:t>
      </w:r>
      <w:r>
        <w:t xml:space="preserve">credit </w:t>
      </w:r>
      <w:r w:rsidR="00203555">
        <w:t>ceiling</w:t>
      </w:r>
    </w:p>
    <w:p w14:paraId="63FA79BF" w14:textId="7E0181C4" w:rsidR="004D398F" w:rsidRDefault="004D398F" w:rsidP="00C9627A">
      <w:pPr>
        <w:rPr>
          <w:noProof/>
        </w:rPr>
      </w:pPr>
    </w:p>
    <w:p w14:paraId="0FFD0EF8" w14:textId="30882B32" w:rsidR="001D4816" w:rsidRDefault="00AE41A4" w:rsidP="00CF4593">
      <w:pPr>
        <w:ind w:firstLine="0"/>
      </w:pPr>
      <w:r>
        <w:rPr>
          <w:noProof/>
        </w:rPr>
        <w:drawing>
          <wp:inline distT="0" distB="0" distL="0" distR="0" wp14:anchorId="4DC603D8" wp14:editId="4455F441">
            <wp:extent cx="6218555" cy="6669405"/>
            <wp:effectExtent l="0" t="0" r="0" b="0"/>
            <wp:docPr id="13188365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8555" cy="6669405"/>
                    </a:xfrm>
                    <a:prstGeom prst="rect">
                      <a:avLst/>
                    </a:prstGeom>
                    <a:noFill/>
                  </pic:spPr>
                </pic:pic>
              </a:graphicData>
            </a:graphic>
          </wp:inline>
        </w:drawing>
      </w:r>
    </w:p>
    <w:p w14:paraId="18AF14DA" w14:textId="77777777" w:rsidR="00D408F5" w:rsidRDefault="00D408F5" w:rsidP="00C9627A"/>
    <w:p w14:paraId="704DE459" w14:textId="28B4998E" w:rsidR="00184DFA" w:rsidRDefault="00EB3FB2">
      <w:r>
        <w:t xml:space="preserve">The </w:t>
      </w:r>
      <w:r w:rsidR="00B97E76">
        <w:t xml:space="preserve">net sum of the </w:t>
      </w:r>
      <w:r w:rsidR="00DD7C1F">
        <w:t xml:space="preserve">largest </w:t>
      </w:r>
      <w:r>
        <w:t xml:space="preserve">corporate </w:t>
      </w:r>
      <w:r w:rsidR="00DD7C1F">
        <w:t xml:space="preserve">donations </w:t>
      </w:r>
      <w:r>
        <w:t xml:space="preserve">also </w:t>
      </w:r>
      <w:r w:rsidR="00DD7C1F">
        <w:t>increase</w:t>
      </w:r>
      <w:r w:rsidR="00B97E76">
        <w:t>d</w:t>
      </w:r>
      <w:r w:rsidR="00DD7C1F">
        <w:t xml:space="preserve"> over the years (Figure 7). Although the </w:t>
      </w:r>
      <w:r>
        <w:t xml:space="preserve">upturn </w:t>
      </w:r>
      <w:r w:rsidR="00DD7C1F">
        <w:t>do</w:t>
      </w:r>
      <w:r w:rsidR="00B97E76">
        <w:t>es</w:t>
      </w:r>
      <w:r w:rsidR="00DD7C1F">
        <w:t xml:space="preserve"> not </w:t>
      </w:r>
      <w:r>
        <w:t xml:space="preserve">track </w:t>
      </w:r>
      <w:r w:rsidR="00DD7C1F">
        <w:t xml:space="preserve">the </w:t>
      </w:r>
      <w:r w:rsidR="00203555">
        <w:t>ceiling</w:t>
      </w:r>
      <w:r w:rsidR="00DD7C1F">
        <w:t xml:space="preserve"> raises perfectly, it still </w:t>
      </w:r>
      <w:r w:rsidR="009326D5">
        <w:t xml:space="preserve">follows </w:t>
      </w:r>
      <w:r w:rsidR="00DD7C1F">
        <w:t xml:space="preserve">the trend. </w:t>
      </w:r>
      <w:r>
        <w:t xml:space="preserve">As </w:t>
      </w:r>
      <w:r w:rsidR="00DD7C1F">
        <w:t>with</w:t>
      </w:r>
      <w:r w:rsidR="00184DFA">
        <w:t xml:space="preserve"> individuals</w:t>
      </w:r>
      <w:r w:rsidR="00E501A8">
        <w:t>’</w:t>
      </w:r>
      <w:r w:rsidR="00184DFA">
        <w:t xml:space="preserve"> donations, </w:t>
      </w:r>
      <w:r w:rsidR="00DD7C1F">
        <w:t xml:space="preserve">the number of </w:t>
      </w:r>
      <w:r>
        <w:t xml:space="preserve">large-scale </w:t>
      </w:r>
      <w:r w:rsidR="002C1D67">
        <w:t>corporate</w:t>
      </w:r>
      <w:r w:rsidR="00184DFA">
        <w:t xml:space="preserve"> </w:t>
      </w:r>
      <w:r w:rsidR="00DD7C1F">
        <w:t xml:space="preserve">donors </w:t>
      </w:r>
      <w:r>
        <w:t xml:space="preserve">did not grow to any </w:t>
      </w:r>
      <w:r w:rsidR="00DD7C1F">
        <w:t>particular</w:t>
      </w:r>
      <w:r>
        <w:t xml:space="preserve"> degree</w:t>
      </w:r>
      <w:r w:rsidR="00184DFA">
        <w:t>.</w:t>
      </w:r>
      <w:r w:rsidR="00DD7C1F">
        <w:t xml:space="preserve"> </w:t>
      </w:r>
      <w:r w:rsidR="00184DFA">
        <w:t xml:space="preserve">Last, it is worth noting that the </w:t>
      </w:r>
      <w:r>
        <w:t>tax-</w:t>
      </w:r>
      <w:r w:rsidR="00184DFA">
        <w:t xml:space="preserve">credit </w:t>
      </w:r>
      <w:r>
        <w:t xml:space="preserve">rate </w:t>
      </w:r>
      <w:r w:rsidR="00184DFA">
        <w:t xml:space="preserve">for </w:t>
      </w:r>
      <w:r w:rsidR="00A26ECF">
        <w:t>companies</w:t>
      </w:r>
      <w:r w:rsidR="00184DFA">
        <w:t xml:space="preserve"> </w:t>
      </w:r>
      <w:r>
        <w:t xml:space="preserve">has fallen </w:t>
      </w:r>
      <w:r w:rsidR="00184DFA">
        <w:t xml:space="preserve">over the years (along with </w:t>
      </w:r>
      <w:r>
        <w:t xml:space="preserve">the </w:t>
      </w:r>
      <w:r w:rsidR="00AE41A4">
        <w:t>compan</w:t>
      </w:r>
      <w:r w:rsidR="00326CBB">
        <w:t>y</w:t>
      </w:r>
      <w:r w:rsidR="00AE41A4">
        <w:t xml:space="preserve"> </w:t>
      </w:r>
      <w:r w:rsidR="00184DFA">
        <w:t>tax rate)</w:t>
      </w:r>
      <w:r w:rsidR="00B3681D">
        <w:t>,</w:t>
      </w:r>
      <w:r w:rsidR="00184DFA">
        <w:t xml:space="preserve"> thus</w:t>
      </w:r>
      <w:r w:rsidR="00B3681D">
        <w:t xml:space="preserve"> </w:t>
      </w:r>
      <w:r w:rsidR="00184DFA">
        <w:t xml:space="preserve">increasing the </w:t>
      </w:r>
      <w:r>
        <w:t xml:space="preserve">cost of donating to them but </w:t>
      </w:r>
      <w:r w:rsidR="00184DFA">
        <w:t xml:space="preserve">allowing greater net profit </w:t>
      </w:r>
      <w:r>
        <w:t xml:space="preserve">from which </w:t>
      </w:r>
      <w:r w:rsidR="00184DFA">
        <w:t>to donate.</w:t>
      </w:r>
    </w:p>
    <w:p w14:paraId="4135392A" w14:textId="1D404311" w:rsidR="00184DFA" w:rsidRDefault="00B3681D">
      <w:r>
        <w:t>All in all</w:t>
      </w:r>
      <w:r w:rsidR="00184DFA">
        <w:t xml:space="preserve">, other factors </w:t>
      </w:r>
      <w:r w:rsidR="00EB3FB2">
        <w:t xml:space="preserve">seem to </w:t>
      </w:r>
      <w:r w:rsidR="00184DFA">
        <w:t xml:space="preserve">play a much more </w:t>
      </w:r>
      <w:r w:rsidR="00326CBB">
        <w:t>important</w:t>
      </w:r>
      <w:r w:rsidR="00AE41A4">
        <w:t xml:space="preserve"> </w:t>
      </w:r>
      <w:r w:rsidR="00184DFA">
        <w:t xml:space="preserve">role than the credit </w:t>
      </w:r>
      <w:r w:rsidR="00203555">
        <w:t>ceiling</w:t>
      </w:r>
      <w:r w:rsidR="003D0F50">
        <w:t xml:space="preserve">. Examples are the </w:t>
      </w:r>
      <w:r w:rsidR="00184DFA">
        <w:t xml:space="preserve">process of wealth </w:t>
      </w:r>
      <w:r w:rsidR="003D0F50">
        <w:t xml:space="preserve">accumulation </w:t>
      </w:r>
      <w:r w:rsidR="00184DFA">
        <w:t>in Israel</w:t>
      </w:r>
      <w:r w:rsidR="003D0F50">
        <w:t xml:space="preserve"> and </w:t>
      </w:r>
      <w:r w:rsidR="00184DFA">
        <w:t>establishing a culture of high net</w:t>
      </w:r>
      <w:r w:rsidR="003D0F50">
        <w:t>-</w:t>
      </w:r>
      <w:r w:rsidR="00184DFA">
        <w:t>worth giving</w:t>
      </w:r>
      <w:r w:rsidR="003D0F50">
        <w:t>,</w:t>
      </w:r>
      <w:r w:rsidR="00184DFA">
        <w:t xml:space="preserve"> and the </w:t>
      </w:r>
      <w:r w:rsidR="00BD1DF0">
        <w:t xml:space="preserve">state </w:t>
      </w:r>
      <w:r w:rsidR="003D0F50">
        <w:t xml:space="preserve">of the economy </w:t>
      </w:r>
      <w:r w:rsidR="00BD1DF0">
        <w:t>(</w:t>
      </w:r>
      <w:r w:rsidR="00AE41A4">
        <w:t>such as</w:t>
      </w:r>
      <w:r w:rsidR="003D0F50">
        <w:t xml:space="preserve"> </w:t>
      </w:r>
      <w:r w:rsidR="00BD1DF0">
        <w:t xml:space="preserve">the </w:t>
      </w:r>
      <w:r w:rsidR="003D0F50">
        <w:t xml:space="preserve">2008 financial </w:t>
      </w:r>
      <w:r w:rsidR="00184DFA">
        <w:t xml:space="preserve">crisis </w:t>
      </w:r>
      <w:r w:rsidR="003D0F50">
        <w:t xml:space="preserve">and its imprints in subsequent </w:t>
      </w:r>
      <w:r w:rsidR="00184DFA">
        <w:t>years</w:t>
      </w:r>
      <w:r w:rsidR="00BD1DF0">
        <w:t>)</w:t>
      </w:r>
      <w:r w:rsidR="00184DFA">
        <w:t xml:space="preserve">. These findings are </w:t>
      </w:r>
      <w:r w:rsidR="003D0F50">
        <w:t xml:space="preserve">especially </w:t>
      </w:r>
      <w:r w:rsidR="00184DFA">
        <w:t xml:space="preserve">interesting in </w:t>
      </w:r>
      <w:r w:rsidR="003D0F50">
        <w:t xml:space="preserve">view </w:t>
      </w:r>
      <w:r w:rsidR="00184DFA">
        <w:t xml:space="preserve">of the common </w:t>
      </w:r>
      <w:r w:rsidR="00361FAC">
        <w:t>perception</w:t>
      </w:r>
      <w:r w:rsidR="00184DFA">
        <w:t xml:space="preserve"> among philanthropists in Israel that the credit </w:t>
      </w:r>
      <w:r w:rsidR="00203555">
        <w:t>ceiling</w:t>
      </w:r>
      <w:r w:rsidR="00184DFA">
        <w:t xml:space="preserve"> is a substantial barrier to high net</w:t>
      </w:r>
      <w:r w:rsidR="003D0F50">
        <w:t>-</w:t>
      </w:r>
      <w:r w:rsidR="00184DFA">
        <w:t xml:space="preserve">worth giving. </w:t>
      </w:r>
    </w:p>
    <w:p w14:paraId="5ADD85F6" w14:textId="77777777" w:rsidR="005623C6" w:rsidRDefault="005623C6" w:rsidP="004B7492">
      <w:pPr>
        <w:pStyle w:val="Heading3"/>
      </w:pPr>
    </w:p>
    <w:p w14:paraId="4EDB94B8" w14:textId="27334362" w:rsidR="003D0F50" w:rsidRDefault="00DE01DF" w:rsidP="004B7492">
      <w:pPr>
        <w:pStyle w:val="Heading3"/>
      </w:pPr>
      <w:r w:rsidRPr="004D7DFE">
        <w:lastRenderedPageBreak/>
        <w:t xml:space="preserve">Figure </w:t>
      </w:r>
      <w:r>
        <w:t>7</w:t>
      </w:r>
      <w:r w:rsidRPr="004D7DFE">
        <w:t xml:space="preserve">. </w:t>
      </w:r>
      <w:r w:rsidR="003D0F50">
        <w:t xml:space="preserve">Scope of corporate medium and large donations </w:t>
      </w:r>
      <w:r w:rsidR="00AE41A4">
        <w:t>in respect of the</w:t>
      </w:r>
      <w:r w:rsidR="003D0F50">
        <w:t xml:space="preserve"> changes in tax-credit ceiling</w:t>
      </w:r>
    </w:p>
    <w:p w14:paraId="313E92BC" w14:textId="77777777" w:rsidR="00AE41A4" w:rsidRDefault="00AE41A4" w:rsidP="00AE41A4"/>
    <w:p w14:paraId="57DF365F" w14:textId="742251AC" w:rsidR="00AE41A4" w:rsidRPr="00AE41A4" w:rsidRDefault="00AE41A4" w:rsidP="00AE41A4">
      <w:pPr>
        <w:ind w:firstLine="0"/>
      </w:pPr>
      <w:r>
        <w:rPr>
          <w:noProof/>
        </w:rPr>
        <w:drawing>
          <wp:inline distT="0" distB="0" distL="0" distR="0" wp14:anchorId="19564296" wp14:editId="184D9A3A">
            <wp:extent cx="6005195" cy="7212330"/>
            <wp:effectExtent l="0" t="0" r="0" b="7620"/>
            <wp:docPr id="4239327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5195" cy="7212330"/>
                    </a:xfrm>
                    <a:prstGeom prst="rect">
                      <a:avLst/>
                    </a:prstGeom>
                    <a:noFill/>
                  </pic:spPr>
                </pic:pic>
              </a:graphicData>
            </a:graphic>
          </wp:inline>
        </w:drawing>
      </w:r>
    </w:p>
    <w:p w14:paraId="402336B9" w14:textId="77777777" w:rsidR="001D4816" w:rsidRPr="001D4816" w:rsidRDefault="001D4816" w:rsidP="001D4816"/>
    <w:p w14:paraId="17BD2B7A" w14:textId="3058EF4A" w:rsidR="00DE01DF" w:rsidRDefault="00DE01DF" w:rsidP="00CF4593">
      <w:pPr>
        <w:ind w:hanging="142"/>
        <w:jc w:val="left"/>
      </w:pPr>
    </w:p>
    <w:p w14:paraId="2EAF43C0" w14:textId="02F98344" w:rsidR="00AA1F47" w:rsidRPr="004D7DFE" w:rsidRDefault="00AA1F47">
      <w:pPr>
        <w:pStyle w:val="Heading1"/>
      </w:pPr>
      <w:r w:rsidRPr="004D7DFE">
        <w:t>Estimating the tax</w:t>
      </w:r>
      <w:r w:rsidR="002235EA">
        <w:t>-</w:t>
      </w:r>
      <w:r>
        <w:t>benefit</w:t>
      </w:r>
      <w:r w:rsidRPr="004D7DFE">
        <w:t xml:space="preserve"> cost </w:t>
      </w:r>
      <w:r w:rsidR="002235EA">
        <w:t xml:space="preserve">under </w:t>
      </w:r>
      <w:r w:rsidRPr="004D7DFE">
        <w:t xml:space="preserve">hypothetical full take-up </w:t>
      </w:r>
      <w:r w:rsidR="00D57E61">
        <w:t>condition</w:t>
      </w:r>
      <w:r w:rsidR="002235EA">
        <w:t>s</w:t>
      </w:r>
    </w:p>
    <w:p w14:paraId="2EDDBCD1" w14:textId="5692740B" w:rsidR="00AA1F47" w:rsidRPr="004D7DFE" w:rsidRDefault="00AA1F47">
      <w:r w:rsidRPr="004D7DFE">
        <w:t xml:space="preserve">The </w:t>
      </w:r>
      <w:r w:rsidR="002235EA">
        <w:t xml:space="preserve">foregoing </w:t>
      </w:r>
      <w:r w:rsidRPr="004D7DFE">
        <w:t xml:space="preserve">analysis presents the tax policy in terms of donations. </w:t>
      </w:r>
      <w:r w:rsidR="002235EA">
        <w:t>It is also of interest, h</w:t>
      </w:r>
      <w:r w:rsidRPr="004D7DFE">
        <w:t>owever, to</w:t>
      </w:r>
      <w:r w:rsidR="002E2C8D">
        <w:t xml:space="preserve"> assess </w:t>
      </w:r>
      <w:r w:rsidRPr="004D7DFE">
        <w:t>the policy in terms of public cost or private benefit.</w:t>
      </w:r>
      <w:r w:rsidR="00DD2401">
        <w:t xml:space="preserve"> </w:t>
      </w:r>
      <w:r w:rsidRPr="004D7DFE">
        <w:t xml:space="preserve">I </w:t>
      </w:r>
      <w:r w:rsidR="00DD2401">
        <w:t xml:space="preserve">begin </w:t>
      </w:r>
      <w:r w:rsidR="002235EA">
        <w:t xml:space="preserve">by presenting </w:t>
      </w:r>
      <w:r w:rsidR="00DD2401">
        <w:t xml:space="preserve">administrative </w:t>
      </w:r>
      <w:r w:rsidRPr="004D7DFE">
        <w:t xml:space="preserve">data on the </w:t>
      </w:r>
      <w:r w:rsidR="002235EA">
        <w:t xml:space="preserve">tax </w:t>
      </w:r>
      <w:r w:rsidRPr="004D7DFE">
        <w:t>credit</w:t>
      </w:r>
      <w:r w:rsidR="00361FAC">
        <w:t xml:space="preserve"> </w:t>
      </w:r>
      <w:r w:rsidR="00E501A8">
        <w:t>“</w:t>
      </w:r>
      <w:r w:rsidRPr="004D7DFE">
        <w:t>given</w:t>
      </w:r>
      <w:r w:rsidR="00E501A8">
        <w:t>”</w:t>
      </w:r>
      <w:r w:rsidR="00361FAC">
        <w:t xml:space="preserve"> </w:t>
      </w:r>
      <w:r w:rsidR="00DD2401">
        <w:t>(</w:t>
      </w:r>
      <w:r w:rsidRPr="004D7DFE">
        <w:t>credit</w:t>
      </w:r>
      <w:r w:rsidR="00361FAC">
        <w:rPr>
          <w:i/>
          <w:iCs/>
        </w:rPr>
        <w:t xml:space="preserve"> </w:t>
      </w:r>
      <w:r w:rsidRPr="00361FAC">
        <w:rPr>
          <w:i/>
          <w:iCs/>
        </w:rPr>
        <w:t>given</w:t>
      </w:r>
      <w:r w:rsidRPr="004D7DFE">
        <w:t xml:space="preserve"> is tax revenues </w:t>
      </w:r>
      <w:r w:rsidR="002235EA" w:rsidRPr="004D7DFE">
        <w:t>actually wa</w:t>
      </w:r>
      <w:r w:rsidR="002235EA">
        <w:t>i</w:t>
      </w:r>
      <w:r w:rsidR="002235EA" w:rsidRPr="004D7DFE">
        <w:t xml:space="preserve">ved </w:t>
      </w:r>
      <w:r w:rsidRPr="004D7DFE">
        <w:t xml:space="preserve">and thus </w:t>
      </w:r>
      <w:r w:rsidR="00361FAC">
        <w:t>the</w:t>
      </w:r>
      <w:r w:rsidRPr="004D7DFE">
        <w:t xml:space="preserve"> public cost</w:t>
      </w:r>
      <w:r w:rsidR="00DD2401">
        <w:t>)</w:t>
      </w:r>
      <w:r w:rsidRPr="004D7DFE">
        <w:t xml:space="preserve">. </w:t>
      </w:r>
      <w:r w:rsidR="00DD2401">
        <w:t>I</w:t>
      </w:r>
      <w:r w:rsidRPr="004D7DFE">
        <w:t>n 2018, the wa</w:t>
      </w:r>
      <w:r>
        <w:t>i</w:t>
      </w:r>
      <w:r w:rsidRPr="004D7DFE">
        <w:t>ve</w:t>
      </w:r>
      <w:r w:rsidR="002235EA">
        <w:t>r of</w:t>
      </w:r>
      <w:r w:rsidRPr="004D7DFE">
        <w:t xml:space="preserve"> tax revenue amounted to</w:t>
      </w:r>
      <w:r w:rsidR="00361FAC">
        <w:t xml:space="preserve"> NIS</w:t>
      </w:r>
      <w:r w:rsidR="002235EA">
        <w:t> </w:t>
      </w:r>
      <w:r w:rsidRPr="004D7DFE">
        <w:t>577</w:t>
      </w:r>
      <w:r>
        <w:t xml:space="preserve"> million</w:t>
      </w:r>
      <w:r w:rsidR="00A276FE">
        <w:t xml:space="preserve">: </w:t>
      </w:r>
      <w:r w:rsidR="00361FAC">
        <w:t>NIS</w:t>
      </w:r>
      <w:r w:rsidR="002235EA">
        <w:t> </w:t>
      </w:r>
      <w:r w:rsidRPr="004D7DFE">
        <w:t>366</w:t>
      </w:r>
      <w:r>
        <w:t xml:space="preserve"> million</w:t>
      </w:r>
      <w:r w:rsidRPr="004D7DFE">
        <w:t xml:space="preserve"> </w:t>
      </w:r>
      <w:r w:rsidR="002235EA">
        <w:t xml:space="preserve">in credits to </w:t>
      </w:r>
      <w:r w:rsidRPr="004D7DFE">
        <w:t>individual donors and</w:t>
      </w:r>
      <w:r w:rsidR="00361FAC">
        <w:t xml:space="preserve"> NIS</w:t>
      </w:r>
      <w:r w:rsidR="002235EA">
        <w:t> </w:t>
      </w:r>
      <w:r w:rsidRPr="004D7DFE">
        <w:t xml:space="preserve">211 </w:t>
      </w:r>
      <w:r>
        <w:t>million</w:t>
      </w:r>
      <w:r w:rsidRPr="004D7DFE">
        <w:t xml:space="preserve"> to </w:t>
      </w:r>
      <w:r w:rsidR="002C1D67">
        <w:t>corporate</w:t>
      </w:r>
      <w:r w:rsidRPr="004D7DFE">
        <w:t xml:space="preserve"> donors (Table 4). </w:t>
      </w:r>
    </w:p>
    <w:p w14:paraId="0BA158D3" w14:textId="0D981F99" w:rsidR="00AA1F47" w:rsidRDefault="00AA1F47">
      <w:r w:rsidRPr="004D7DFE">
        <w:t>Bas</w:t>
      </w:r>
      <w:r w:rsidR="002235EA">
        <w:t>ing myself</w:t>
      </w:r>
      <w:r w:rsidRPr="004D7DFE">
        <w:t xml:space="preserve"> on the actual </w:t>
      </w:r>
      <w:r w:rsidR="002235EA">
        <w:t xml:space="preserve">tax </w:t>
      </w:r>
      <w:r w:rsidRPr="004D7DFE">
        <w:t>credit</w:t>
      </w:r>
      <w:r w:rsidR="002235EA">
        <w:t>s given,</w:t>
      </w:r>
      <w:r w:rsidRPr="004D7DFE">
        <w:t xml:space="preserve"> I calculated the average percentage </w:t>
      </w:r>
      <w:r w:rsidR="002235EA">
        <w:t xml:space="preserve">of the </w:t>
      </w:r>
      <w:r w:rsidR="002235EA" w:rsidRPr="004D7DFE">
        <w:t xml:space="preserve">credit </w:t>
      </w:r>
      <w:r w:rsidRPr="004D7DFE">
        <w:t xml:space="preserve">by source and range. Although </w:t>
      </w:r>
      <w:r w:rsidR="002235EA">
        <w:t xml:space="preserve">the </w:t>
      </w:r>
      <w:r w:rsidRPr="004D7DFE">
        <w:t xml:space="preserve">credit </w:t>
      </w:r>
      <w:r w:rsidR="00BA6C1C">
        <w:t xml:space="preserve">rate </w:t>
      </w:r>
      <w:r w:rsidRPr="004D7DFE">
        <w:t xml:space="preserve">is </w:t>
      </w:r>
      <w:r w:rsidR="002E2C8D">
        <w:t xml:space="preserve">constant </w:t>
      </w:r>
      <w:r w:rsidRPr="004D7DFE">
        <w:t>for all donors (35% for individuals</w:t>
      </w:r>
      <w:r w:rsidR="002235EA">
        <w:t>,</w:t>
      </w:r>
      <w:r w:rsidRPr="004D7DFE">
        <w:t xml:space="preserve"> 23% for </w:t>
      </w:r>
      <w:r w:rsidR="002235EA">
        <w:t>companies</w:t>
      </w:r>
      <w:r w:rsidRPr="004D7DFE">
        <w:t>), the actual credit may be lower</w:t>
      </w:r>
      <w:r w:rsidR="002235EA" w:rsidRPr="002235EA">
        <w:t xml:space="preserve"> </w:t>
      </w:r>
      <w:r w:rsidR="002235EA" w:rsidRPr="004D7DFE">
        <w:t xml:space="preserve">due to the </w:t>
      </w:r>
      <w:r w:rsidR="002235EA">
        <w:t>ceiling</w:t>
      </w:r>
      <w:r w:rsidR="002235EA" w:rsidRPr="004D7DFE">
        <w:t xml:space="preserve"> boundaries</w:t>
      </w:r>
      <w:r w:rsidRPr="004D7DFE">
        <w:t xml:space="preserve">. First and foremost, the income </w:t>
      </w:r>
      <w:r w:rsidR="00203555">
        <w:t>ceiling</w:t>
      </w:r>
      <w:r w:rsidRPr="004D7DFE">
        <w:t xml:space="preserve"> is relevant </w:t>
      </w:r>
      <w:r w:rsidR="002E2C8D">
        <w:t xml:space="preserve">to </w:t>
      </w:r>
      <w:r w:rsidRPr="004D7DFE">
        <w:t xml:space="preserve">all ranges of </w:t>
      </w:r>
      <w:r w:rsidR="00326CBB">
        <w:lastRenderedPageBreak/>
        <w:t>donations</w:t>
      </w:r>
      <w:r w:rsidRPr="004D7DFE">
        <w:t xml:space="preserve">, limiting the maximum sum of accreditable donations to 30% of yearly income. Thus, the income </w:t>
      </w:r>
      <w:r w:rsidR="00203555">
        <w:t>ceiling</w:t>
      </w:r>
      <w:r w:rsidRPr="004D7DFE">
        <w:t xml:space="preserve"> creates a subjective </w:t>
      </w:r>
      <w:r w:rsidR="002E2C8D">
        <w:t xml:space="preserve">effective </w:t>
      </w:r>
      <w:r w:rsidRPr="004D7DFE">
        <w:t xml:space="preserve">credit </w:t>
      </w:r>
      <w:r w:rsidR="00BA6C1C">
        <w:t xml:space="preserve">rate for </w:t>
      </w:r>
      <w:r w:rsidRPr="004D7DFE">
        <w:t>each and every donor. Second</w:t>
      </w:r>
      <w:r w:rsidR="00361FAC">
        <w:t>,</w:t>
      </w:r>
      <w:r w:rsidRPr="004D7DFE">
        <w:t xml:space="preserve"> the credit for large donations is bounded by the credit </w:t>
      </w:r>
      <w:r w:rsidR="00203555">
        <w:t>ceiling</w:t>
      </w:r>
      <w:r w:rsidRPr="004D7DFE">
        <w:t xml:space="preserve"> (</w:t>
      </w:r>
      <w:r w:rsidR="00361FAC">
        <w:t>NIS</w:t>
      </w:r>
      <w:r w:rsidR="00BA6C1C">
        <w:t> </w:t>
      </w:r>
      <w:r w:rsidRPr="004D7DFE">
        <w:t xml:space="preserve">9.211 </w:t>
      </w:r>
      <w:r>
        <w:t>million</w:t>
      </w:r>
      <w:r w:rsidRPr="004D7DFE">
        <w:t xml:space="preserve"> in 2018). Overall, due to the </w:t>
      </w:r>
      <w:r w:rsidR="00203555">
        <w:t>ceiling</w:t>
      </w:r>
      <w:r w:rsidRPr="004D7DFE">
        <w:t xml:space="preserve"> </w:t>
      </w:r>
      <w:r w:rsidR="00480C2D" w:rsidRPr="004D7DFE">
        <w:t>boundaries</w:t>
      </w:r>
      <w:r w:rsidR="00BA6C1C">
        <w:t>,</w:t>
      </w:r>
      <w:r w:rsidRPr="004D7DFE">
        <w:t xml:space="preserve"> </w:t>
      </w:r>
      <w:r w:rsidR="00BA6C1C">
        <w:t xml:space="preserve">the average effective rates were 28% for </w:t>
      </w:r>
      <w:r w:rsidRPr="004D7DFE">
        <w:t xml:space="preserve">individual donors (against a maximum of 35%) and </w:t>
      </w:r>
      <w:r w:rsidR="00BA6C1C">
        <w:t xml:space="preserve">18% for </w:t>
      </w:r>
      <w:r w:rsidR="002C1D67">
        <w:t>corporate</w:t>
      </w:r>
      <w:r w:rsidRPr="004D7DFE">
        <w:t xml:space="preserve"> donors (against </w:t>
      </w:r>
      <w:r w:rsidR="00BA6C1C">
        <w:t xml:space="preserve">a </w:t>
      </w:r>
      <w:r w:rsidRPr="004D7DFE">
        <w:t xml:space="preserve">maximum of 23%). As </w:t>
      </w:r>
      <w:r w:rsidR="00BA6C1C">
        <w:t xml:space="preserve">may </w:t>
      </w:r>
      <w:r w:rsidR="00361FAC">
        <w:t xml:space="preserve">be </w:t>
      </w:r>
      <w:r w:rsidRPr="004D7DFE">
        <w:t xml:space="preserve">expected, the lowest average credit </w:t>
      </w:r>
      <w:r w:rsidR="00BA6C1C">
        <w:t xml:space="preserve">rate attested </w:t>
      </w:r>
      <w:r w:rsidRPr="004D7DFE">
        <w:t>in the upper</w:t>
      </w:r>
      <w:r w:rsidR="00BA6C1C">
        <w:t>most</w:t>
      </w:r>
      <w:r w:rsidRPr="004D7DFE">
        <w:t xml:space="preserve"> range of donations</w:t>
      </w:r>
      <w:r w:rsidR="00BA6C1C">
        <w:t xml:space="preserve">, which </w:t>
      </w:r>
      <w:r w:rsidRPr="004D7DFE">
        <w:t>include</w:t>
      </w:r>
      <w:r w:rsidR="00BA6C1C">
        <w:t>s</w:t>
      </w:r>
      <w:r w:rsidRPr="004D7DFE">
        <w:t xml:space="preserve"> donations </w:t>
      </w:r>
      <w:r w:rsidR="00BA6C1C">
        <w:t xml:space="preserve">that exceed </w:t>
      </w:r>
      <w:r w:rsidRPr="004D7DFE">
        <w:t xml:space="preserve">the credit </w:t>
      </w:r>
      <w:r w:rsidR="00203555">
        <w:t>ceiling</w:t>
      </w:r>
      <w:r w:rsidR="00BA6C1C">
        <w:t>s</w:t>
      </w:r>
      <w:r w:rsidR="00361FAC">
        <w:t xml:space="preserve"> </w:t>
      </w:r>
      <w:r w:rsidR="00361FAC" w:rsidRPr="004D7DFE">
        <w:t>(</w:t>
      </w:r>
      <w:r w:rsidR="00BA6C1C" w:rsidRPr="004D7DFE">
        <w:t>17% for individual donations</w:t>
      </w:r>
      <w:r w:rsidR="00BA6C1C">
        <w:t>,</w:t>
      </w:r>
      <w:r w:rsidR="00BA6C1C" w:rsidRPr="004D7DFE">
        <w:t xml:space="preserve"> </w:t>
      </w:r>
      <w:r w:rsidR="00361FAC" w:rsidRPr="004D7DFE">
        <w:t xml:space="preserve">16% for </w:t>
      </w:r>
      <w:r w:rsidR="002C1D67">
        <w:t>corporate</w:t>
      </w:r>
      <w:r w:rsidR="00361FAC" w:rsidRPr="004D7DFE">
        <w:t xml:space="preserve"> donations)</w:t>
      </w:r>
      <w:r w:rsidRPr="004D7DFE">
        <w:t>.</w:t>
      </w:r>
    </w:p>
    <w:p w14:paraId="6C03738C" w14:textId="2000DC1E" w:rsidR="002250B8" w:rsidRDefault="002250B8">
      <w:r w:rsidRPr="004D7DFE">
        <w:t xml:space="preserve">Imputing the average percentage of </w:t>
      </w:r>
      <w:r w:rsidR="00FD5E96">
        <w:t xml:space="preserve">tax </w:t>
      </w:r>
      <w:r w:rsidRPr="004D7DFE">
        <w:t xml:space="preserve">credit </w:t>
      </w:r>
      <w:r w:rsidR="00FD5E96">
        <w:t xml:space="preserve">to the </w:t>
      </w:r>
      <w:r w:rsidRPr="004D7DFE">
        <w:t>unreported yet eligible donations by source and range</w:t>
      </w:r>
      <w:r w:rsidR="00FD5E96">
        <w:t xml:space="preserve">, we can estimate </w:t>
      </w:r>
      <w:r w:rsidRPr="004D7DFE">
        <w:t xml:space="preserve">the unclaimed credit that would have been given </w:t>
      </w:r>
      <w:r w:rsidR="002E2C8D">
        <w:t>for unr</w:t>
      </w:r>
      <w:r w:rsidRPr="004D7DFE">
        <w:t>eported donations had donors claimed them. Overall, potentially</w:t>
      </w:r>
      <w:r w:rsidR="00326CBB">
        <w:t>,</w:t>
      </w:r>
      <w:r w:rsidRPr="004D7DFE">
        <w:t xml:space="preserve"> donors could receive additional credit amounting to </w:t>
      </w:r>
      <w:r>
        <w:t>NIS</w:t>
      </w:r>
      <w:r w:rsidRPr="004D7DFE">
        <w:t xml:space="preserve"> 907</w:t>
      </w:r>
      <w:r>
        <w:t xml:space="preserve"> million</w:t>
      </w:r>
      <w:r w:rsidRPr="004D7DFE">
        <w:t xml:space="preserve">. 87% of </w:t>
      </w:r>
      <w:r w:rsidR="00E501A8">
        <w:t>“</w:t>
      </w:r>
      <w:r w:rsidRPr="004D7DFE">
        <w:t>saved</w:t>
      </w:r>
      <w:r w:rsidR="00E501A8">
        <w:t>”</w:t>
      </w:r>
      <w:r w:rsidRPr="004D7DFE">
        <w:t xml:space="preserve"> or </w:t>
      </w:r>
      <w:r w:rsidR="00E501A8">
        <w:t>“</w:t>
      </w:r>
      <w:r w:rsidRPr="004D7DFE">
        <w:t>lost</w:t>
      </w:r>
      <w:r w:rsidR="00E501A8">
        <w:t>”</w:t>
      </w:r>
      <w:r w:rsidRPr="004D7DFE">
        <w:t xml:space="preserve"> credit was due to individual donations, mostly for donations below </w:t>
      </w:r>
      <w:r>
        <w:t>NIS</w:t>
      </w:r>
      <w:r w:rsidRPr="004D7DFE">
        <w:t xml:space="preserve"> </w:t>
      </w:r>
      <w:r w:rsidR="00D756A9">
        <w:t>20K</w:t>
      </w:r>
      <w:r w:rsidRPr="004D7DFE">
        <w:t xml:space="preserve"> (80% of unclaimed credit) (Table 4).</w:t>
      </w:r>
    </w:p>
    <w:p w14:paraId="47D94149" w14:textId="57805CCD" w:rsidR="00AA1F47" w:rsidRDefault="00AA1F47" w:rsidP="004B7492">
      <w:pPr>
        <w:pStyle w:val="Heading3"/>
      </w:pPr>
      <w:r w:rsidRPr="004D7DFE">
        <w:t xml:space="preserve">Table 4. Received </w:t>
      </w:r>
      <w:r w:rsidR="00081B51">
        <w:t xml:space="preserve">tax </w:t>
      </w:r>
      <w:r w:rsidRPr="004D7DFE">
        <w:t>credit and estimated unclaimed credit</w:t>
      </w:r>
      <w:r w:rsidR="00081B51">
        <w:t>,</w:t>
      </w:r>
      <w:r w:rsidRPr="004D7DFE">
        <w:t xml:space="preserve"> </w:t>
      </w:r>
      <w:r>
        <w:t>NIS million</w:t>
      </w:r>
      <w:r w:rsidRPr="004D7DFE">
        <w:t>, by source and range</w:t>
      </w:r>
    </w:p>
    <w:p w14:paraId="45B6D5D6" w14:textId="77777777" w:rsidR="00C9627A" w:rsidRPr="00C9627A" w:rsidRDefault="00C9627A" w:rsidP="00C9627A"/>
    <w:tbl>
      <w:tblPr>
        <w:tblStyle w:val="TableGrid"/>
        <w:tblW w:w="1006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298"/>
        <w:gridCol w:w="1299"/>
        <w:gridCol w:w="1299"/>
        <w:gridCol w:w="1298"/>
        <w:gridCol w:w="1299"/>
        <w:gridCol w:w="1299"/>
      </w:tblGrid>
      <w:tr w:rsidR="00AA1F47" w:rsidRPr="004D7DFE" w14:paraId="4687647C" w14:textId="77777777" w:rsidTr="00E133B9">
        <w:tc>
          <w:tcPr>
            <w:tcW w:w="2268" w:type="dxa"/>
            <w:tcBorders>
              <w:top w:val="single" w:sz="8" w:space="0" w:color="auto"/>
              <w:bottom w:val="nil"/>
            </w:tcBorders>
          </w:tcPr>
          <w:p w14:paraId="74AA74EB" w14:textId="77777777" w:rsidR="00AA1F47" w:rsidRPr="004D7DFE" w:rsidRDefault="00AA1F47" w:rsidP="00E133B9">
            <w:pPr>
              <w:spacing w:after="120"/>
              <w:ind w:firstLine="0"/>
            </w:pPr>
            <w:r w:rsidRPr="004D7DFE">
              <w:t>Range</w:t>
            </w:r>
          </w:p>
        </w:tc>
        <w:tc>
          <w:tcPr>
            <w:tcW w:w="2597" w:type="dxa"/>
            <w:gridSpan w:val="2"/>
            <w:tcBorders>
              <w:top w:val="single" w:sz="8" w:space="0" w:color="auto"/>
              <w:bottom w:val="nil"/>
            </w:tcBorders>
            <w:shd w:val="clear" w:color="auto" w:fill="auto"/>
          </w:tcPr>
          <w:p w14:paraId="4A544EAF" w14:textId="66B83A63" w:rsidR="00AA1F47" w:rsidRPr="004D7DFE" w:rsidRDefault="00326CBB">
            <w:pPr>
              <w:spacing w:after="120"/>
              <w:ind w:firstLine="0"/>
              <w:jc w:val="center"/>
            </w:pPr>
            <w:r>
              <w:t>Effective</w:t>
            </w:r>
            <w:r w:rsidR="00AA1F47" w:rsidRPr="004D7DFE">
              <w:t xml:space="preserve"> credit</w:t>
            </w:r>
            <w:r w:rsidR="00081B51">
              <w:t xml:space="preserve"> rate</w:t>
            </w:r>
          </w:p>
        </w:tc>
        <w:tc>
          <w:tcPr>
            <w:tcW w:w="2597" w:type="dxa"/>
            <w:gridSpan w:val="2"/>
            <w:tcBorders>
              <w:top w:val="single" w:sz="8" w:space="0" w:color="auto"/>
              <w:bottom w:val="nil"/>
            </w:tcBorders>
            <w:shd w:val="clear" w:color="auto" w:fill="auto"/>
          </w:tcPr>
          <w:p w14:paraId="1F5B7E65" w14:textId="76E7F26F" w:rsidR="00AA1F47" w:rsidRPr="004D7DFE" w:rsidRDefault="00AA1F47" w:rsidP="00326CBB">
            <w:pPr>
              <w:spacing w:after="120"/>
              <w:ind w:firstLine="0"/>
              <w:jc w:val="center"/>
              <w:rPr>
                <w:rtl/>
              </w:rPr>
            </w:pPr>
            <w:r w:rsidRPr="004D7DFE">
              <w:t>Received credit</w:t>
            </w:r>
          </w:p>
        </w:tc>
        <w:tc>
          <w:tcPr>
            <w:tcW w:w="2598" w:type="dxa"/>
            <w:gridSpan w:val="2"/>
            <w:tcBorders>
              <w:top w:val="single" w:sz="8" w:space="0" w:color="auto"/>
              <w:bottom w:val="nil"/>
            </w:tcBorders>
            <w:shd w:val="clear" w:color="auto" w:fill="auto"/>
          </w:tcPr>
          <w:p w14:paraId="140CB4F9" w14:textId="77777777" w:rsidR="00AA1F47" w:rsidRPr="004D7DFE" w:rsidRDefault="00AA1F47" w:rsidP="00326CBB">
            <w:pPr>
              <w:spacing w:after="120"/>
              <w:ind w:firstLine="0"/>
              <w:jc w:val="center"/>
            </w:pPr>
            <w:r w:rsidRPr="004D7DFE">
              <w:t>Estimated unclaimed credit</w:t>
            </w:r>
          </w:p>
        </w:tc>
      </w:tr>
      <w:tr w:rsidR="004B7492" w:rsidRPr="004D7DFE" w14:paraId="3B4A7F09" w14:textId="77777777" w:rsidTr="00DC209A">
        <w:tc>
          <w:tcPr>
            <w:tcW w:w="2268" w:type="dxa"/>
            <w:tcBorders>
              <w:top w:val="nil"/>
              <w:bottom w:val="single" w:sz="12" w:space="0" w:color="auto"/>
            </w:tcBorders>
          </w:tcPr>
          <w:p w14:paraId="5326D372" w14:textId="77777777" w:rsidR="004B7492" w:rsidRPr="004D7DFE" w:rsidRDefault="004B7492" w:rsidP="004B7492">
            <w:pPr>
              <w:ind w:firstLine="0"/>
            </w:pPr>
          </w:p>
        </w:tc>
        <w:tc>
          <w:tcPr>
            <w:tcW w:w="1298" w:type="dxa"/>
            <w:tcBorders>
              <w:top w:val="nil"/>
              <w:bottom w:val="single" w:sz="12" w:space="0" w:color="auto"/>
            </w:tcBorders>
            <w:shd w:val="clear" w:color="auto" w:fill="auto"/>
          </w:tcPr>
          <w:p w14:paraId="138A938F" w14:textId="2C581614" w:rsidR="004B7492" w:rsidRPr="004D7DFE" w:rsidRDefault="004B7492" w:rsidP="004B7492">
            <w:pPr>
              <w:ind w:firstLine="0"/>
            </w:pPr>
            <w:r>
              <w:t>I</w:t>
            </w:r>
            <w:r w:rsidRPr="004D7DFE">
              <w:t>ndividual</w:t>
            </w:r>
          </w:p>
        </w:tc>
        <w:tc>
          <w:tcPr>
            <w:tcW w:w="1299" w:type="dxa"/>
            <w:tcBorders>
              <w:top w:val="nil"/>
              <w:bottom w:val="single" w:sz="12" w:space="0" w:color="auto"/>
            </w:tcBorders>
            <w:shd w:val="clear" w:color="auto" w:fill="auto"/>
          </w:tcPr>
          <w:p w14:paraId="464B91F1" w14:textId="0D841794" w:rsidR="004B7492" w:rsidRPr="004D7DFE" w:rsidRDefault="004B7492" w:rsidP="004B7492">
            <w:pPr>
              <w:ind w:firstLine="0"/>
            </w:pPr>
            <w:r>
              <w:t>Corporate</w:t>
            </w:r>
          </w:p>
        </w:tc>
        <w:tc>
          <w:tcPr>
            <w:tcW w:w="1299" w:type="dxa"/>
            <w:tcBorders>
              <w:top w:val="nil"/>
              <w:bottom w:val="single" w:sz="12" w:space="0" w:color="auto"/>
            </w:tcBorders>
            <w:shd w:val="clear" w:color="auto" w:fill="auto"/>
          </w:tcPr>
          <w:p w14:paraId="5C2A9ED8" w14:textId="7034B88B" w:rsidR="004B7492" w:rsidRPr="004D7DFE" w:rsidRDefault="004B7492" w:rsidP="004B7492">
            <w:pPr>
              <w:ind w:firstLine="0"/>
            </w:pPr>
            <w:r>
              <w:t>I</w:t>
            </w:r>
            <w:r w:rsidRPr="004D7DFE">
              <w:t>ndividual</w:t>
            </w:r>
          </w:p>
        </w:tc>
        <w:tc>
          <w:tcPr>
            <w:tcW w:w="1298" w:type="dxa"/>
            <w:tcBorders>
              <w:top w:val="nil"/>
              <w:bottom w:val="single" w:sz="12" w:space="0" w:color="auto"/>
            </w:tcBorders>
            <w:shd w:val="clear" w:color="auto" w:fill="auto"/>
          </w:tcPr>
          <w:p w14:paraId="6A1CAB91" w14:textId="4917C17F" w:rsidR="004B7492" w:rsidRPr="004D7DFE" w:rsidRDefault="004B7492" w:rsidP="004B7492">
            <w:pPr>
              <w:ind w:firstLine="0"/>
            </w:pPr>
            <w:r>
              <w:t>Corporate</w:t>
            </w:r>
          </w:p>
        </w:tc>
        <w:tc>
          <w:tcPr>
            <w:tcW w:w="1299" w:type="dxa"/>
            <w:tcBorders>
              <w:top w:val="nil"/>
              <w:bottom w:val="single" w:sz="12" w:space="0" w:color="auto"/>
            </w:tcBorders>
            <w:shd w:val="clear" w:color="auto" w:fill="auto"/>
          </w:tcPr>
          <w:p w14:paraId="68EED77A" w14:textId="1CACB5DE" w:rsidR="004B7492" w:rsidRPr="004D7DFE" w:rsidRDefault="004B7492" w:rsidP="004B7492">
            <w:pPr>
              <w:ind w:firstLine="0"/>
            </w:pPr>
            <w:r>
              <w:t>I</w:t>
            </w:r>
            <w:r w:rsidRPr="004D7DFE">
              <w:t>ndividual</w:t>
            </w:r>
          </w:p>
        </w:tc>
        <w:tc>
          <w:tcPr>
            <w:tcW w:w="1299" w:type="dxa"/>
            <w:tcBorders>
              <w:top w:val="nil"/>
              <w:bottom w:val="single" w:sz="12" w:space="0" w:color="auto"/>
            </w:tcBorders>
            <w:shd w:val="clear" w:color="auto" w:fill="auto"/>
          </w:tcPr>
          <w:p w14:paraId="2DCD628D" w14:textId="5E73AAEC" w:rsidR="004B7492" w:rsidRPr="004D7DFE" w:rsidRDefault="004B7492" w:rsidP="004B7492">
            <w:pPr>
              <w:ind w:firstLine="0"/>
            </w:pPr>
            <w:r>
              <w:t>Corporate</w:t>
            </w:r>
          </w:p>
        </w:tc>
      </w:tr>
      <w:tr w:rsidR="00AA1F47" w:rsidRPr="004D7DFE" w14:paraId="66B3E965" w14:textId="77777777" w:rsidTr="00DC209A">
        <w:trPr>
          <w:trHeight w:val="686"/>
        </w:trPr>
        <w:tc>
          <w:tcPr>
            <w:tcW w:w="2268" w:type="dxa"/>
            <w:tcBorders>
              <w:top w:val="single" w:sz="12" w:space="0" w:color="auto"/>
            </w:tcBorders>
            <w:vAlign w:val="center"/>
          </w:tcPr>
          <w:p w14:paraId="33F83E82" w14:textId="77777777" w:rsidR="00AA1F47" w:rsidRPr="00DC209A" w:rsidRDefault="00AA1F47" w:rsidP="00C9627A">
            <w:pPr>
              <w:ind w:firstLine="0"/>
              <w:rPr>
                <w:b/>
                <w:bCs/>
              </w:rPr>
            </w:pPr>
            <w:r w:rsidRPr="00DC209A">
              <w:rPr>
                <w:b/>
                <w:bCs/>
              </w:rPr>
              <w:t>Total</w:t>
            </w:r>
          </w:p>
          <w:p w14:paraId="5582CA95" w14:textId="77777777" w:rsidR="00AA1F47" w:rsidRPr="00DC209A" w:rsidRDefault="00AA1F47" w:rsidP="00C9627A">
            <w:pPr>
              <w:ind w:firstLine="0"/>
              <w:rPr>
                <w:b/>
                <w:bCs/>
              </w:rPr>
            </w:pPr>
          </w:p>
        </w:tc>
        <w:tc>
          <w:tcPr>
            <w:tcW w:w="2597" w:type="dxa"/>
            <w:gridSpan w:val="2"/>
            <w:tcBorders>
              <w:top w:val="single" w:sz="12" w:space="0" w:color="auto"/>
            </w:tcBorders>
            <w:shd w:val="clear" w:color="auto" w:fill="auto"/>
            <w:vAlign w:val="center"/>
          </w:tcPr>
          <w:p w14:paraId="15A2894D" w14:textId="77777777" w:rsidR="00AA1F47" w:rsidRPr="00DC209A" w:rsidRDefault="00AA1F47" w:rsidP="00C9627A">
            <w:pPr>
              <w:ind w:firstLine="0"/>
              <w:jc w:val="center"/>
              <w:rPr>
                <w:b/>
                <w:bCs/>
              </w:rPr>
            </w:pPr>
          </w:p>
        </w:tc>
        <w:tc>
          <w:tcPr>
            <w:tcW w:w="2597" w:type="dxa"/>
            <w:gridSpan w:val="2"/>
            <w:tcBorders>
              <w:top w:val="single" w:sz="12" w:space="0" w:color="auto"/>
            </w:tcBorders>
            <w:shd w:val="clear" w:color="auto" w:fill="auto"/>
            <w:vAlign w:val="center"/>
          </w:tcPr>
          <w:p w14:paraId="177A1A47" w14:textId="77777777" w:rsidR="00AA1F47" w:rsidRPr="00DC209A" w:rsidRDefault="00AA1F47" w:rsidP="00C9627A">
            <w:pPr>
              <w:ind w:firstLine="0"/>
              <w:jc w:val="center"/>
              <w:rPr>
                <w:b/>
                <w:bCs/>
              </w:rPr>
            </w:pPr>
            <w:r w:rsidRPr="00DC209A">
              <w:rPr>
                <w:b/>
                <w:bCs/>
              </w:rPr>
              <w:t>577</w:t>
            </w:r>
          </w:p>
        </w:tc>
        <w:tc>
          <w:tcPr>
            <w:tcW w:w="2598" w:type="dxa"/>
            <w:gridSpan w:val="2"/>
            <w:tcBorders>
              <w:top w:val="single" w:sz="12" w:space="0" w:color="auto"/>
            </w:tcBorders>
            <w:shd w:val="clear" w:color="auto" w:fill="auto"/>
            <w:vAlign w:val="center"/>
          </w:tcPr>
          <w:p w14:paraId="424EDE53" w14:textId="77777777" w:rsidR="00AA1F47" w:rsidRPr="00DC209A" w:rsidRDefault="00AA1F47" w:rsidP="00C9627A">
            <w:pPr>
              <w:ind w:firstLine="0"/>
              <w:jc w:val="center"/>
              <w:rPr>
                <w:b/>
                <w:bCs/>
              </w:rPr>
            </w:pPr>
            <w:r w:rsidRPr="00DC209A">
              <w:rPr>
                <w:b/>
                <w:bCs/>
              </w:rPr>
              <w:t>907</w:t>
            </w:r>
          </w:p>
        </w:tc>
      </w:tr>
      <w:tr w:rsidR="00AA1F47" w:rsidRPr="004D7DFE" w14:paraId="39F5E13C" w14:textId="77777777" w:rsidTr="00E133B9">
        <w:tc>
          <w:tcPr>
            <w:tcW w:w="2268" w:type="dxa"/>
          </w:tcPr>
          <w:p w14:paraId="1F0DC054" w14:textId="77777777" w:rsidR="00AA1F47" w:rsidRPr="00DC209A" w:rsidRDefault="00AA1F47" w:rsidP="00C9627A">
            <w:pPr>
              <w:ind w:firstLine="0"/>
              <w:rPr>
                <w:b/>
                <w:bCs/>
              </w:rPr>
            </w:pPr>
            <w:r w:rsidRPr="00DC209A">
              <w:rPr>
                <w:b/>
                <w:bCs/>
              </w:rPr>
              <w:t>Total by source</w:t>
            </w:r>
          </w:p>
          <w:p w14:paraId="6D981AEC" w14:textId="77777777" w:rsidR="00AA1F47" w:rsidRPr="00DC209A" w:rsidRDefault="00AA1F47" w:rsidP="00C9627A">
            <w:pPr>
              <w:ind w:firstLine="0"/>
              <w:rPr>
                <w:b/>
                <w:bCs/>
              </w:rPr>
            </w:pPr>
          </w:p>
        </w:tc>
        <w:tc>
          <w:tcPr>
            <w:tcW w:w="1298" w:type="dxa"/>
            <w:shd w:val="clear" w:color="auto" w:fill="auto"/>
          </w:tcPr>
          <w:p w14:paraId="7F4DC9B7" w14:textId="77777777" w:rsidR="00AA1F47" w:rsidRPr="00DC209A" w:rsidRDefault="00AA1F47" w:rsidP="00840709">
            <w:pPr>
              <w:ind w:firstLine="0"/>
              <w:jc w:val="center"/>
              <w:rPr>
                <w:b/>
                <w:bCs/>
              </w:rPr>
            </w:pPr>
            <w:r w:rsidRPr="00DC209A">
              <w:rPr>
                <w:b/>
                <w:bCs/>
              </w:rPr>
              <w:t>28%</w:t>
            </w:r>
          </w:p>
        </w:tc>
        <w:tc>
          <w:tcPr>
            <w:tcW w:w="1299" w:type="dxa"/>
            <w:shd w:val="clear" w:color="auto" w:fill="auto"/>
          </w:tcPr>
          <w:p w14:paraId="66406697" w14:textId="77777777" w:rsidR="00AA1F47" w:rsidRPr="00DC209A" w:rsidRDefault="00AA1F47" w:rsidP="00840709">
            <w:pPr>
              <w:ind w:firstLine="0"/>
              <w:jc w:val="center"/>
              <w:rPr>
                <w:b/>
                <w:bCs/>
              </w:rPr>
            </w:pPr>
            <w:r w:rsidRPr="00DC209A">
              <w:rPr>
                <w:b/>
                <w:bCs/>
              </w:rPr>
              <w:t>18%</w:t>
            </w:r>
          </w:p>
        </w:tc>
        <w:tc>
          <w:tcPr>
            <w:tcW w:w="1299" w:type="dxa"/>
            <w:shd w:val="clear" w:color="auto" w:fill="auto"/>
          </w:tcPr>
          <w:p w14:paraId="4FACAB76" w14:textId="77777777" w:rsidR="00AA1F47" w:rsidRPr="00DC209A" w:rsidRDefault="00AA1F47" w:rsidP="00840709">
            <w:pPr>
              <w:ind w:firstLine="0"/>
              <w:jc w:val="center"/>
              <w:rPr>
                <w:b/>
                <w:bCs/>
              </w:rPr>
            </w:pPr>
            <w:r w:rsidRPr="00DC209A">
              <w:rPr>
                <w:b/>
                <w:bCs/>
              </w:rPr>
              <w:t>366</w:t>
            </w:r>
          </w:p>
        </w:tc>
        <w:tc>
          <w:tcPr>
            <w:tcW w:w="1298" w:type="dxa"/>
            <w:shd w:val="clear" w:color="auto" w:fill="auto"/>
          </w:tcPr>
          <w:p w14:paraId="2E3AAA55" w14:textId="77777777" w:rsidR="00AA1F47" w:rsidRPr="00DC209A" w:rsidRDefault="00AA1F47" w:rsidP="00840709">
            <w:pPr>
              <w:ind w:firstLine="0"/>
              <w:jc w:val="center"/>
              <w:rPr>
                <w:b/>
                <w:bCs/>
              </w:rPr>
            </w:pPr>
            <w:r w:rsidRPr="00DC209A">
              <w:rPr>
                <w:b/>
                <w:bCs/>
              </w:rPr>
              <w:t>211</w:t>
            </w:r>
          </w:p>
        </w:tc>
        <w:tc>
          <w:tcPr>
            <w:tcW w:w="1299" w:type="dxa"/>
            <w:shd w:val="clear" w:color="auto" w:fill="auto"/>
          </w:tcPr>
          <w:p w14:paraId="1BA537E7" w14:textId="77777777" w:rsidR="00AA1F47" w:rsidRPr="00DC209A" w:rsidRDefault="00AA1F47" w:rsidP="00840709">
            <w:pPr>
              <w:ind w:firstLine="0"/>
              <w:jc w:val="center"/>
              <w:rPr>
                <w:b/>
                <w:bCs/>
              </w:rPr>
            </w:pPr>
            <w:r w:rsidRPr="00DC209A">
              <w:rPr>
                <w:b/>
                <w:bCs/>
              </w:rPr>
              <w:t>787</w:t>
            </w:r>
          </w:p>
        </w:tc>
        <w:tc>
          <w:tcPr>
            <w:tcW w:w="1299" w:type="dxa"/>
            <w:shd w:val="clear" w:color="auto" w:fill="auto"/>
          </w:tcPr>
          <w:p w14:paraId="2C5E5529" w14:textId="77777777" w:rsidR="00AA1F47" w:rsidRPr="00DC209A" w:rsidRDefault="00AA1F47" w:rsidP="00840709">
            <w:pPr>
              <w:ind w:firstLine="0"/>
              <w:jc w:val="center"/>
              <w:rPr>
                <w:b/>
                <w:bCs/>
              </w:rPr>
            </w:pPr>
            <w:r w:rsidRPr="00DC209A">
              <w:rPr>
                <w:b/>
                <w:bCs/>
              </w:rPr>
              <w:t>120</w:t>
            </w:r>
          </w:p>
        </w:tc>
      </w:tr>
      <w:tr w:rsidR="005D797A" w:rsidRPr="004D7DFE" w14:paraId="0B442CFC" w14:textId="77777777" w:rsidTr="00E133B9">
        <w:tc>
          <w:tcPr>
            <w:tcW w:w="2268" w:type="dxa"/>
          </w:tcPr>
          <w:p w14:paraId="14D3494D" w14:textId="32939D0A" w:rsidR="005D797A" w:rsidRPr="004D7DFE" w:rsidRDefault="005D797A" w:rsidP="006D7452">
            <w:pPr>
              <w:ind w:firstLine="0"/>
            </w:pPr>
            <w:r w:rsidRPr="004D7DFE">
              <w:t>Up to NIS 180 – ineligible</w:t>
            </w:r>
          </w:p>
        </w:tc>
        <w:tc>
          <w:tcPr>
            <w:tcW w:w="1298" w:type="dxa"/>
            <w:shd w:val="clear" w:color="auto" w:fill="auto"/>
          </w:tcPr>
          <w:p w14:paraId="08AFBE55" w14:textId="77777777" w:rsidR="005D797A" w:rsidRPr="004D7DFE" w:rsidRDefault="005D797A" w:rsidP="005D797A">
            <w:pPr>
              <w:ind w:firstLine="0"/>
              <w:jc w:val="center"/>
            </w:pPr>
            <w:r w:rsidRPr="004D7DFE">
              <w:t>-</w:t>
            </w:r>
          </w:p>
        </w:tc>
        <w:tc>
          <w:tcPr>
            <w:tcW w:w="1299" w:type="dxa"/>
            <w:shd w:val="clear" w:color="auto" w:fill="auto"/>
          </w:tcPr>
          <w:p w14:paraId="59256E90" w14:textId="77777777" w:rsidR="005D797A" w:rsidRPr="004D7DFE" w:rsidRDefault="005D797A" w:rsidP="005D797A">
            <w:pPr>
              <w:ind w:firstLine="0"/>
              <w:jc w:val="center"/>
            </w:pPr>
            <w:r w:rsidRPr="004D7DFE">
              <w:t>-</w:t>
            </w:r>
          </w:p>
        </w:tc>
        <w:tc>
          <w:tcPr>
            <w:tcW w:w="1299" w:type="dxa"/>
            <w:shd w:val="clear" w:color="auto" w:fill="auto"/>
          </w:tcPr>
          <w:p w14:paraId="0C0F602F" w14:textId="77777777" w:rsidR="005D797A" w:rsidRPr="004D7DFE" w:rsidRDefault="005D797A" w:rsidP="005D797A">
            <w:pPr>
              <w:ind w:firstLine="0"/>
              <w:jc w:val="center"/>
            </w:pPr>
            <w:r w:rsidRPr="004D7DFE">
              <w:t>-</w:t>
            </w:r>
          </w:p>
        </w:tc>
        <w:tc>
          <w:tcPr>
            <w:tcW w:w="1298" w:type="dxa"/>
            <w:shd w:val="clear" w:color="auto" w:fill="auto"/>
          </w:tcPr>
          <w:p w14:paraId="44E9A4B2" w14:textId="77777777" w:rsidR="005D797A" w:rsidRPr="004D7DFE" w:rsidRDefault="005D797A" w:rsidP="005D797A">
            <w:pPr>
              <w:ind w:firstLine="0"/>
              <w:jc w:val="center"/>
            </w:pPr>
            <w:r w:rsidRPr="004D7DFE">
              <w:t>-</w:t>
            </w:r>
          </w:p>
        </w:tc>
        <w:tc>
          <w:tcPr>
            <w:tcW w:w="1299" w:type="dxa"/>
            <w:shd w:val="clear" w:color="auto" w:fill="auto"/>
          </w:tcPr>
          <w:p w14:paraId="52600E4A" w14:textId="77777777" w:rsidR="005D797A" w:rsidRPr="004D7DFE" w:rsidRDefault="005D797A" w:rsidP="005D797A">
            <w:pPr>
              <w:ind w:firstLine="0"/>
              <w:jc w:val="center"/>
            </w:pPr>
            <w:r w:rsidRPr="004D7DFE">
              <w:t>-</w:t>
            </w:r>
          </w:p>
        </w:tc>
        <w:tc>
          <w:tcPr>
            <w:tcW w:w="1299" w:type="dxa"/>
            <w:shd w:val="clear" w:color="auto" w:fill="auto"/>
          </w:tcPr>
          <w:p w14:paraId="4A110D9D" w14:textId="77777777" w:rsidR="005D797A" w:rsidRPr="004D7DFE" w:rsidRDefault="005D797A" w:rsidP="005D797A">
            <w:pPr>
              <w:ind w:firstLine="0"/>
              <w:jc w:val="center"/>
            </w:pPr>
            <w:r w:rsidRPr="004D7DFE">
              <w:t>-</w:t>
            </w:r>
          </w:p>
        </w:tc>
      </w:tr>
      <w:tr w:rsidR="006D7452" w:rsidRPr="004D7DFE" w14:paraId="094B8799" w14:textId="77777777" w:rsidTr="00E133B9">
        <w:tc>
          <w:tcPr>
            <w:tcW w:w="2268" w:type="dxa"/>
          </w:tcPr>
          <w:p w14:paraId="7BAAB7DD" w14:textId="5F445540" w:rsidR="006D7452" w:rsidRPr="004D7DFE" w:rsidRDefault="006D7452" w:rsidP="006D7452">
            <w:pPr>
              <w:ind w:firstLine="0"/>
            </w:pPr>
            <w:r w:rsidRPr="004D7DFE">
              <w:t>NIS 180–2.000</w:t>
            </w:r>
          </w:p>
        </w:tc>
        <w:tc>
          <w:tcPr>
            <w:tcW w:w="1298" w:type="dxa"/>
            <w:shd w:val="clear" w:color="auto" w:fill="auto"/>
          </w:tcPr>
          <w:p w14:paraId="5F5CA0AE" w14:textId="77777777" w:rsidR="006D7452" w:rsidRPr="004D7DFE" w:rsidRDefault="006D7452" w:rsidP="006D7452">
            <w:pPr>
              <w:ind w:firstLine="0"/>
              <w:jc w:val="center"/>
            </w:pPr>
            <w:r w:rsidRPr="004D7DFE">
              <w:t>35%</w:t>
            </w:r>
          </w:p>
        </w:tc>
        <w:tc>
          <w:tcPr>
            <w:tcW w:w="1299" w:type="dxa"/>
            <w:shd w:val="clear" w:color="auto" w:fill="auto"/>
          </w:tcPr>
          <w:p w14:paraId="7F8D15BD" w14:textId="77777777" w:rsidR="006D7452" w:rsidRPr="004D7DFE" w:rsidRDefault="006D7452" w:rsidP="006D7452">
            <w:pPr>
              <w:ind w:firstLine="0"/>
              <w:jc w:val="center"/>
            </w:pPr>
            <w:r w:rsidRPr="004D7DFE">
              <w:t>22%</w:t>
            </w:r>
          </w:p>
        </w:tc>
        <w:tc>
          <w:tcPr>
            <w:tcW w:w="1299" w:type="dxa"/>
            <w:shd w:val="clear" w:color="auto" w:fill="auto"/>
          </w:tcPr>
          <w:p w14:paraId="6287EE64" w14:textId="77777777" w:rsidR="006D7452" w:rsidRPr="004D7DFE" w:rsidRDefault="006D7452" w:rsidP="006D7452">
            <w:pPr>
              <w:ind w:firstLine="0"/>
              <w:jc w:val="center"/>
            </w:pPr>
            <w:r w:rsidRPr="004D7DFE">
              <w:t>16</w:t>
            </w:r>
          </w:p>
        </w:tc>
        <w:tc>
          <w:tcPr>
            <w:tcW w:w="1298" w:type="dxa"/>
            <w:shd w:val="clear" w:color="auto" w:fill="auto"/>
          </w:tcPr>
          <w:p w14:paraId="13D1608D" w14:textId="77777777" w:rsidR="006D7452" w:rsidRPr="004D7DFE" w:rsidRDefault="006D7452" w:rsidP="006D7452">
            <w:pPr>
              <w:ind w:firstLine="0"/>
              <w:jc w:val="center"/>
            </w:pPr>
            <w:r w:rsidRPr="004D7DFE">
              <w:t>1</w:t>
            </w:r>
          </w:p>
        </w:tc>
        <w:tc>
          <w:tcPr>
            <w:tcW w:w="1299" w:type="dxa"/>
            <w:shd w:val="clear" w:color="auto" w:fill="auto"/>
          </w:tcPr>
          <w:p w14:paraId="6271BC1D" w14:textId="77777777" w:rsidR="006D7452" w:rsidRPr="004D7DFE" w:rsidRDefault="006D7452" w:rsidP="006D7452">
            <w:pPr>
              <w:ind w:firstLine="0"/>
              <w:jc w:val="center"/>
            </w:pPr>
            <w:r w:rsidRPr="004D7DFE">
              <w:t>475</w:t>
            </w:r>
          </w:p>
        </w:tc>
        <w:tc>
          <w:tcPr>
            <w:tcW w:w="1299" w:type="dxa"/>
            <w:shd w:val="clear" w:color="auto" w:fill="auto"/>
          </w:tcPr>
          <w:p w14:paraId="404A9BE5" w14:textId="77777777" w:rsidR="006D7452" w:rsidRPr="004D7DFE" w:rsidRDefault="006D7452" w:rsidP="006D7452">
            <w:pPr>
              <w:ind w:firstLine="0"/>
              <w:jc w:val="center"/>
            </w:pPr>
            <w:r w:rsidRPr="004D7DFE">
              <w:t>9</w:t>
            </w:r>
          </w:p>
        </w:tc>
      </w:tr>
      <w:tr w:rsidR="006D7452" w:rsidRPr="004D7DFE" w14:paraId="6F2D3CA1" w14:textId="77777777" w:rsidTr="00E133B9">
        <w:tc>
          <w:tcPr>
            <w:tcW w:w="2268" w:type="dxa"/>
          </w:tcPr>
          <w:p w14:paraId="06F0235E" w14:textId="120DD611" w:rsidR="006D7452" w:rsidRPr="004D7DFE" w:rsidRDefault="006D7452" w:rsidP="006D7452">
            <w:pPr>
              <w:ind w:firstLine="0"/>
            </w:pPr>
            <w:r w:rsidRPr="006473DD">
              <w:t>NIS 2</w:t>
            </w:r>
            <w:r>
              <w:t>K</w:t>
            </w:r>
            <w:r w:rsidRPr="006473DD">
              <w:t>–20</w:t>
            </w:r>
            <w:r>
              <w:t>K</w:t>
            </w:r>
          </w:p>
        </w:tc>
        <w:tc>
          <w:tcPr>
            <w:tcW w:w="1298" w:type="dxa"/>
            <w:shd w:val="clear" w:color="auto" w:fill="auto"/>
          </w:tcPr>
          <w:p w14:paraId="45899275" w14:textId="77777777" w:rsidR="006D7452" w:rsidRPr="004D7DFE" w:rsidRDefault="006D7452" w:rsidP="006D7452">
            <w:pPr>
              <w:ind w:firstLine="0"/>
              <w:jc w:val="center"/>
            </w:pPr>
            <w:r w:rsidRPr="004D7DFE">
              <w:t>35%</w:t>
            </w:r>
          </w:p>
        </w:tc>
        <w:tc>
          <w:tcPr>
            <w:tcW w:w="1299" w:type="dxa"/>
            <w:shd w:val="clear" w:color="auto" w:fill="auto"/>
          </w:tcPr>
          <w:p w14:paraId="49C46D04" w14:textId="77777777" w:rsidR="006D7452" w:rsidRPr="004D7DFE" w:rsidRDefault="006D7452" w:rsidP="006D7452">
            <w:pPr>
              <w:ind w:firstLine="0"/>
              <w:jc w:val="center"/>
            </w:pPr>
            <w:r w:rsidRPr="004D7DFE">
              <w:t>23%</w:t>
            </w:r>
          </w:p>
        </w:tc>
        <w:tc>
          <w:tcPr>
            <w:tcW w:w="1299" w:type="dxa"/>
            <w:shd w:val="clear" w:color="auto" w:fill="auto"/>
          </w:tcPr>
          <w:p w14:paraId="0F971C7B" w14:textId="77777777" w:rsidR="006D7452" w:rsidRPr="004D7DFE" w:rsidRDefault="006D7452" w:rsidP="006D7452">
            <w:pPr>
              <w:ind w:firstLine="0"/>
              <w:jc w:val="center"/>
            </w:pPr>
            <w:r w:rsidRPr="004D7DFE">
              <w:t>101</w:t>
            </w:r>
          </w:p>
        </w:tc>
        <w:tc>
          <w:tcPr>
            <w:tcW w:w="1298" w:type="dxa"/>
            <w:shd w:val="clear" w:color="auto" w:fill="auto"/>
          </w:tcPr>
          <w:p w14:paraId="332C4EFC" w14:textId="77777777" w:rsidR="006D7452" w:rsidRPr="004D7DFE" w:rsidRDefault="006D7452" w:rsidP="006D7452">
            <w:pPr>
              <w:ind w:firstLine="0"/>
              <w:jc w:val="center"/>
            </w:pPr>
            <w:r w:rsidRPr="004D7DFE">
              <w:t>11</w:t>
            </w:r>
          </w:p>
        </w:tc>
        <w:tc>
          <w:tcPr>
            <w:tcW w:w="1299" w:type="dxa"/>
            <w:shd w:val="clear" w:color="auto" w:fill="auto"/>
          </w:tcPr>
          <w:p w14:paraId="45DEEB25" w14:textId="77777777" w:rsidR="006D7452" w:rsidRPr="004D7DFE" w:rsidRDefault="006D7452" w:rsidP="006D7452">
            <w:pPr>
              <w:ind w:firstLine="0"/>
              <w:jc w:val="center"/>
            </w:pPr>
            <w:r w:rsidRPr="004D7DFE">
              <w:t>244</w:t>
            </w:r>
          </w:p>
        </w:tc>
        <w:tc>
          <w:tcPr>
            <w:tcW w:w="1299" w:type="dxa"/>
            <w:shd w:val="clear" w:color="auto" w:fill="auto"/>
          </w:tcPr>
          <w:p w14:paraId="13EFBCDE" w14:textId="77777777" w:rsidR="006D7452" w:rsidRPr="004D7DFE" w:rsidRDefault="006D7452" w:rsidP="006D7452">
            <w:pPr>
              <w:ind w:firstLine="0"/>
              <w:jc w:val="center"/>
            </w:pPr>
            <w:r w:rsidRPr="004D7DFE">
              <w:t>20</w:t>
            </w:r>
          </w:p>
        </w:tc>
      </w:tr>
      <w:tr w:rsidR="006D7452" w:rsidRPr="004D7DFE" w14:paraId="28B438D3" w14:textId="77777777" w:rsidTr="00E133B9">
        <w:tc>
          <w:tcPr>
            <w:tcW w:w="2268" w:type="dxa"/>
            <w:tcBorders>
              <w:bottom w:val="nil"/>
            </w:tcBorders>
          </w:tcPr>
          <w:p w14:paraId="6C094D14" w14:textId="0C4612FC" w:rsidR="006D7452" w:rsidRPr="004D7DFE" w:rsidRDefault="006D7452" w:rsidP="006D7452">
            <w:pPr>
              <w:ind w:firstLine="0"/>
            </w:pPr>
            <w:r w:rsidRPr="004D7DFE">
              <w:t>NIS 20</w:t>
            </w:r>
            <w:r>
              <w:t>K</w:t>
            </w:r>
            <w:r w:rsidRPr="004D7DFE">
              <w:t>–100</w:t>
            </w:r>
            <w:r>
              <w:t>K</w:t>
            </w:r>
          </w:p>
        </w:tc>
        <w:tc>
          <w:tcPr>
            <w:tcW w:w="1298" w:type="dxa"/>
            <w:tcBorders>
              <w:bottom w:val="nil"/>
            </w:tcBorders>
            <w:shd w:val="clear" w:color="auto" w:fill="auto"/>
          </w:tcPr>
          <w:p w14:paraId="3BDEFBB1" w14:textId="77777777" w:rsidR="006D7452" w:rsidRPr="004D7DFE" w:rsidRDefault="006D7452" w:rsidP="006D7452">
            <w:pPr>
              <w:ind w:firstLine="0"/>
              <w:jc w:val="center"/>
            </w:pPr>
            <w:r w:rsidRPr="004D7DFE">
              <w:t>34%</w:t>
            </w:r>
          </w:p>
        </w:tc>
        <w:tc>
          <w:tcPr>
            <w:tcW w:w="1299" w:type="dxa"/>
            <w:tcBorders>
              <w:bottom w:val="nil"/>
            </w:tcBorders>
            <w:shd w:val="clear" w:color="auto" w:fill="auto"/>
          </w:tcPr>
          <w:p w14:paraId="746A7FDA" w14:textId="77777777" w:rsidR="006D7452" w:rsidRPr="004D7DFE" w:rsidRDefault="006D7452" w:rsidP="006D7452">
            <w:pPr>
              <w:ind w:firstLine="0"/>
              <w:jc w:val="center"/>
            </w:pPr>
            <w:r w:rsidRPr="004D7DFE">
              <w:t>22%</w:t>
            </w:r>
          </w:p>
        </w:tc>
        <w:tc>
          <w:tcPr>
            <w:tcW w:w="1299" w:type="dxa"/>
            <w:tcBorders>
              <w:bottom w:val="nil"/>
            </w:tcBorders>
            <w:shd w:val="clear" w:color="auto" w:fill="auto"/>
          </w:tcPr>
          <w:p w14:paraId="34B7C422" w14:textId="77777777" w:rsidR="006D7452" w:rsidRPr="004D7DFE" w:rsidRDefault="006D7452" w:rsidP="006D7452">
            <w:pPr>
              <w:ind w:firstLine="0"/>
              <w:jc w:val="center"/>
            </w:pPr>
            <w:r w:rsidRPr="004D7DFE">
              <w:t>107</w:t>
            </w:r>
          </w:p>
        </w:tc>
        <w:tc>
          <w:tcPr>
            <w:tcW w:w="1298" w:type="dxa"/>
            <w:tcBorders>
              <w:bottom w:val="nil"/>
            </w:tcBorders>
            <w:shd w:val="clear" w:color="auto" w:fill="auto"/>
          </w:tcPr>
          <w:p w14:paraId="08EC2299" w14:textId="77777777" w:rsidR="006D7452" w:rsidRPr="004D7DFE" w:rsidRDefault="006D7452" w:rsidP="006D7452">
            <w:pPr>
              <w:ind w:firstLine="0"/>
              <w:jc w:val="center"/>
            </w:pPr>
            <w:r w:rsidRPr="004D7DFE">
              <w:t>26</w:t>
            </w:r>
          </w:p>
        </w:tc>
        <w:tc>
          <w:tcPr>
            <w:tcW w:w="1299" w:type="dxa"/>
            <w:tcBorders>
              <w:bottom w:val="nil"/>
            </w:tcBorders>
            <w:shd w:val="clear" w:color="auto" w:fill="auto"/>
          </w:tcPr>
          <w:p w14:paraId="65F7FDAE" w14:textId="77777777" w:rsidR="006D7452" w:rsidRPr="004D7DFE" w:rsidRDefault="006D7452" w:rsidP="006D7452">
            <w:pPr>
              <w:ind w:firstLine="0"/>
              <w:jc w:val="center"/>
            </w:pPr>
            <w:r w:rsidRPr="004D7DFE">
              <w:t>6</w:t>
            </w:r>
          </w:p>
        </w:tc>
        <w:tc>
          <w:tcPr>
            <w:tcW w:w="1299" w:type="dxa"/>
            <w:tcBorders>
              <w:bottom w:val="nil"/>
            </w:tcBorders>
            <w:shd w:val="clear" w:color="auto" w:fill="auto"/>
          </w:tcPr>
          <w:p w14:paraId="75CBDB97" w14:textId="77777777" w:rsidR="006D7452" w:rsidRPr="004D7DFE" w:rsidRDefault="006D7452" w:rsidP="006D7452">
            <w:pPr>
              <w:ind w:firstLine="0"/>
              <w:jc w:val="center"/>
            </w:pPr>
            <w:r w:rsidRPr="004D7DFE">
              <w:t>28</w:t>
            </w:r>
          </w:p>
        </w:tc>
      </w:tr>
      <w:tr w:rsidR="006D7452" w:rsidRPr="004D7DFE" w14:paraId="3D88FB68" w14:textId="77777777" w:rsidTr="00E133B9">
        <w:tc>
          <w:tcPr>
            <w:tcW w:w="2268" w:type="dxa"/>
            <w:tcBorders>
              <w:top w:val="nil"/>
              <w:bottom w:val="nil"/>
            </w:tcBorders>
          </w:tcPr>
          <w:p w14:paraId="5F28C0DB" w14:textId="1CFF9470" w:rsidR="006D7452" w:rsidRPr="004D7DFE" w:rsidRDefault="006D7452" w:rsidP="006D7452">
            <w:pPr>
              <w:ind w:firstLine="0"/>
            </w:pPr>
            <w:r w:rsidRPr="004D7DFE">
              <w:t>NIS 100</w:t>
            </w:r>
            <w:r>
              <w:t>K</w:t>
            </w:r>
            <w:r w:rsidRPr="004D7DFE">
              <w:t xml:space="preserve"> –</w:t>
            </w:r>
            <w:r>
              <w:t xml:space="preserve"> </w:t>
            </w:r>
            <w:r w:rsidRPr="004D7DFE">
              <w:t>NIS 1</w:t>
            </w:r>
            <w:r>
              <w:t>M</w:t>
            </w:r>
          </w:p>
        </w:tc>
        <w:tc>
          <w:tcPr>
            <w:tcW w:w="1298" w:type="dxa"/>
            <w:tcBorders>
              <w:top w:val="nil"/>
              <w:bottom w:val="nil"/>
            </w:tcBorders>
            <w:shd w:val="clear" w:color="auto" w:fill="auto"/>
          </w:tcPr>
          <w:p w14:paraId="397B8B9E" w14:textId="77777777" w:rsidR="006D7452" w:rsidRPr="004D7DFE" w:rsidRDefault="006D7452" w:rsidP="006D7452">
            <w:pPr>
              <w:ind w:firstLine="0"/>
              <w:jc w:val="center"/>
            </w:pPr>
            <w:r w:rsidRPr="004D7DFE">
              <w:t>29%</w:t>
            </w:r>
          </w:p>
        </w:tc>
        <w:tc>
          <w:tcPr>
            <w:tcW w:w="1299" w:type="dxa"/>
            <w:tcBorders>
              <w:top w:val="nil"/>
              <w:bottom w:val="nil"/>
            </w:tcBorders>
            <w:shd w:val="clear" w:color="auto" w:fill="auto"/>
          </w:tcPr>
          <w:p w14:paraId="53A8021E" w14:textId="77777777" w:rsidR="006D7452" w:rsidRPr="004D7DFE" w:rsidRDefault="006D7452" w:rsidP="006D7452">
            <w:pPr>
              <w:ind w:firstLine="0"/>
              <w:jc w:val="center"/>
            </w:pPr>
            <w:r w:rsidRPr="004D7DFE">
              <w:t>21%</w:t>
            </w:r>
          </w:p>
        </w:tc>
        <w:tc>
          <w:tcPr>
            <w:tcW w:w="1299" w:type="dxa"/>
            <w:tcBorders>
              <w:top w:val="nil"/>
              <w:bottom w:val="nil"/>
            </w:tcBorders>
            <w:shd w:val="clear" w:color="auto" w:fill="auto"/>
          </w:tcPr>
          <w:p w14:paraId="6F660AF1" w14:textId="77777777" w:rsidR="006D7452" w:rsidRPr="004D7DFE" w:rsidRDefault="006D7452" w:rsidP="006D7452">
            <w:pPr>
              <w:ind w:firstLine="0"/>
              <w:jc w:val="center"/>
            </w:pPr>
            <w:r w:rsidRPr="004D7DFE">
              <w:t>69</w:t>
            </w:r>
          </w:p>
        </w:tc>
        <w:tc>
          <w:tcPr>
            <w:tcW w:w="1298" w:type="dxa"/>
            <w:tcBorders>
              <w:top w:val="nil"/>
              <w:bottom w:val="nil"/>
            </w:tcBorders>
            <w:shd w:val="clear" w:color="auto" w:fill="auto"/>
          </w:tcPr>
          <w:p w14:paraId="38BEBBC8" w14:textId="77777777" w:rsidR="006D7452" w:rsidRPr="004D7DFE" w:rsidRDefault="006D7452" w:rsidP="006D7452">
            <w:pPr>
              <w:ind w:firstLine="0"/>
              <w:jc w:val="center"/>
            </w:pPr>
            <w:r w:rsidRPr="004D7DFE">
              <w:t>70</w:t>
            </w:r>
          </w:p>
        </w:tc>
        <w:tc>
          <w:tcPr>
            <w:tcW w:w="1299" w:type="dxa"/>
            <w:tcBorders>
              <w:top w:val="nil"/>
              <w:bottom w:val="nil"/>
            </w:tcBorders>
            <w:shd w:val="clear" w:color="auto" w:fill="auto"/>
          </w:tcPr>
          <w:p w14:paraId="0836C7CB" w14:textId="77777777" w:rsidR="006D7452" w:rsidRPr="004D7DFE" w:rsidRDefault="006D7452" w:rsidP="006D7452">
            <w:pPr>
              <w:ind w:firstLine="0"/>
              <w:jc w:val="center"/>
            </w:pPr>
            <w:r w:rsidRPr="004D7DFE">
              <w:t>58</w:t>
            </w:r>
          </w:p>
        </w:tc>
        <w:tc>
          <w:tcPr>
            <w:tcW w:w="1299" w:type="dxa"/>
            <w:tcBorders>
              <w:top w:val="nil"/>
              <w:bottom w:val="nil"/>
            </w:tcBorders>
            <w:shd w:val="clear" w:color="auto" w:fill="auto"/>
          </w:tcPr>
          <w:p w14:paraId="389B6BF2" w14:textId="77777777" w:rsidR="006D7452" w:rsidRPr="004D7DFE" w:rsidRDefault="006D7452" w:rsidP="006D7452">
            <w:pPr>
              <w:ind w:firstLine="0"/>
              <w:jc w:val="center"/>
            </w:pPr>
            <w:r w:rsidRPr="004D7DFE">
              <w:t>42</w:t>
            </w:r>
          </w:p>
        </w:tc>
      </w:tr>
      <w:tr w:rsidR="006D7452" w:rsidRPr="004D7DFE" w14:paraId="3E056998" w14:textId="77777777" w:rsidTr="00E133B9">
        <w:tc>
          <w:tcPr>
            <w:tcW w:w="2268" w:type="dxa"/>
            <w:tcBorders>
              <w:top w:val="nil"/>
              <w:bottom w:val="single" w:sz="8" w:space="0" w:color="auto"/>
            </w:tcBorders>
            <w:shd w:val="clear" w:color="auto" w:fill="auto"/>
          </w:tcPr>
          <w:p w14:paraId="4B218C1D" w14:textId="1E27D9E1" w:rsidR="006D7452" w:rsidRPr="004D7DFE" w:rsidRDefault="006D7452" w:rsidP="006D7452">
            <w:pPr>
              <w:ind w:firstLine="0"/>
            </w:pPr>
            <w:r w:rsidRPr="004D7DFE">
              <w:t>Above NIS 1</w:t>
            </w:r>
            <w:r>
              <w:t>M</w:t>
            </w:r>
          </w:p>
        </w:tc>
        <w:tc>
          <w:tcPr>
            <w:tcW w:w="1298" w:type="dxa"/>
            <w:tcBorders>
              <w:top w:val="nil"/>
              <w:bottom w:val="single" w:sz="8" w:space="0" w:color="auto"/>
            </w:tcBorders>
            <w:shd w:val="clear" w:color="auto" w:fill="auto"/>
          </w:tcPr>
          <w:p w14:paraId="61090B60" w14:textId="77777777" w:rsidR="006D7452" w:rsidRPr="004D7DFE" w:rsidRDefault="006D7452" w:rsidP="006D7452">
            <w:pPr>
              <w:ind w:firstLine="0"/>
              <w:jc w:val="center"/>
            </w:pPr>
            <w:r w:rsidRPr="004D7DFE">
              <w:t>17%</w:t>
            </w:r>
          </w:p>
        </w:tc>
        <w:tc>
          <w:tcPr>
            <w:tcW w:w="1299" w:type="dxa"/>
            <w:tcBorders>
              <w:top w:val="nil"/>
              <w:bottom w:val="single" w:sz="8" w:space="0" w:color="auto"/>
            </w:tcBorders>
            <w:shd w:val="clear" w:color="auto" w:fill="auto"/>
          </w:tcPr>
          <w:p w14:paraId="33064FB9" w14:textId="77777777" w:rsidR="006D7452" w:rsidRPr="004D7DFE" w:rsidRDefault="006D7452" w:rsidP="006D7452">
            <w:pPr>
              <w:ind w:firstLine="0"/>
              <w:jc w:val="center"/>
            </w:pPr>
            <w:r w:rsidRPr="004D7DFE">
              <w:t>16%</w:t>
            </w:r>
          </w:p>
        </w:tc>
        <w:tc>
          <w:tcPr>
            <w:tcW w:w="1299" w:type="dxa"/>
            <w:tcBorders>
              <w:top w:val="nil"/>
              <w:bottom w:val="single" w:sz="8" w:space="0" w:color="auto"/>
            </w:tcBorders>
            <w:shd w:val="clear" w:color="auto" w:fill="auto"/>
          </w:tcPr>
          <w:p w14:paraId="142D2AA0" w14:textId="77777777" w:rsidR="006D7452" w:rsidRPr="004D7DFE" w:rsidRDefault="006D7452" w:rsidP="006D7452">
            <w:pPr>
              <w:ind w:firstLine="0"/>
              <w:jc w:val="center"/>
            </w:pPr>
            <w:r w:rsidRPr="004D7DFE">
              <w:t>72</w:t>
            </w:r>
          </w:p>
        </w:tc>
        <w:tc>
          <w:tcPr>
            <w:tcW w:w="1298" w:type="dxa"/>
            <w:tcBorders>
              <w:top w:val="nil"/>
              <w:bottom w:val="single" w:sz="8" w:space="0" w:color="auto"/>
            </w:tcBorders>
            <w:shd w:val="clear" w:color="auto" w:fill="auto"/>
          </w:tcPr>
          <w:p w14:paraId="23C8FB5E" w14:textId="77777777" w:rsidR="006D7452" w:rsidRPr="004D7DFE" w:rsidRDefault="006D7452" w:rsidP="006D7452">
            <w:pPr>
              <w:ind w:firstLine="0"/>
              <w:jc w:val="center"/>
            </w:pPr>
            <w:r w:rsidRPr="004D7DFE">
              <w:t>102</w:t>
            </w:r>
          </w:p>
        </w:tc>
        <w:tc>
          <w:tcPr>
            <w:tcW w:w="1299" w:type="dxa"/>
            <w:tcBorders>
              <w:top w:val="nil"/>
              <w:bottom w:val="single" w:sz="8" w:space="0" w:color="auto"/>
            </w:tcBorders>
            <w:shd w:val="clear" w:color="auto" w:fill="auto"/>
          </w:tcPr>
          <w:p w14:paraId="7060044F" w14:textId="77777777" w:rsidR="006D7452" w:rsidRPr="004D7DFE" w:rsidRDefault="006D7452" w:rsidP="006D7452">
            <w:pPr>
              <w:ind w:firstLine="0"/>
              <w:jc w:val="center"/>
            </w:pPr>
            <w:r w:rsidRPr="004D7DFE">
              <w:t>3</w:t>
            </w:r>
          </w:p>
        </w:tc>
        <w:tc>
          <w:tcPr>
            <w:tcW w:w="1299" w:type="dxa"/>
            <w:tcBorders>
              <w:top w:val="nil"/>
              <w:bottom w:val="single" w:sz="8" w:space="0" w:color="auto"/>
            </w:tcBorders>
            <w:shd w:val="clear" w:color="auto" w:fill="auto"/>
          </w:tcPr>
          <w:p w14:paraId="2E924FA0" w14:textId="77777777" w:rsidR="006D7452" w:rsidRPr="004D7DFE" w:rsidRDefault="006D7452" w:rsidP="006D7452">
            <w:pPr>
              <w:ind w:firstLine="0"/>
              <w:jc w:val="center"/>
            </w:pPr>
            <w:r w:rsidRPr="004D7DFE">
              <w:t>21</w:t>
            </w:r>
          </w:p>
        </w:tc>
      </w:tr>
    </w:tbl>
    <w:p w14:paraId="70B0B618" w14:textId="77777777" w:rsidR="00AA1F47" w:rsidRDefault="00AA1F47" w:rsidP="00C9627A"/>
    <w:p w14:paraId="54D5C7F9" w14:textId="190AEBC6" w:rsidR="000D5B9F" w:rsidRDefault="000D5B9F" w:rsidP="0064718F">
      <w:pPr>
        <w:pStyle w:val="Title"/>
      </w:pPr>
      <w:r w:rsidRPr="004D7DFE">
        <w:t>Discussion</w:t>
      </w:r>
      <w:r w:rsidR="00354BAE">
        <w:t xml:space="preserve"> </w:t>
      </w:r>
      <w:r w:rsidR="0064718F">
        <w:t xml:space="preserve"> </w:t>
      </w:r>
    </w:p>
    <w:p w14:paraId="48ADF905" w14:textId="1AD4DA92" w:rsidR="00991C50" w:rsidRDefault="0064718F">
      <w:r>
        <w:rPr>
          <w:rFonts w:hint="cs"/>
          <w:rtl/>
        </w:rPr>
        <w:t xml:space="preserve">  </w:t>
      </w:r>
      <w:r w:rsidR="00745147">
        <w:t>T</w:t>
      </w:r>
      <w:r w:rsidR="005979B3">
        <w:t xml:space="preserve">he current research aimed </w:t>
      </w:r>
      <w:r w:rsidR="008C60CC">
        <w:t xml:space="preserve">to </w:t>
      </w:r>
      <w:r w:rsidR="005979B3">
        <w:t>analyz</w:t>
      </w:r>
      <w:r w:rsidR="008C60CC">
        <w:t>e</w:t>
      </w:r>
      <w:r w:rsidR="005979B3">
        <w:t xml:space="preserve"> the policy embedded in the tax </w:t>
      </w:r>
      <w:r w:rsidR="00C76B4A">
        <w:t>benefit</w:t>
      </w:r>
      <w:r w:rsidR="005979B3">
        <w:t xml:space="preserve"> for charitable giving</w:t>
      </w:r>
      <w:r w:rsidR="003B6DD0" w:rsidRPr="003B6DD0">
        <w:t xml:space="preserve"> </w:t>
      </w:r>
      <w:r w:rsidR="003B6DD0">
        <w:t>as actually implemented</w:t>
      </w:r>
      <w:r w:rsidR="005979B3">
        <w:t xml:space="preserve">. </w:t>
      </w:r>
      <w:r w:rsidR="00991C50" w:rsidRPr="00991C50">
        <w:t>Based on administrative data and complementary surveys</w:t>
      </w:r>
      <w:r w:rsidR="007D2290">
        <w:t xml:space="preserve"> and </w:t>
      </w:r>
      <w:r w:rsidR="00A96A9D">
        <w:t>taking</w:t>
      </w:r>
      <w:r w:rsidR="00143C63">
        <w:t xml:space="preserve"> </w:t>
      </w:r>
      <w:r w:rsidR="00991C50" w:rsidRPr="00991C50">
        <w:t xml:space="preserve">2018 </w:t>
      </w:r>
      <w:r w:rsidR="00B860E8" w:rsidRPr="00991C50">
        <w:t xml:space="preserve">in Israel </w:t>
      </w:r>
      <w:r w:rsidR="00991C50" w:rsidRPr="00991C50">
        <w:t xml:space="preserve">as </w:t>
      </w:r>
      <w:r w:rsidR="00A96A9D">
        <w:t xml:space="preserve">a </w:t>
      </w:r>
      <w:r w:rsidR="004C6AB1">
        <w:t>case study</w:t>
      </w:r>
      <w:r w:rsidR="00991C50" w:rsidRPr="00991C50">
        <w:t xml:space="preserve">, </w:t>
      </w:r>
      <w:r w:rsidR="00A96A9D">
        <w:t xml:space="preserve">the </w:t>
      </w:r>
      <w:r w:rsidR="00354BAE">
        <w:t>findings show</w:t>
      </w:r>
      <w:r w:rsidR="00991C50" w:rsidRPr="00991C50">
        <w:t xml:space="preserve"> that donors claim </w:t>
      </w:r>
      <w:r w:rsidR="007D2290">
        <w:t xml:space="preserve">a </w:t>
      </w:r>
      <w:r w:rsidR="00991C50" w:rsidRPr="00991C50">
        <w:t xml:space="preserve">tax benefit for 36% of </w:t>
      </w:r>
      <w:r w:rsidR="007D2290">
        <w:t xml:space="preserve">their </w:t>
      </w:r>
      <w:r w:rsidR="00991C50" w:rsidRPr="00991C50">
        <w:t>total donations</w:t>
      </w:r>
      <w:r w:rsidR="007D2290">
        <w:t>,</w:t>
      </w:r>
      <w:r w:rsidR="00991C50" w:rsidRPr="00991C50">
        <w:t xml:space="preserve"> </w:t>
      </w:r>
      <w:r w:rsidR="009062AF">
        <w:t xml:space="preserve">that </w:t>
      </w:r>
      <w:r w:rsidR="00991C50" w:rsidRPr="00991C50">
        <w:t xml:space="preserve">23% of total donations are not </w:t>
      </w:r>
      <w:r w:rsidR="00A96A9D">
        <w:t>benefit-</w:t>
      </w:r>
      <w:r w:rsidR="00991C50" w:rsidRPr="00991C50">
        <w:t xml:space="preserve">eligible due to </w:t>
      </w:r>
      <w:r w:rsidR="00354BAE">
        <w:t>boundaries</w:t>
      </w:r>
      <w:r w:rsidR="00334974">
        <w:t xml:space="preserve">: </w:t>
      </w:r>
      <w:r w:rsidR="00203555">
        <w:t>ceiling</w:t>
      </w:r>
      <w:r w:rsidR="00334974">
        <w:t>s</w:t>
      </w:r>
      <w:r w:rsidR="00991C50" w:rsidRPr="00991C50">
        <w:t>, floor</w:t>
      </w:r>
      <w:r w:rsidR="007D2290">
        <w:t>,</w:t>
      </w:r>
      <w:r w:rsidR="00991C50" w:rsidRPr="00991C50">
        <w:t xml:space="preserve"> and </w:t>
      </w:r>
      <w:r w:rsidR="00A96A9D">
        <w:t>qualified nonprofits</w:t>
      </w:r>
      <w:r w:rsidR="00334974">
        <w:t xml:space="preserve"> (ineligible donations</w:t>
      </w:r>
      <w:r w:rsidR="00991C50" w:rsidRPr="00991C50">
        <w:t>)</w:t>
      </w:r>
      <w:r w:rsidR="009062AF">
        <w:t>,</w:t>
      </w:r>
      <w:r w:rsidR="00991C50" w:rsidRPr="00991C50">
        <w:t xml:space="preserve"> </w:t>
      </w:r>
      <w:r w:rsidR="007D2290">
        <w:t>a</w:t>
      </w:r>
      <w:r w:rsidR="00991C50" w:rsidRPr="00991C50">
        <w:t xml:space="preserve">nd </w:t>
      </w:r>
      <w:r w:rsidR="009062AF">
        <w:t xml:space="preserve">that </w:t>
      </w:r>
      <w:r w:rsidR="00991C50" w:rsidRPr="00991C50">
        <w:t>41% percent of total donations are eligible</w:t>
      </w:r>
      <w:r w:rsidR="007D2290">
        <w:t xml:space="preserve"> but no </w:t>
      </w:r>
      <w:r w:rsidR="00991C50" w:rsidRPr="00991C50">
        <w:t xml:space="preserve">tax benefit </w:t>
      </w:r>
      <w:r w:rsidR="007D2290">
        <w:t xml:space="preserve">is </w:t>
      </w:r>
      <w:r w:rsidR="00991C50" w:rsidRPr="00991C50">
        <w:t>claimed for them</w:t>
      </w:r>
      <w:r w:rsidR="00334974" w:rsidRPr="00334974">
        <w:t xml:space="preserve"> </w:t>
      </w:r>
      <w:r w:rsidR="00334974">
        <w:t>(benefit non-take-up)</w:t>
      </w:r>
      <w:r w:rsidR="00991C50" w:rsidRPr="00991C50">
        <w:t>.</w:t>
      </w:r>
    </w:p>
    <w:p w14:paraId="62033C69" w14:textId="335CA8FC" w:rsidR="009C29D9" w:rsidRDefault="004E64A7">
      <w:r>
        <w:t>Th</w:t>
      </w:r>
      <w:r w:rsidR="00354BAE">
        <w:t>is research</w:t>
      </w:r>
      <w:r>
        <w:t xml:space="preserve"> </w:t>
      </w:r>
      <w:r w:rsidR="00354BAE">
        <w:t>demonstrates why</w:t>
      </w:r>
      <w:r>
        <w:t xml:space="preserve"> studying </w:t>
      </w:r>
      <w:r w:rsidR="007D2290">
        <w:t xml:space="preserve">the </w:t>
      </w:r>
      <w:r>
        <w:t xml:space="preserve">effectiveness of the tax policy is not enough. </w:t>
      </w:r>
      <w:r w:rsidR="00F00130">
        <w:t>Indeed,</w:t>
      </w:r>
      <w:r>
        <w:t xml:space="preserve"> the common understanding of effectiveness</w:t>
      </w:r>
      <w:r w:rsidR="00F00130">
        <w:t xml:space="preserve"> </w:t>
      </w:r>
      <w:r>
        <w:t xml:space="preserve">as the increase in donations to </w:t>
      </w:r>
      <w:r w:rsidR="00A96A9D">
        <w:t>PBOs</w:t>
      </w:r>
      <w:r>
        <w:t xml:space="preserve"> </w:t>
      </w:r>
      <w:r w:rsidR="007D2290">
        <w:t xml:space="preserve">less </w:t>
      </w:r>
      <w:r>
        <w:t xml:space="preserve">the public cost </w:t>
      </w:r>
      <w:r w:rsidR="007D2290">
        <w:t xml:space="preserve">of the benefit </w:t>
      </w:r>
      <w:r>
        <w:t xml:space="preserve">(practically </w:t>
      </w:r>
      <w:r w:rsidR="00D57E61">
        <w:t>estimated</w:t>
      </w:r>
      <w:r>
        <w:t xml:space="preserve"> by price elasticity) </w:t>
      </w:r>
      <w:r w:rsidR="00F00130">
        <w:t xml:space="preserve">is </w:t>
      </w:r>
      <w:r>
        <w:t xml:space="preserve">needed </w:t>
      </w:r>
      <w:r w:rsidR="007D2290">
        <w:t xml:space="preserve">in order </w:t>
      </w:r>
      <w:r>
        <w:t xml:space="preserve">to </w:t>
      </w:r>
      <w:r w:rsidR="007D2290">
        <w:t xml:space="preserve">determine </w:t>
      </w:r>
      <w:r>
        <w:t xml:space="preserve">whether a particular </w:t>
      </w:r>
      <w:r w:rsidR="00C76B4A">
        <w:t>benefit</w:t>
      </w:r>
      <w:r>
        <w:t xml:space="preserve"> is better or worse than another and whether a </w:t>
      </w:r>
      <w:r w:rsidR="007D2290">
        <w:t xml:space="preserve">given policy </w:t>
      </w:r>
      <w:r>
        <w:t xml:space="preserve">change </w:t>
      </w:r>
      <w:r w:rsidR="007D2290">
        <w:t xml:space="preserve">benefits </w:t>
      </w:r>
      <w:r>
        <w:t xml:space="preserve">the public good as a whole. </w:t>
      </w:r>
      <w:r w:rsidR="007D2290">
        <w:t xml:space="preserve">This, however, </w:t>
      </w:r>
      <w:r>
        <w:t xml:space="preserve">is not enough </w:t>
      </w:r>
      <w:r w:rsidR="001D4AE4">
        <w:t xml:space="preserve">if we </w:t>
      </w:r>
      <w:r w:rsidR="009062AF">
        <w:t xml:space="preserve">wish </w:t>
      </w:r>
      <w:r w:rsidR="001D4AE4">
        <w:t>to</w:t>
      </w:r>
      <w:r>
        <w:t xml:space="preserve"> asses</w:t>
      </w:r>
      <w:r w:rsidR="007D2290">
        <w:t>s</w:t>
      </w:r>
      <w:r>
        <w:t xml:space="preserve"> the </w:t>
      </w:r>
      <w:r w:rsidR="003953AB">
        <w:t>total effect</w:t>
      </w:r>
      <w:r>
        <w:t xml:space="preserve"> of the policy</w:t>
      </w:r>
      <w:r w:rsidR="007D2290">
        <w:t xml:space="preserve"> as </w:t>
      </w:r>
      <w:r w:rsidR="00354BAE">
        <w:t>implemented</w:t>
      </w:r>
      <w:r>
        <w:t xml:space="preserve">. </w:t>
      </w:r>
      <w:r w:rsidR="001D4AE4">
        <w:t>To that end</w:t>
      </w:r>
      <w:r w:rsidR="007D2290">
        <w:t>,</w:t>
      </w:r>
      <w:r w:rsidR="001D4AE4">
        <w:t xml:space="preserve"> we need to adopt a </w:t>
      </w:r>
      <w:r w:rsidR="00D57E61">
        <w:t>comprehensive approach</w:t>
      </w:r>
      <w:r w:rsidR="007D2290">
        <w:t xml:space="preserve"> that begins </w:t>
      </w:r>
      <w:r w:rsidR="00D57E61">
        <w:t xml:space="preserve">with a </w:t>
      </w:r>
      <w:r w:rsidR="007D2290">
        <w:t xml:space="preserve">preliminary </w:t>
      </w:r>
      <w:r w:rsidR="00D57E61">
        <w:t>stage of analysis.</w:t>
      </w:r>
      <w:r w:rsidR="009C29D9">
        <w:t xml:space="preserve"> </w:t>
      </w:r>
      <w:r w:rsidR="007D2290">
        <w:t xml:space="preserve">This </w:t>
      </w:r>
      <w:r w:rsidR="009C29D9">
        <w:t>stage include</w:t>
      </w:r>
      <w:r w:rsidR="007D2290">
        <w:t>s</w:t>
      </w:r>
      <w:r w:rsidR="009C29D9">
        <w:t xml:space="preserve"> </w:t>
      </w:r>
      <w:r w:rsidR="00815049">
        <w:t xml:space="preserve">calculating the extent of relevance of the policy, </w:t>
      </w:r>
      <w:r w:rsidR="009C29D9">
        <w:t xml:space="preserve">estimating the scope of </w:t>
      </w:r>
      <w:r w:rsidR="00F00130">
        <w:t>eligibility</w:t>
      </w:r>
      <w:r w:rsidR="00D57E61">
        <w:t>,</w:t>
      </w:r>
      <w:r w:rsidR="009C29D9">
        <w:t xml:space="preserve"> </w:t>
      </w:r>
      <w:r w:rsidR="00F00130">
        <w:t xml:space="preserve">and </w:t>
      </w:r>
      <w:r w:rsidR="00F41C5C">
        <w:t>a</w:t>
      </w:r>
      <w:r w:rsidR="009C29D9">
        <w:t>nalyz</w:t>
      </w:r>
      <w:r w:rsidR="00F00130">
        <w:t>ing</w:t>
      </w:r>
      <w:r w:rsidR="009C29D9">
        <w:t xml:space="preserve"> the characteristics of </w:t>
      </w:r>
      <w:r w:rsidR="007D2290">
        <w:t xml:space="preserve">the </w:t>
      </w:r>
      <w:r w:rsidR="009C29D9">
        <w:t xml:space="preserve">unclaimed donations. </w:t>
      </w:r>
      <w:r w:rsidR="001D4AE4">
        <w:t xml:space="preserve"> </w:t>
      </w:r>
    </w:p>
    <w:p w14:paraId="1E4A4A87" w14:textId="1622E780" w:rsidR="00497831" w:rsidRDefault="00815049" w:rsidP="00497831">
      <w:r>
        <w:t xml:space="preserve">The extent of the relevance of the policy is simply the share of reported donations from total donations, in this case, 36%. The benefit is expected to influence mostly those who claim it and thus is </w:t>
      </w:r>
      <w:r w:rsidRPr="00C51904">
        <w:rPr>
          <w:i/>
          <w:iCs/>
        </w:rPr>
        <w:t>relevant</w:t>
      </w:r>
      <w:r>
        <w:t xml:space="preserve"> as an incentive to their donations. This research reveals that although in Israel individuals donate 72% of total donations, they claim a benefit for only 26% of their donations whereas companies, which donate 28% of total donations, claim a benefit for 60% of their donations. Before even going into the reasons, be it due to benefit boundaries or to donors' non-take-up, one must be aware that in fact, the incentive is mostly relevant to corporate donors. It seems, however, that the public debate on the tax treatment of giving refers mostly to giving by individuals. Analyzing the extent and patterns of relevance is thus valuable both to assess the </w:t>
      </w:r>
      <w:r w:rsidR="00CF363C">
        <w:t>limits</w:t>
      </w:r>
      <w:r>
        <w:t xml:space="preserve"> of </w:t>
      </w:r>
      <w:r w:rsidR="00CF363C">
        <w:t xml:space="preserve">the </w:t>
      </w:r>
      <w:r>
        <w:t xml:space="preserve">potential influence </w:t>
      </w:r>
      <w:r w:rsidR="006C0FA2">
        <w:t xml:space="preserve">of the benefit </w:t>
      </w:r>
      <w:r>
        <w:t xml:space="preserve">and to check whether the policy </w:t>
      </w:r>
      <w:r w:rsidR="00CF363C">
        <w:t xml:space="preserve">hits </w:t>
      </w:r>
      <w:r>
        <w:t xml:space="preserve">the intended </w:t>
      </w:r>
      <w:r w:rsidR="00CF363C">
        <w:t>targets</w:t>
      </w:r>
      <w:r>
        <w:t>.</w:t>
      </w:r>
      <w:r w:rsidR="00497831">
        <w:t xml:space="preserve"> </w:t>
      </w:r>
    </w:p>
    <w:p w14:paraId="6C4899E8" w14:textId="2A79A366" w:rsidR="00497831" w:rsidRDefault="00497831" w:rsidP="00497831">
      <w:r>
        <w:t xml:space="preserve">The extent of relevance is the perimeter for the next stage of examining effectiveness. </w:t>
      </w:r>
      <w:r w:rsidR="006C0FA2">
        <w:t>Since</w:t>
      </w:r>
      <w:r w:rsidR="00E9344B">
        <w:t xml:space="preserve"> effectiveness needs no </w:t>
      </w:r>
      <w:r w:rsidR="006C0FA2">
        <w:t xml:space="preserve">further discussion, I move to </w:t>
      </w:r>
      <w:r w:rsidR="00CF363C">
        <w:t xml:space="preserve">discuss and </w:t>
      </w:r>
      <w:r w:rsidR="006C0FA2">
        <w:t xml:space="preserve">elaborate on </w:t>
      </w:r>
      <w:r w:rsidR="00E9344B">
        <w:t xml:space="preserve">the rest of the </w:t>
      </w:r>
      <w:r w:rsidR="00561AB9">
        <w:t>preliminary stage</w:t>
      </w:r>
      <w:r w:rsidR="006C0FA2">
        <w:t>. After subtracting the reported donations, we are left with "</w:t>
      </w:r>
      <w:r w:rsidR="00561AB9">
        <w:t>the rest</w:t>
      </w:r>
      <w:r w:rsidR="006C0FA2">
        <w:t xml:space="preserve">" of </w:t>
      </w:r>
      <w:r w:rsidR="00E9344B">
        <w:t xml:space="preserve">donations </w:t>
      </w:r>
      <w:r w:rsidR="00561AB9">
        <w:t>that were not reported (64% of total donations in this case)</w:t>
      </w:r>
      <w:r w:rsidR="006C0FA2">
        <w:t xml:space="preserve"> </w:t>
      </w:r>
      <w:r w:rsidR="00E9344B">
        <w:t>whether due to in</w:t>
      </w:r>
      <w:r w:rsidR="00561AB9">
        <w:t xml:space="preserve">eligibility </w:t>
      </w:r>
      <w:r w:rsidR="00E9344B">
        <w:t>or</w:t>
      </w:r>
      <w:r w:rsidR="00561AB9">
        <w:t xml:space="preserve"> non-take</w:t>
      </w:r>
      <w:r w:rsidR="00E9344B">
        <w:t>-</w:t>
      </w:r>
      <w:r w:rsidR="00561AB9">
        <w:t xml:space="preserve">up.      </w:t>
      </w:r>
      <w:r>
        <w:t xml:space="preserve"> </w:t>
      </w:r>
    </w:p>
    <w:p w14:paraId="43C7697A" w14:textId="06BBC386" w:rsidR="0003424B" w:rsidRDefault="00F41C5C" w:rsidP="00497831">
      <w:r>
        <w:t>E</w:t>
      </w:r>
      <w:r w:rsidR="001D4AE4">
        <w:t>stimat</w:t>
      </w:r>
      <w:r>
        <w:t>ing</w:t>
      </w:r>
      <w:r w:rsidR="001D4AE4">
        <w:t xml:space="preserve"> the scope of </w:t>
      </w:r>
      <w:r w:rsidR="00F00130">
        <w:t>eligibility</w:t>
      </w:r>
      <w:r w:rsidR="001D4AE4">
        <w:t xml:space="preserve"> </w:t>
      </w:r>
      <w:r>
        <w:t xml:space="preserve">means evaluating the extent of </w:t>
      </w:r>
      <w:r w:rsidR="00C92A2F">
        <w:t>in</w:t>
      </w:r>
      <w:r>
        <w:t xml:space="preserve">eligible donations, </w:t>
      </w:r>
      <w:r w:rsidR="00A05E83">
        <w:t>that is</w:t>
      </w:r>
      <w:r w:rsidR="007D2290">
        <w:t xml:space="preserve">, </w:t>
      </w:r>
      <w:r w:rsidR="001D4AE4">
        <w:t xml:space="preserve">donations </w:t>
      </w:r>
      <w:r w:rsidR="007D2290">
        <w:t>that fail to quali</w:t>
      </w:r>
      <w:r w:rsidR="00C92A2F">
        <w:t>f</w:t>
      </w:r>
      <w:r w:rsidR="007D2290">
        <w:t xml:space="preserve">y </w:t>
      </w:r>
      <w:r w:rsidR="001D4AE4">
        <w:t xml:space="preserve">for the </w:t>
      </w:r>
      <w:r w:rsidR="00C76B4A">
        <w:t>benefit</w:t>
      </w:r>
      <w:r w:rsidR="001D4AE4">
        <w:t xml:space="preserve"> due to the </w:t>
      </w:r>
      <w:r w:rsidR="007D2290">
        <w:t xml:space="preserve">boundaries of the </w:t>
      </w:r>
      <w:r w:rsidR="00C76B4A">
        <w:t>benefit</w:t>
      </w:r>
      <w:r w:rsidR="001D4AE4">
        <w:t xml:space="preserve">. </w:t>
      </w:r>
      <w:r w:rsidR="007D2290">
        <w:t xml:space="preserve">In such an inquiry, </w:t>
      </w:r>
      <w:r w:rsidR="001D4AE4">
        <w:t xml:space="preserve">the policy </w:t>
      </w:r>
      <w:r w:rsidR="007D2290">
        <w:t xml:space="preserve">may be found </w:t>
      </w:r>
      <w:r w:rsidR="001D4AE4">
        <w:t>too harsh or too inclusive</w:t>
      </w:r>
      <w:r w:rsidR="007D2290">
        <w:t>,</w:t>
      </w:r>
      <w:r>
        <w:t xml:space="preserve"> </w:t>
      </w:r>
      <w:r w:rsidR="00F00130">
        <w:t>thus</w:t>
      </w:r>
      <w:r>
        <w:t xml:space="preserve"> missing its goals</w:t>
      </w:r>
      <w:r w:rsidR="001D4AE4">
        <w:t xml:space="preserve">. </w:t>
      </w:r>
      <w:r w:rsidR="00A05E83">
        <w:t>T</w:t>
      </w:r>
      <w:r w:rsidR="001D4AE4">
        <w:t>he</w:t>
      </w:r>
      <w:r w:rsidR="00EA66D8">
        <w:t xml:space="preserve"> variety </w:t>
      </w:r>
      <w:r w:rsidR="00A05E83">
        <w:t>of policies reviewed by</w:t>
      </w:r>
      <w:r w:rsidR="00EA66D8">
        <w:t xml:space="preserve"> the </w:t>
      </w:r>
      <w:r w:rsidR="001D4AE4">
        <w:t xml:space="preserve">OECD (2020) </w:t>
      </w:r>
      <w:r w:rsidR="007D2290">
        <w:t xml:space="preserve">makes </w:t>
      </w:r>
      <w:r w:rsidR="001D4AE4">
        <w:t xml:space="preserve">it clear that </w:t>
      </w:r>
      <w:r w:rsidR="005F77A3">
        <w:t>the vari</w:t>
      </w:r>
      <w:r w:rsidR="00EA66D8">
        <w:t>ous</w:t>
      </w:r>
      <w:r w:rsidR="005F77A3">
        <w:t xml:space="preserve"> tax polic</w:t>
      </w:r>
      <w:r w:rsidR="00EA66D8">
        <w:t>ies</w:t>
      </w:r>
      <w:r w:rsidR="005F77A3">
        <w:t xml:space="preserve"> </w:t>
      </w:r>
      <w:r w:rsidR="00EA66D8">
        <w:t>in different</w:t>
      </w:r>
      <w:r w:rsidR="005F77A3">
        <w:t xml:space="preserve"> </w:t>
      </w:r>
      <w:r w:rsidR="001D4AE4">
        <w:t>countries</w:t>
      </w:r>
      <w:r w:rsidR="005F77A3">
        <w:t xml:space="preserve"> </w:t>
      </w:r>
      <w:r w:rsidR="00EA66D8">
        <w:t xml:space="preserve">are </w:t>
      </w:r>
      <w:r w:rsidR="007D2290">
        <w:t xml:space="preserve">as </w:t>
      </w:r>
      <w:r w:rsidR="00EA66D8">
        <w:t xml:space="preserve">concerned with </w:t>
      </w:r>
      <w:r w:rsidR="005F77A3">
        <w:t xml:space="preserve">the </w:t>
      </w:r>
      <w:r w:rsidR="00F00130">
        <w:t>boundaries</w:t>
      </w:r>
      <w:r w:rsidR="005F77A3">
        <w:t xml:space="preserve"> </w:t>
      </w:r>
      <w:r w:rsidR="007D2290">
        <w:t xml:space="preserve">of the benefit as </w:t>
      </w:r>
      <w:r w:rsidR="00EA66D8">
        <w:t xml:space="preserve">with </w:t>
      </w:r>
      <w:r w:rsidR="005F77A3">
        <w:t xml:space="preserve">the </w:t>
      </w:r>
      <w:r w:rsidR="00C76B4A">
        <w:t>benefit</w:t>
      </w:r>
      <w:r w:rsidR="007D2290">
        <w:t xml:space="preserve"> </w:t>
      </w:r>
      <w:r w:rsidR="00F05A37">
        <w:t>method</w:t>
      </w:r>
      <w:r w:rsidR="005F77A3">
        <w:t xml:space="preserve">. </w:t>
      </w:r>
      <w:r w:rsidR="007D2290">
        <w:t>N</w:t>
      </w:r>
      <w:r w:rsidR="005F77A3">
        <w:t xml:space="preserve">o two countries </w:t>
      </w:r>
      <w:r w:rsidR="007D2290">
        <w:t xml:space="preserve">apply </w:t>
      </w:r>
      <w:r w:rsidR="005F77A3">
        <w:t xml:space="preserve">the same </w:t>
      </w:r>
      <w:r w:rsidR="00EA66D8">
        <w:t>boundaries</w:t>
      </w:r>
      <w:r w:rsidR="005F77A3">
        <w:t>. In</w:t>
      </w:r>
      <w:r w:rsidR="00E0117A">
        <w:t xml:space="preserve"> </w:t>
      </w:r>
      <w:r w:rsidR="005F77A3">
        <w:t>fact</w:t>
      </w:r>
      <w:r w:rsidR="00E0117A">
        <w:t xml:space="preserve">, </w:t>
      </w:r>
      <w:r w:rsidR="005F77A3">
        <w:t xml:space="preserve">the </w:t>
      </w:r>
      <w:r w:rsidR="00EA66D8">
        <w:t xml:space="preserve">boundaries </w:t>
      </w:r>
      <w:r w:rsidR="005F77A3">
        <w:t xml:space="preserve">of the </w:t>
      </w:r>
      <w:r w:rsidR="00C76B4A">
        <w:t>benefit</w:t>
      </w:r>
      <w:r w:rsidR="005F77A3">
        <w:t xml:space="preserve"> </w:t>
      </w:r>
      <w:r w:rsidR="007D2290">
        <w:t xml:space="preserve">appear to be </w:t>
      </w:r>
      <w:r w:rsidR="00E0117A">
        <w:t>a</w:t>
      </w:r>
      <w:r w:rsidR="007D2290">
        <w:t xml:space="preserve">n </w:t>
      </w:r>
      <w:r w:rsidR="007D2290">
        <w:lastRenderedPageBreak/>
        <w:t xml:space="preserve">important </w:t>
      </w:r>
      <w:r w:rsidR="005F77A3">
        <w:t xml:space="preserve">tool for countries to navigate policy according to </w:t>
      </w:r>
      <w:r w:rsidR="007D2290">
        <w:t xml:space="preserve">their </w:t>
      </w:r>
      <w:r w:rsidR="005F77A3">
        <w:t xml:space="preserve">values and preferences. </w:t>
      </w:r>
      <w:r w:rsidR="00E0117A">
        <w:t>However, o</w:t>
      </w:r>
      <w:r w:rsidR="001D4AE4">
        <w:t xml:space="preserve">nly true data can </w:t>
      </w:r>
      <w:r w:rsidR="007D2290">
        <w:t xml:space="preserve">produce </w:t>
      </w:r>
      <w:r w:rsidR="001D4AE4">
        <w:t>a reflection</w:t>
      </w:r>
      <w:r w:rsidR="00E0117A">
        <w:t xml:space="preserve"> </w:t>
      </w:r>
      <w:r w:rsidR="001E19C9">
        <w:t>“</w:t>
      </w:r>
      <w:r w:rsidR="00E0117A">
        <w:t xml:space="preserve">from the </w:t>
      </w:r>
      <w:r w:rsidR="001E19C9">
        <w:t xml:space="preserve">front lines” </w:t>
      </w:r>
      <w:r w:rsidR="001D4AE4">
        <w:t xml:space="preserve">that would be a basis for </w:t>
      </w:r>
      <w:r w:rsidR="00D57E61">
        <w:t>reviewing</w:t>
      </w:r>
      <w:r w:rsidR="00E0117A">
        <w:t xml:space="preserve"> whether </w:t>
      </w:r>
      <w:r>
        <w:t>the</w:t>
      </w:r>
      <w:r w:rsidR="00E0117A">
        <w:t xml:space="preserve"> policy</w:t>
      </w:r>
      <w:r w:rsidR="003A1623">
        <w:t>,</w:t>
      </w:r>
      <w:r w:rsidR="00E0117A">
        <w:t xml:space="preserve"> in terms of </w:t>
      </w:r>
      <w:r>
        <w:t>its</w:t>
      </w:r>
      <w:r w:rsidR="001D4AE4">
        <w:t xml:space="preserve"> </w:t>
      </w:r>
      <w:r w:rsidR="00EA66D8">
        <w:t>boundaries</w:t>
      </w:r>
      <w:r w:rsidR="003A1623">
        <w:t>,</w:t>
      </w:r>
      <w:r w:rsidR="00E0117A">
        <w:t xml:space="preserve"> actually m</w:t>
      </w:r>
      <w:r w:rsidR="003A1623">
        <w:t>e</w:t>
      </w:r>
      <w:r w:rsidR="00E0117A">
        <w:t>et</w:t>
      </w:r>
      <w:r w:rsidR="003A1623">
        <w:t>s</w:t>
      </w:r>
      <w:r w:rsidR="00E0117A">
        <w:t xml:space="preserve"> its goals</w:t>
      </w:r>
      <w:r w:rsidR="001D4AE4">
        <w:t>.</w:t>
      </w:r>
      <w:r w:rsidR="00B127BA">
        <w:t xml:space="preserve"> For instance, Israel </w:t>
      </w:r>
      <w:r w:rsidR="003A1623">
        <w:t xml:space="preserve">applies </w:t>
      </w:r>
      <w:r w:rsidR="00B127BA">
        <w:t xml:space="preserve">a credit floor. </w:t>
      </w:r>
      <w:r w:rsidR="003A1623">
        <w:t>My findings</w:t>
      </w:r>
      <w:r w:rsidR="00B127BA">
        <w:t xml:space="preserve">, </w:t>
      </w:r>
      <w:r w:rsidR="003A1623">
        <w:t>however, show</w:t>
      </w:r>
      <w:r w:rsidR="00B127BA">
        <w:t xml:space="preserve"> that donations below the floor</w:t>
      </w:r>
      <w:r w:rsidR="003A1623">
        <w:t xml:space="preserve"> come </w:t>
      </w:r>
      <w:r w:rsidR="00EA66D8">
        <w:t xml:space="preserve">from numerous donors and </w:t>
      </w:r>
      <w:r w:rsidR="001E19C9">
        <w:t xml:space="preserve">add up </w:t>
      </w:r>
      <w:r w:rsidR="00B127BA">
        <w:t xml:space="preserve">to a significant amount. </w:t>
      </w:r>
      <w:r w:rsidR="003A1623">
        <w:t>From this perspective,</w:t>
      </w:r>
      <w:r w:rsidR="00B127BA">
        <w:t xml:space="preserve"> the legislator should reconsider whether it is </w:t>
      </w:r>
      <w:r w:rsidR="00EA66D8">
        <w:t>just</w:t>
      </w:r>
      <w:r w:rsidR="00B127BA">
        <w:t xml:space="preserve"> to exclude a significant portion of donors from the </w:t>
      </w:r>
      <w:r w:rsidR="00A05E83">
        <w:t>benefits</w:t>
      </w:r>
      <w:r w:rsidR="00EA66D8">
        <w:t xml:space="preserve"> policy</w:t>
      </w:r>
      <w:r w:rsidR="00B127BA">
        <w:t xml:space="preserve"> and </w:t>
      </w:r>
      <w:r w:rsidR="003A1623">
        <w:t xml:space="preserve">deny </w:t>
      </w:r>
      <w:r w:rsidR="00B127BA">
        <w:t>them th</w:t>
      </w:r>
      <w:r w:rsidR="003A1623">
        <w:t xml:space="preserve">e </w:t>
      </w:r>
      <w:r w:rsidR="00B127BA">
        <w:t>benefit.</w:t>
      </w:r>
    </w:p>
    <w:p w14:paraId="6E244AAE" w14:textId="513970A8" w:rsidR="008D18C9" w:rsidRDefault="003A1623">
      <w:r>
        <w:t xml:space="preserve">We move on </w:t>
      </w:r>
      <w:r w:rsidR="0003424B">
        <w:t xml:space="preserve">to </w:t>
      </w:r>
      <w:r w:rsidR="006C0FA2">
        <w:t xml:space="preserve">benefit non-take-up: </w:t>
      </w:r>
      <w:r w:rsidR="0003424B">
        <w:t xml:space="preserve">the </w:t>
      </w:r>
      <w:r w:rsidR="00A67503">
        <w:t xml:space="preserve">scope of eligible yet unclaimed donations. </w:t>
      </w:r>
      <w:r w:rsidR="008D18C9">
        <w:t>T</w:t>
      </w:r>
      <w:r w:rsidR="00A67503">
        <w:t xml:space="preserve">his figure is </w:t>
      </w:r>
      <w:r>
        <w:t xml:space="preserve">relatively </w:t>
      </w:r>
      <w:r w:rsidR="00A67503">
        <w:t>easy to extract</w:t>
      </w:r>
      <w:r w:rsidR="00334974">
        <w:t xml:space="preserve"> </w:t>
      </w:r>
      <w:r w:rsidR="00BA3F11">
        <w:t xml:space="preserve">having data on claimed donations and </w:t>
      </w:r>
      <w:r w:rsidR="00334974">
        <w:t xml:space="preserve">once estimating the </w:t>
      </w:r>
      <w:r w:rsidR="00A67503">
        <w:t xml:space="preserve">ineligible donations. </w:t>
      </w:r>
      <w:r>
        <w:t>I</w:t>
      </w:r>
      <w:r w:rsidR="00A67503">
        <w:t>t is important</w:t>
      </w:r>
      <w:r>
        <w:t xml:space="preserve"> </w:t>
      </w:r>
      <w:r w:rsidR="00A67503">
        <w:t xml:space="preserve">to consider the extent of unclaimed donations in </w:t>
      </w:r>
      <w:r>
        <w:t xml:space="preserve">view </w:t>
      </w:r>
      <w:r w:rsidR="00A67503">
        <w:t xml:space="preserve">of </w:t>
      </w:r>
      <w:r>
        <w:t xml:space="preserve">that of </w:t>
      </w:r>
      <w:r w:rsidR="00A67503">
        <w:t>claimed donations</w:t>
      </w:r>
      <w:r w:rsidR="00A67503" w:rsidRPr="005B092B">
        <w:t xml:space="preserve">. As </w:t>
      </w:r>
      <w:r w:rsidRPr="005B092B">
        <w:t xml:space="preserve">the former </w:t>
      </w:r>
      <w:r w:rsidR="00A67503" w:rsidRPr="005B092B">
        <w:t>is greater</w:t>
      </w:r>
      <w:r w:rsidRPr="005B092B">
        <w:t xml:space="preserve"> than the latter</w:t>
      </w:r>
      <w:r w:rsidR="00A67503" w:rsidRPr="005B092B">
        <w:t xml:space="preserve">, </w:t>
      </w:r>
      <w:r w:rsidR="00A67503">
        <w:t>one must wonder why donors would wa</w:t>
      </w:r>
      <w:r w:rsidR="00856352">
        <w:t>i</w:t>
      </w:r>
      <w:r w:rsidR="00A67503">
        <w:t xml:space="preserve">ve their right </w:t>
      </w:r>
      <w:r>
        <w:t xml:space="preserve">to </w:t>
      </w:r>
      <w:r w:rsidR="00A67503">
        <w:t>a benefit</w:t>
      </w:r>
      <w:r>
        <w:t xml:space="preserve"> and, </w:t>
      </w:r>
      <w:r w:rsidR="00A67503">
        <w:t>especially</w:t>
      </w:r>
      <w:r>
        <w:t>,</w:t>
      </w:r>
      <w:r w:rsidR="00A67503">
        <w:t xml:space="preserve"> what </w:t>
      </w:r>
      <w:r>
        <w:t xml:space="preserve">role </w:t>
      </w:r>
      <w:r w:rsidR="00A67503">
        <w:t xml:space="preserve">the government </w:t>
      </w:r>
      <w:r>
        <w:t xml:space="preserve">plays </w:t>
      </w:r>
      <w:r w:rsidR="00A67503">
        <w:t>in this wa</w:t>
      </w:r>
      <w:r w:rsidR="00856352">
        <w:t>i</w:t>
      </w:r>
      <w:r w:rsidR="00A67503">
        <w:t>ver</w:t>
      </w:r>
      <w:r>
        <w:t>.</w:t>
      </w:r>
    </w:p>
    <w:p w14:paraId="4B532C0B" w14:textId="255DD758" w:rsidR="004C3506" w:rsidRDefault="00A67503">
      <w:r>
        <w:t xml:space="preserve">To answer these </w:t>
      </w:r>
      <w:r w:rsidR="00021ED6">
        <w:t>questions,</w:t>
      </w:r>
      <w:r>
        <w:t xml:space="preserve"> we need to analyze the unclaimed </w:t>
      </w:r>
      <w:r w:rsidR="00B949A0">
        <w:t>benefit</w:t>
      </w:r>
      <w:r>
        <w:t>, for example</w:t>
      </w:r>
      <w:r w:rsidR="003A1623">
        <w:t>,</w:t>
      </w:r>
      <w:r>
        <w:t xml:space="preserve"> by source and size</w:t>
      </w:r>
      <w:r w:rsidR="00B949A0">
        <w:t xml:space="preserve"> of donations</w:t>
      </w:r>
      <w:r>
        <w:t>. O</w:t>
      </w:r>
      <w:r w:rsidR="003F7523">
        <w:t xml:space="preserve">bviously, </w:t>
      </w:r>
      <w:r>
        <w:t xml:space="preserve">such an analysis is more complicated and requires data </w:t>
      </w:r>
      <w:r w:rsidR="003A1623">
        <w:t xml:space="preserve">that </w:t>
      </w:r>
      <w:r>
        <w:t xml:space="preserve">are rarely available. However, such an analysis may reveal </w:t>
      </w:r>
      <w:r w:rsidR="00170CB5">
        <w:t xml:space="preserve">a </w:t>
      </w:r>
      <w:r w:rsidR="00E501A8">
        <w:t>“</w:t>
      </w:r>
      <w:r w:rsidR="00170CB5">
        <w:t>density map</w:t>
      </w:r>
      <w:r w:rsidR="00C92A2F">
        <w:t>"</w:t>
      </w:r>
      <w:r w:rsidR="003A1623">
        <w:t>,</w:t>
      </w:r>
      <w:r w:rsidR="00170CB5">
        <w:t xml:space="preserve"> that is</w:t>
      </w:r>
      <w:r w:rsidR="003A1623">
        <w:t>,</w:t>
      </w:r>
      <w:r w:rsidR="00170CB5">
        <w:t xml:space="preserve"> the characteristics of donations for which </w:t>
      </w:r>
      <w:r w:rsidR="003A1623">
        <w:t xml:space="preserve">most </w:t>
      </w:r>
      <w:r w:rsidR="00170CB5">
        <w:t>donors wa</w:t>
      </w:r>
      <w:r w:rsidR="00856352">
        <w:t>i</w:t>
      </w:r>
      <w:r w:rsidR="00170CB5">
        <w:t xml:space="preserve">ve the benefit. </w:t>
      </w:r>
      <w:r w:rsidR="00170CB5" w:rsidRPr="00FB6FF5">
        <w:rPr>
          <w:color w:val="auto"/>
        </w:rPr>
        <w:t xml:space="preserve">For example, </w:t>
      </w:r>
      <w:r w:rsidR="00856352" w:rsidRPr="00FB6FF5">
        <w:rPr>
          <w:color w:val="auto"/>
        </w:rPr>
        <w:t xml:space="preserve">we know </w:t>
      </w:r>
      <w:r w:rsidR="003A1623">
        <w:rPr>
          <w:color w:val="auto"/>
        </w:rPr>
        <w:t xml:space="preserve">from the </w:t>
      </w:r>
      <w:r w:rsidR="00A73FA5">
        <w:rPr>
          <w:color w:val="auto"/>
        </w:rPr>
        <w:t>study</w:t>
      </w:r>
      <w:r w:rsidR="003A1623">
        <w:rPr>
          <w:color w:val="auto"/>
        </w:rPr>
        <w:t xml:space="preserve"> reported above </w:t>
      </w:r>
      <w:r w:rsidR="00856352" w:rsidRPr="00FB6FF5">
        <w:rPr>
          <w:color w:val="auto"/>
        </w:rPr>
        <w:t>that i</w:t>
      </w:r>
      <w:r w:rsidR="00170CB5" w:rsidRPr="00FB6FF5">
        <w:rPr>
          <w:color w:val="auto"/>
        </w:rPr>
        <w:t xml:space="preserve">n Israel almost 50% of unclaimed </w:t>
      </w:r>
      <w:r w:rsidR="00B949A0">
        <w:rPr>
          <w:color w:val="auto"/>
        </w:rPr>
        <w:t>benefits</w:t>
      </w:r>
      <w:r w:rsidR="00170CB5" w:rsidRPr="00FB6FF5">
        <w:rPr>
          <w:color w:val="auto"/>
        </w:rPr>
        <w:t xml:space="preserve"> </w:t>
      </w:r>
      <w:r w:rsidR="00475A39">
        <w:rPr>
          <w:color w:val="auto"/>
        </w:rPr>
        <w:t xml:space="preserve">pertain to </w:t>
      </w:r>
      <w:r w:rsidR="00032DB9">
        <w:rPr>
          <w:color w:val="auto"/>
        </w:rPr>
        <w:t>individuals</w:t>
      </w:r>
      <w:r w:rsidR="00E501A8">
        <w:rPr>
          <w:color w:val="auto"/>
        </w:rPr>
        <w:t>’</w:t>
      </w:r>
      <w:r w:rsidR="00032DB9">
        <w:rPr>
          <w:color w:val="auto"/>
        </w:rPr>
        <w:t xml:space="preserve"> </w:t>
      </w:r>
      <w:r w:rsidR="00170CB5" w:rsidRPr="00FB6FF5">
        <w:rPr>
          <w:color w:val="auto"/>
        </w:rPr>
        <w:t>donations below</w:t>
      </w:r>
      <w:r w:rsidR="00021ED6">
        <w:rPr>
          <w:color w:val="auto"/>
        </w:rPr>
        <w:t xml:space="preserve"> NIS</w:t>
      </w:r>
      <w:r w:rsidR="003A1623">
        <w:rPr>
          <w:color w:val="auto"/>
        </w:rPr>
        <w:t> </w:t>
      </w:r>
      <w:r w:rsidR="00170CB5" w:rsidRPr="00FB6FF5">
        <w:rPr>
          <w:color w:val="auto"/>
        </w:rPr>
        <w:t>2,000.</w:t>
      </w:r>
      <w:r w:rsidR="00856352" w:rsidRPr="00FB6FF5">
        <w:rPr>
          <w:color w:val="auto"/>
        </w:rPr>
        <w:t xml:space="preserve"> </w:t>
      </w:r>
      <w:r w:rsidR="008D18C9">
        <w:rPr>
          <w:color w:val="auto"/>
        </w:rPr>
        <w:t xml:space="preserve">Based on </w:t>
      </w:r>
      <w:r w:rsidR="003A1623">
        <w:rPr>
          <w:color w:val="auto"/>
        </w:rPr>
        <w:t xml:space="preserve">this </w:t>
      </w:r>
      <w:r w:rsidR="008D18C9">
        <w:rPr>
          <w:color w:val="auto"/>
        </w:rPr>
        <w:t>knowledge</w:t>
      </w:r>
      <w:r w:rsidR="003A1623">
        <w:rPr>
          <w:color w:val="auto"/>
        </w:rPr>
        <w:t>,</w:t>
      </w:r>
      <w:r w:rsidR="008D18C9">
        <w:rPr>
          <w:color w:val="auto"/>
        </w:rPr>
        <w:t xml:space="preserve"> we can better tackle the puzzle of non-take-up. </w:t>
      </w:r>
      <w:r w:rsidR="003A1623">
        <w:rPr>
          <w:color w:val="auto"/>
        </w:rPr>
        <w:t>Withi</w:t>
      </w:r>
      <w:r w:rsidR="00856352" w:rsidRPr="00FB6FF5">
        <w:rPr>
          <w:color w:val="auto"/>
        </w:rPr>
        <w:t>n this range of donation</w:t>
      </w:r>
      <w:r w:rsidR="00032DB9">
        <w:rPr>
          <w:color w:val="auto"/>
        </w:rPr>
        <w:t>s,</w:t>
      </w:r>
      <w:r w:rsidR="00856352" w:rsidRPr="00FB6FF5">
        <w:rPr>
          <w:color w:val="auto"/>
        </w:rPr>
        <w:t xml:space="preserve"> the p</w:t>
      </w:r>
      <w:r w:rsidR="004C3506" w:rsidRPr="00FB6FF5">
        <w:rPr>
          <w:color w:val="auto"/>
        </w:rPr>
        <w:t>rofitability</w:t>
      </w:r>
      <w:r w:rsidR="00856352" w:rsidRPr="00FB6FF5">
        <w:rPr>
          <w:color w:val="auto"/>
        </w:rPr>
        <w:t xml:space="preserve"> of claiming the benefit is modest</w:t>
      </w:r>
      <w:r w:rsidR="00032DB9">
        <w:rPr>
          <w:color w:val="auto"/>
        </w:rPr>
        <w:t xml:space="preserve"> in terms of </w:t>
      </w:r>
      <w:r w:rsidR="00B949A0">
        <w:rPr>
          <w:color w:val="auto"/>
        </w:rPr>
        <w:t xml:space="preserve">the </w:t>
      </w:r>
      <w:r w:rsidR="00032DB9">
        <w:rPr>
          <w:color w:val="auto"/>
        </w:rPr>
        <w:t>amount of money</w:t>
      </w:r>
      <w:r w:rsidR="00B949A0">
        <w:rPr>
          <w:color w:val="auto"/>
        </w:rPr>
        <w:t xml:space="preserve"> saved</w:t>
      </w:r>
      <w:r w:rsidR="00856352" w:rsidRPr="00FB6FF5">
        <w:rPr>
          <w:color w:val="auto"/>
        </w:rPr>
        <w:t xml:space="preserve">. </w:t>
      </w:r>
      <w:r w:rsidR="008D18C9">
        <w:rPr>
          <w:color w:val="auto"/>
        </w:rPr>
        <w:t>Furthermore, t</w:t>
      </w:r>
      <w:r w:rsidR="00856352" w:rsidRPr="00FB6FF5">
        <w:rPr>
          <w:color w:val="auto"/>
        </w:rPr>
        <w:t>h</w:t>
      </w:r>
      <w:r w:rsidR="008D18C9">
        <w:rPr>
          <w:color w:val="auto"/>
        </w:rPr>
        <w:t>e</w:t>
      </w:r>
      <w:r w:rsidR="00856352" w:rsidRPr="00FB6FF5">
        <w:rPr>
          <w:color w:val="auto"/>
        </w:rPr>
        <w:t xml:space="preserve"> modest </w:t>
      </w:r>
      <w:r w:rsidR="00493C97">
        <w:rPr>
          <w:color w:val="auto"/>
        </w:rPr>
        <w:t>benefit</w:t>
      </w:r>
      <w:r w:rsidR="00856352" w:rsidRPr="00FB6FF5">
        <w:rPr>
          <w:color w:val="auto"/>
        </w:rPr>
        <w:t xml:space="preserve"> stands against </w:t>
      </w:r>
      <w:r w:rsidR="003A1623">
        <w:rPr>
          <w:color w:val="auto"/>
        </w:rPr>
        <w:t xml:space="preserve">the considerable </w:t>
      </w:r>
      <w:r w:rsidR="00FB6FF5" w:rsidRPr="00FB6FF5">
        <w:rPr>
          <w:color w:val="auto"/>
        </w:rPr>
        <w:t>bureaucratic</w:t>
      </w:r>
      <w:r w:rsidR="004C3506" w:rsidRPr="00FB6FF5">
        <w:rPr>
          <w:color w:val="auto"/>
        </w:rPr>
        <w:t xml:space="preserve"> hassle</w:t>
      </w:r>
      <w:r w:rsidR="00493C97">
        <w:rPr>
          <w:color w:val="auto"/>
        </w:rPr>
        <w:t xml:space="preserve"> </w:t>
      </w:r>
      <w:r w:rsidR="003A1623">
        <w:rPr>
          <w:color w:val="auto"/>
        </w:rPr>
        <w:t xml:space="preserve">involved </w:t>
      </w:r>
      <w:r w:rsidR="00493C97">
        <w:rPr>
          <w:color w:val="auto"/>
        </w:rPr>
        <w:t>(</w:t>
      </w:r>
      <w:r w:rsidR="00A73FA5">
        <w:rPr>
          <w:color w:val="auto"/>
        </w:rPr>
        <w:t>S</w:t>
      </w:r>
      <w:r w:rsidR="003A1623">
        <w:rPr>
          <w:color w:val="auto"/>
        </w:rPr>
        <w:t>tate Comptroller</w:t>
      </w:r>
      <w:r w:rsidR="00493C97">
        <w:rPr>
          <w:color w:val="auto"/>
        </w:rPr>
        <w:t>, 2021)</w:t>
      </w:r>
      <w:r w:rsidR="00032DB9">
        <w:rPr>
          <w:color w:val="auto"/>
        </w:rPr>
        <w:t>.</w:t>
      </w:r>
      <w:r w:rsidR="00FB6FF5" w:rsidRPr="00FB6FF5">
        <w:rPr>
          <w:color w:val="auto"/>
        </w:rPr>
        <w:t xml:space="preserve"> Thus</w:t>
      </w:r>
      <w:r w:rsidR="00FB6FF5">
        <w:rPr>
          <w:color w:val="auto"/>
        </w:rPr>
        <w:t>,</w:t>
      </w:r>
      <w:r w:rsidR="00FB6FF5" w:rsidRPr="00FB6FF5">
        <w:rPr>
          <w:color w:val="auto"/>
        </w:rPr>
        <w:t xml:space="preserve"> the cost</w:t>
      </w:r>
      <w:r w:rsidR="003A1623">
        <w:rPr>
          <w:color w:val="auto"/>
        </w:rPr>
        <w:t>/</w:t>
      </w:r>
      <w:r w:rsidR="003A38BC">
        <w:rPr>
          <w:color w:val="auto"/>
        </w:rPr>
        <w:t>benefit</w:t>
      </w:r>
      <w:r w:rsidR="00493C97">
        <w:rPr>
          <w:color w:val="auto"/>
        </w:rPr>
        <w:t xml:space="preserve"> ratio</w:t>
      </w:r>
      <w:r w:rsidR="00FB6FF5">
        <w:rPr>
          <w:color w:val="auto"/>
        </w:rPr>
        <w:t xml:space="preserve"> of claiming the benefit</w:t>
      </w:r>
      <w:r w:rsidR="00FB6FF5" w:rsidRPr="00FB6FF5">
        <w:rPr>
          <w:color w:val="auto"/>
        </w:rPr>
        <w:t xml:space="preserve"> is rather high.</w:t>
      </w:r>
      <w:r w:rsidR="00493C97">
        <w:rPr>
          <w:color w:val="auto"/>
        </w:rPr>
        <w:t xml:space="preserve"> </w:t>
      </w:r>
      <w:r w:rsidR="003A1623">
        <w:rPr>
          <w:color w:val="auto"/>
        </w:rPr>
        <w:t>The c</w:t>
      </w:r>
      <w:r w:rsidR="00493C97">
        <w:rPr>
          <w:color w:val="auto"/>
        </w:rPr>
        <w:t>ost</w:t>
      </w:r>
      <w:r w:rsidR="003A1623">
        <w:rPr>
          <w:color w:val="auto"/>
        </w:rPr>
        <w:t>/</w:t>
      </w:r>
      <w:r w:rsidR="003A38BC">
        <w:rPr>
          <w:color w:val="auto"/>
        </w:rPr>
        <w:t>benefit</w:t>
      </w:r>
      <w:r w:rsidR="00493C97">
        <w:rPr>
          <w:color w:val="auto"/>
        </w:rPr>
        <w:t xml:space="preserve"> ratio was found to be the </w:t>
      </w:r>
      <w:r w:rsidR="003A38BC">
        <w:rPr>
          <w:color w:val="auto"/>
        </w:rPr>
        <w:t>main</w:t>
      </w:r>
      <w:r w:rsidR="00493C97">
        <w:rPr>
          <w:color w:val="auto"/>
        </w:rPr>
        <w:t xml:space="preserve"> factor</w:t>
      </w:r>
      <w:r w:rsidR="003A38BC">
        <w:rPr>
          <w:color w:val="auto"/>
        </w:rPr>
        <w:t xml:space="preserve"> </w:t>
      </w:r>
      <w:r w:rsidR="003A1623">
        <w:rPr>
          <w:color w:val="auto"/>
        </w:rPr>
        <w:t xml:space="preserve">in </w:t>
      </w:r>
      <w:r w:rsidR="003A38BC">
        <w:rPr>
          <w:color w:val="auto"/>
        </w:rPr>
        <w:t xml:space="preserve">explaining </w:t>
      </w:r>
      <w:r w:rsidR="003A1623">
        <w:rPr>
          <w:color w:val="auto"/>
        </w:rPr>
        <w:t xml:space="preserve">the non-take-up of </w:t>
      </w:r>
      <w:r w:rsidR="00032DB9">
        <w:rPr>
          <w:color w:val="auto"/>
        </w:rPr>
        <w:t xml:space="preserve">social </w:t>
      </w:r>
      <w:r w:rsidR="003A38BC">
        <w:rPr>
          <w:color w:val="auto"/>
        </w:rPr>
        <w:t>benefit</w:t>
      </w:r>
      <w:r w:rsidR="00032DB9">
        <w:rPr>
          <w:color w:val="auto"/>
        </w:rPr>
        <w:t>s</w:t>
      </w:r>
      <w:r w:rsidR="00021ED6">
        <w:rPr>
          <w:color w:val="auto"/>
        </w:rPr>
        <w:t xml:space="preserve">, </w:t>
      </w:r>
      <w:r w:rsidR="003A38BC">
        <w:rPr>
          <w:color w:val="auto"/>
        </w:rPr>
        <w:t xml:space="preserve">in comparison </w:t>
      </w:r>
      <w:r w:rsidR="003A1623">
        <w:rPr>
          <w:color w:val="auto"/>
        </w:rPr>
        <w:t xml:space="preserve">with the smaller role of </w:t>
      </w:r>
      <w:r w:rsidR="003A38BC">
        <w:rPr>
          <w:color w:val="auto"/>
        </w:rPr>
        <w:t xml:space="preserve">lack of knowledge and </w:t>
      </w:r>
      <w:r w:rsidR="003A1623">
        <w:rPr>
          <w:color w:val="auto"/>
        </w:rPr>
        <w:t xml:space="preserve">presence of </w:t>
      </w:r>
      <w:r w:rsidR="003A38BC">
        <w:rPr>
          <w:color w:val="auto"/>
        </w:rPr>
        <w:t>stigma (Currie, 2004). More generally, cost</w:t>
      </w:r>
      <w:r w:rsidR="003A1623">
        <w:rPr>
          <w:color w:val="auto"/>
        </w:rPr>
        <w:t>/</w:t>
      </w:r>
      <w:r w:rsidR="003A38BC">
        <w:rPr>
          <w:color w:val="auto"/>
        </w:rPr>
        <w:t xml:space="preserve">benefit is becoming a major decision principle </w:t>
      </w:r>
      <w:r w:rsidR="00032DB9">
        <w:rPr>
          <w:color w:val="auto"/>
        </w:rPr>
        <w:t>in various economical, public, environmental</w:t>
      </w:r>
      <w:r w:rsidR="003A1623">
        <w:rPr>
          <w:color w:val="auto"/>
        </w:rPr>
        <w:t>,</w:t>
      </w:r>
      <w:r w:rsidR="00032DB9">
        <w:rPr>
          <w:color w:val="auto"/>
        </w:rPr>
        <w:t xml:space="preserve"> and psychological contexts</w:t>
      </w:r>
      <w:r w:rsidR="003822F5">
        <w:rPr>
          <w:color w:val="auto"/>
        </w:rPr>
        <w:t xml:space="preserve"> (</w:t>
      </w:r>
      <w:r w:rsidR="003822F5" w:rsidRPr="003822F5">
        <w:rPr>
          <w:szCs w:val="24"/>
          <w:shd w:val="clear" w:color="auto" w:fill="FFFFFF"/>
        </w:rPr>
        <w:t>Sunstein</w:t>
      </w:r>
      <w:r w:rsidR="003822F5">
        <w:rPr>
          <w:szCs w:val="24"/>
          <w:shd w:val="clear" w:color="auto" w:fill="FFFFFF"/>
        </w:rPr>
        <w:t>, 2014)</w:t>
      </w:r>
      <w:r w:rsidR="00032DB9">
        <w:rPr>
          <w:color w:val="auto"/>
        </w:rPr>
        <w:t>. Thus, a</w:t>
      </w:r>
      <w:r w:rsidR="00170CB5" w:rsidRPr="00FB6FF5">
        <w:rPr>
          <w:color w:val="auto"/>
        </w:rPr>
        <w:t xml:space="preserve">lthough </w:t>
      </w:r>
      <w:r w:rsidR="00FB6FF5">
        <w:rPr>
          <w:color w:val="auto"/>
        </w:rPr>
        <w:t xml:space="preserve">the findings (re the multitude of unclaimed </w:t>
      </w:r>
      <w:r w:rsidR="00B949A0">
        <w:rPr>
          <w:color w:val="auto"/>
        </w:rPr>
        <w:t xml:space="preserve">benefit for </w:t>
      </w:r>
      <w:r w:rsidR="00FB6FF5">
        <w:rPr>
          <w:color w:val="auto"/>
        </w:rPr>
        <w:t xml:space="preserve">small donations) </w:t>
      </w:r>
      <w:r w:rsidR="00170CB5" w:rsidRPr="00FB6FF5">
        <w:rPr>
          <w:color w:val="auto"/>
        </w:rPr>
        <w:t xml:space="preserve">support </w:t>
      </w:r>
      <w:r w:rsidR="00B949A0">
        <w:rPr>
          <w:color w:val="auto"/>
        </w:rPr>
        <w:t xml:space="preserve">the </w:t>
      </w:r>
      <w:r w:rsidR="00170CB5" w:rsidRPr="00FB6FF5">
        <w:rPr>
          <w:color w:val="auto"/>
        </w:rPr>
        <w:t xml:space="preserve">common assumption, </w:t>
      </w:r>
      <w:r w:rsidR="00FB6FF5">
        <w:rPr>
          <w:color w:val="auto"/>
        </w:rPr>
        <w:t>being based on</w:t>
      </w:r>
      <w:r w:rsidR="00032DB9">
        <w:rPr>
          <w:color w:val="auto"/>
        </w:rPr>
        <w:t xml:space="preserve"> real</w:t>
      </w:r>
      <w:r w:rsidR="00FB6FF5">
        <w:rPr>
          <w:color w:val="auto"/>
        </w:rPr>
        <w:t xml:space="preserve"> data</w:t>
      </w:r>
      <w:r w:rsidR="009C4777">
        <w:rPr>
          <w:color w:val="auto"/>
        </w:rPr>
        <w:t>,</w:t>
      </w:r>
      <w:r w:rsidR="00FB6FF5">
        <w:rPr>
          <w:color w:val="auto"/>
        </w:rPr>
        <w:t xml:space="preserve"> the</w:t>
      </w:r>
      <w:r w:rsidR="00B26507">
        <w:rPr>
          <w:color w:val="auto"/>
        </w:rPr>
        <w:t xml:space="preserve">y matter: </w:t>
      </w:r>
      <w:r w:rsidR="009C4777">
        <w:rPr>
          <w:color w:val="auto"/>
        </w:rPr>
        <w:t>F</w:t>
      </w:r>
      <w:r w:rsidR="00B26507">
        <w:rPr>
          <w:color w:val="auto"/>
        </w:rPr>
        <w:t xml:space="preserve">irst, </w:t>
      </w:r>
      <w:r w:rsidR="00B26507">
        <w:t xml:space="preserve">by focusing attention </w:t>
      </w:r>
      <w:r w:rsidR="009C4777">
        <w:t xml:space="preserve">on </w:t>
      </w:r>
      <w:r w:rsidR="00B26507">
        <w:t xml:space="preserve">a specific </w:t>
      </w:r>
      <w:r w:rsidR="009C4777">
        <w:t xml:space="preserve">cohort of </w:t>
      </w:r>
      <w:r w:rsidR="00B26507">
        <w:t>donors</w:t>
      </w:r>
      <w:r w:rsidR="009C4777">
        <w:t>,</w:t>
      </w:r>
      <w:r w:rsidR="00B26507">
        <w:t xml:space="preserve"> the findings may allow more efficient action toward increasing benefit take</w:t>
      </w:r>
      <w:r w:rsidR="00B26507" w:rsidRPr="00FB6FF5">
        <w:rPr>
          <w:color w:val="auto"/>
        </w:rPr>
        <w:t>-up</w:t>
      </w:r>
      <w:r w:rsidR="00B26507">
        <w:rPr>
          <w:color w:val="auto"/>
        </w:rPr>
        <w:t xml:space="preserve">; second, they </w:t>
      </w:r>
      <w:r w:rsidR="00B949A0">
        <w:rPr>
          <w:color w:val="auto"/>
        </w:rPr>
        <w:t>support</w:t>
      </w:r>
      <w:r w:rsidR="00170CB5" w:rsidRPr="00FB6FF5">
        <w:rPr>
          <w:color w:val="auto"/>
        </w:rPr>
        <w:t xml:space="preserve"> and legitim</w:t>
      </w:r>
      <w:r w:rsidR="009C4777">
        <w:rPr>
          <w:color w:val="auto"/>
        </w:rPr>
        <w:t xml:space="preserve">ize </w:t>
      </w:r>
      <w:r w:rsidR="00170CB5" w:rsidRPr="00FB6FF5">
        <w:rPr>
          <w:color w:val="auto"/>
        </w:rPr>
        <w:t>every effort invested in making benefit take-up more accessible</w:t>
      </w:r>
      <w:r w:rsidR="00FB6FF5">
        <w:rPr>
          <w:color w:val="auto"/>
        </w:rPr>
        <w:t xml:space="preserve"> </w:t>
      </w:r>
      <w:r w:rsidR="00170CB5" w:rsidRPr="00FB6FF5">
        <w:rPr>
          <w:color w:val="auto"/>
        </w:rPr>
        <w:t>and simple</w:t>
      </w:r>
      <w:r w:rsidR="00FB6FF5">
        <w:rPr>
          <w:color w:val="auto"/>
        </w:rPr>
        <w:t>r</w:t>
      </w:r>
      <w:r w:rsidR="00170CB5" w:rsidRPr="00FB6FF5">
        <w:rPr>
          <w:color w:val="auto"/>
        </w:rPr>
        <w:t xml:space="preserve"> </w:t>
      </w:r>
      <w:r w:rsidR="009C4777">
        <w:rPr>
          <w:color w:val="auto"/>
        </w:rPr>
        <w:t xml:space="preserve">for </w:t>
      </w:r>
      <w:r w:rsidR="00170CB5" w:rsidRPr="00FB6FF5">
        <w:rPr>
          <w:color w:val="auto"/>
        </w:rPr>
        <w:t>all citizens.</w:t>
      </w:r>
      <w:r w:rsidR="00032DB9">
        <w:t xml:space="preserve"> </w:t>
      </w:r>
      <w:r w:rsidR="00170CB5" w:rsidRPr="00FB6FF5">
        <w:rPr>
          <w:color w:val="auto"/>
        </w:rPr>
        <w:t xml:space="preserve">Such efforts are </w:t>
      </w:r>
      <w:r w:rsidR="009C4777">
        <w:rPr>
          <w:color w:val="auto"/>
        </w:rPr>
        <w:t xml:space="preserve">occasionally proposed </w:t>
      </w:r>
      <w:r w:rsidR="00170CB5" w:rsidRPr="00FB6FF5">
        <w:rPr>
          <w:color w:val="auto"/>
        </w:rPr>
        <w:t xml:space="preserve">even by </w:t>
      </w:r>
      <w:r w:rsidR="009C4777">
        <w:rPr>
          <w:color w:val="auto"/>
        </w:rPr>
        <w:t>the ITA</w:t>
      </w:r>
      <w:r w:rsidR="00E501A8">
        <w:rPr>
          <w:color w:val="auto"/>
        </w:rPr>
        <w:t>’</w:t>
      </w:r>
      <w:r w:rsidR="009C4777">
        <w:rPr>
          <w:color w:val="auto"/>
        </w:rPr>
        <w:t xml:space="preserve">s </w:t>
      </w:r>
      <w:r w:rsidR="00B26507">
        <w:rPr>
          <w:color w:val="auto"/>
        </w:rPr>
        <w:t>professionals</w:t>
      </w:r>
      <w:r w:rsidR="00170CB5" w:rsidRPr="00FB6FF5">
        <w:rPr>
          <w:color w:val="auto"/>
        </w:rPr>
        <w:t xml:space="preserve"> but </w:t>
      </w:r>
      <w:r w:rsidR="009C4777">
        <w:rPr>
          <w:color w:val="auto"/>
        </w:rPr>
        <w:t xml:space="preserve">are </w:t>
      </w:r>
      <w:r w:rsidR="00170CB5">
        <w:t xml:space="preserve">not easily adopted </w:t>
      </w:r>
      <w:r w:rsidR="00021ED6">
        <w:t xml:space="preserve">by the </w:t>
      </w:r>
      <w:r w:rsidR="00B26507">
        <w:t xml:space="preserve">tax authority system or approved </w:t>
      </w:r>
      <w:r w:rsidR="009C4777">
        <w:t xml:space="preserve">by </w:t>
      </w:r>
      <w:r w:rsidR="00170CB5">
        <w:t xml:space="preserve">the parliament. </w:t>
      </w:r>
      <w:r w:rsidR="00FB6FF5">
        <w:t>In general</w:t>
      </w:r>
      <w:r w:rsidR="00991C50">
        <w:t>,</w:t>
      </w:r>
      <w:r w:rsidR="00170CB5">
        <w:t xml:space="preserve"> the private sector pro</w:t>
      </w:r>
      <w:r w:rsidR="004C3506">
        <w:t>ves</w:t>
      </w:r>
      <w:r w:rsidR="00170CB5">
        <w:t xml:space="preserve"> to be faster and more efficient in </w:t>
      </w:r>
      <w:r w:rsidR="004C3506">
        <w:t>finding solutions to poor benefit</w:t>
      </w:r>
      <w:r w:rsidR="009C4777">
        <w:t xml:space="preserve"> </w:t>
      </w:r>
      <w:r w:rsidR="004C3506">
        <w:t xml:space="preserve">take-up (Currie, 2004). Indeed, in Israel there </w:t>
      </w:r>
      <w:r w:rsidR="009C4777">
        <w:t xml:space="preserve">have been several </w:t>
      </w:r>
      <w:r w:rsidR="004C3506">
        <w:t>initiatives</w:t>
      </w:r>
      <w:r w:rsidR="009C4777">
        <w:t>,</w:t>
      </w:r>
      <w:r w:rsidR="004C3506">
        <w:t xml:space="preserve"> </w:t>
      </w:r>
      <w:r w:rsidR="00B26507">
        <w:t xml:space="preserve">coming </w:t>
      </w:r>
      <w:r w:rsidR="004C3506">
        <w:t>especially from nonprofits</w:t>
      </w:r>
      <w:r w:rsidR="009C4777">
        <w:t>,</w:t>
      </w:r>
      <w:r w:rsidR="004C3506">
        <w:t xml:space="preserve"> </w:t>
      </w:r>
      <w:r w:rsidR="00B26507">
        <w:t>to simplify and</w:t>
      </w:r>
      <w:r w:rsidR="004C3506">
        <w:t xml:space="preserve"> facilitate the </w:t>
      </w:r>
      <w:r w:rsidR="009C4777">
        <w:t xml:space="preserve">process of </w:t>
      </w:r>
      <w:r w:rsidR="004C3506">
        <w:t xml:space="preserve">reporting </w:t>
      </w:r>
      <w:r w:rsidR="00B26507">
        <w:t>(</w:t>
      </w:r>
      <w:r w:rsidR="004C3506">
        <w:t>and claiming the benefit</w:t>
      </w:r>
      <w:r w:rsidR="00B26507">
        <w:t>)</w:t>
      </w:r>
      <w:r w:rsidR="004C3506">
        <w:t xml:space="preserve"> for individual donors. Th</w:t>
      </w:r>
      <w:r w:rsidR="009C4777">
        <w:t xml:space="preserve">e current study </w:t>
      </w:r>
      <w:r w:rsidR="004C3506">
        <w:t xml:space="preserve">justifies these efforts and </w:t>
      </w:r>
      <w:r w:rsidR="00B949A0">
        <w:t>validates</w:t>
      </w:r>
      <w:r w:rsidR="004C3506">
        <w:t xml:space="preserve"> the notion that there is a </w:t>
      </w:r>
      <w:r w:rsidR="00A73FA5">
        <w:t>substantial</w:t>
      </w:r>
      <w:r w:rsidR="004C3506">
        <w:t xml:space="preserve"> </w:t>
      </w:r>
      <w:r w:rsidR="00E501A8">
        <w:t>“</w:t>
      </w:r>
      <w:r w:rsidR="004C3506">
        <w:t>market</w:t>
      </w:r>
      <w:r w:rsidR="00E501A8">
        <w:t>”</w:t>
      </w:r>
      <w:r w:rsidR="004C3506">
        <w:t xml:space="preserve"> of unclaimed </w:t>
      </w:r>
      <w:r w:rsidR="00B949A0">
        <w:t>benefit</w:t>
      </w:r>
      <w:r w:rsidR="004C3506">
        <w:t xml:space="preserve"> to target. </w:t>
      </w:r>
      <w:r w:rsidR="00991C50">
        <w:t xml:space="preserve">The findings also </w:t>
      </w:r>
      <w:r w:rsidR="0007768F">
        <w:t xml:space="preserve">join earlier </w:t>
      </w:r>
      <w:r w:rsidR="00C92A2F">
        <w:t>studies</w:t>
      </w:r>
      <w:r w:rsidR="0007768F">
        <w:t xml:space="preserve"> (</w:t>
      </w:r>
      <w:proofErr w:type="spellStart"/>
      <w:r w:rsidR="0007768F">
        <w:t>Saeri</w:t>
      </w:r>
      <w:proofErr w:type="spellEnd"/>
      <w:r w:rsidR="0007768F">
        <w:t xml:space="preserve"> et al., 2022) </w:t>
      </w:r>
      <w:r w:rsidR="009C4777">
        <w:t xml:space="preserve">that </w:t>
      </w:r>
      <w:r w:rsidR="0007768F">
        <w:t xml:space="preserve">encourage </w:t>
      </w:r>
      <w:r w:rsidR="00991C50">
        <w:t>nonprofits</w:t>
      </w:r>
      <w:r w:rsidR="009C4777">
        <w:t>,</w:t>
      </w:r>
      <w:r w:rsidR="00991C50">
        <w:t xml:space="preserve"> </w:t>
      </w:r>
      <w:r w:rsidR="00B26507">
        <w:t>as the beneficiaries of the donations</w:t>
      </w:r>
      <w:r w:rsidR="009C4777">
        <w:t>,</w:t>
      </w:r>
      <w:r w:rsidR="00B26507">
        <w:t xml:space="preserve"> </w:t>
      </w:r>
      <w:r w:rsidR="00991C50">
        <w:t xml:space="preserve">to leverage their fundraising efforts by </w:t>
      </w:r>
      <w:r w:rsidR="008D18C9">
        <w:t>removing</w:t>
      </w:r>
      <w:r w:rsidR="00991C50">
        <w:t xml:space="preserve"> the obstacles </w:t>
      </w:r>
      <w:r w:rsidR="009C4777">
        <w:t xml:space="preserve">to </w:t>
      </w:r>
      <w:r w:rsidR="00991C50">
        <w:t>tax</w:t>
      </w:r>
      <w:r w:rsidR="009C4777">
        <w:t>-</w:t>
      </w:r>
      <w:r w:rsidR="00B26507">
        <w:t>benefit</w:t>
      </w:r>
      <w:r w:rsidR="00991C50">
        <w:t xml:space="preserve"> take-up</w:t>
      </w:r>
      <w:r w:rsidR="009C4777">
        <w:t xml:space="preserve"> that </w:t>
      </w:r>
      <w:r w:rsidR="00BA6A9F">
        <w:t xml:space="preserve">obstruct </w:t>
      </w:r>
      <w:r w:rsidR="00991C50">
        <w:t xml:space="preserve">a </w:t>
      </w:r>
      <w:r w:rsidR="00021ED6">
        <w:t xml:space="preserve">specific (and now identified) </w:t>
      </w:r>
      <w:r w:rsidR="00991C50">
        <w:t>cluster of donors</w:t>
      </w:r>
      <w:r w:rsidR="009C4777">
        <w:t xml:space="preserve"> in particular</w:t>
      </w:r>
      <w:r w:rsidR="00991C50">
        <w:t>.</w:t>
      </w:r>
    </w:p>
    <w:p w14:paraId="5BB80EF3" w14:textId="3A5308A2" w:rsidR="000671B9" w:rsidRDefault="009C4777">
      <w:r>
        <w:t xml:space="preserve">Broad </w:t>
      </w:r>
      <w:r w:rsidR="004C3506">
        <w:t xml:space="preserve">take-up of the benefit for charitable giving has significant consequences and </w:t>
      </w:r>
      <w:r>
        <w:t xml:space="preserve">implications that </w:t>
      </w:r>
      <w:r w:rsidR="004C3506">
        <w:t>are worth articulati</w:t>
      </w:r>
      <w:r w:rsidR="00F81460">
        <w:t>ng</w:t>
      </w:r>
      <w:r w:rsidRPr="009C4777">
        <w:t xml:space="preserve"> </w:t>
      </w:r>
      <w:r>
        <w:t>explicitly</w:t>
      </w:r>
      <w:r w:rsidR="004C3506">
        <w:t>. The first con</w:t>
      </w:r>
      <w:r w:rsidR="00CD59B8">
        <w:t>s</w:t>
      </w:r>
      <w:r w:rsidR="004C3506">
        <w:t xml:space="preserve">equence </w:t>
      </w:r>
      <w:r>
        <w:t xml:space="preserve">relates to </w:t>
      </w:r>
      <w:r w:rsidR="00CD59B8">
        <w:t>the scope of donations to the nonprofit sector.</w:t>
      </w:r>
      <w:r w:rsidR="00F81460">
        <w:t xml:space="preserve"> According to </w:t>
      </w:r>
      <w:r w:rsidR="00F81460" w:rsidRPr="00021ED6">
        <w:t xml:space="preserve">scholars </w:t>
      </w:r>
      <w:r w:rsidR="005B6974" w:rsidRPr="00021ED6">
        <w:t>(</w:t>
      </w:r>
      <w:r w:rsidR="00205F4A">
        <w:t xml:space="preserve">e.g., </w:t>
      </w:r>
      <w:r w:rsidR="005B6974" w:rsidRPr="00021ED6">
        <w:t xml:space="preserve">Brooks, 2007) </w:t>
      </w:r>
      <w:r w:rsidR="00F81460" w:rsidRPr="00021ED6">
        <w:t>and</w:t>
      </w:r>
      <w:r w:rsidR="00F81460">
        <w:t xml:space="preserve"> policymakers</w:t>
      </w:r>
      <w:r>
        <w:t>,</w:t>
      </w:r>
      <w:r w:rsidR="005B6974">
        <w:rPr>
          <w:rStyle w:val="FootnoteReference"/>
        </w:rPr>
        <w:footnoteReference w:id="5"/>
      </w:r>
      <w:r w:rsidR="00F81460">
        <w:t xml:space="preserve"> </w:t>
      </w:r>
      <w:r w:rsidR="00796B5C">
        <w:t>t</w:t>
      </w:r>
      <w:r w:rsidR="005B6974">
        <w:t xml:space="preserve">he </w:t>
      </w:r>
      <w:r>
        <w:t xml:space="preserve">goal of the </w:t>
      </w:r>
      <w:r w:rsidR="00C76B4A">
        <w:t>benefit</w:t>
      </w:r>
      <w:r>
        <w:t xml:space="preserve"> </w:t>
      </w:r>
      <w:r w:rsidR="005B6974">
        <w:t>is to increase private donations to civil</w:t>
      </w:r>
      <w:r>
        <w:t xml:space="preserve"> </w:t>
      </w:r>
      <w:r w:rsidR="005B6974">
        <w:t>society. However</w:t>
      </w:r>
      <w:r w:rsidR="00796B5C">
        <w:t xml:space="preserve">, </w:t>
      </w:r>
      <w:r w:rsidR="00B949A0">
        <w:t xml:space="preserve">even </w:t>
      </w:r>
      <w:r>
        <w:t xml:space="preserve">if the benefit offered is </w:t>
      </w:r>
      <w:r w:rsidR="00796B5C">
        <w:t xml:space="preserve">extraordinary in terms of </w:t>
      </w:r>
      <w:r w:rsidR="00EE5FE0">
        <w:t xml:space="preserve">its </w:t>
      </w:r>
      <w:r w:rsidR="00796B5C">
        <w:t xml:space="preserve">effectiveness, </w:t>
      </w:r>
      <w:r>
        <w:t xml:space="preserve">it will make scant impact </w:t>
      </w:r>
      <w:r w:rsidR="005B6974">
        <w:t xml:space="preserve">as long as </w:t>
      </w:r>
      <w:r>
        <w:t xml:space="preserve">its </w:t>
      </w:r>
      <w:r w:rsidR="005B6974">
        <w:t xml:space="preserve">take-up </w:t>
      </w:r>
      <w:r>
        <w:t xml:space="preserve">rate </w:t>
      </w:r>
      <w:r w:rsidR="005B6974">
        <w:t>is low.</w:t>
      </w:r>
      <w:r w:rsidR="00796B5C">
        <w:t xml:space="preserve"> </w:t>
      </w:r>
      <w:r w:rsidR="00AF5C38">
        <w:t>Research</w:t>
      </w:r>
      <w:r>
        <w:t xml:space="preserve"> that </w:t>
      </w:r>
      <w:r w:rsidR="00205F4A">
        <w:t xml:space="preserve">maps </w:t>
      </w:r>
      <w:r w:rsidR="00AF5C38">
        <w:t xml:space="preserve">the extent </w:t>
      </w:r>
      <w:r w:rsidR="00205F4A">
        <w:t>and patterns of</w:t>
      </w:r>
      <w:r w:rsidR="00AF5C38">
        <w:t xml:space="preserve"> </w:t>
      </w:r>
      <w:r>
        <w:t>un</w:t>
      </w:r>
      <w:r w:rsidR="00021ED6">
        <w:t>reported</w:t>
      </w:r>
      <w:r w:rsidR="00AF5C38">
        <w:t xml:space="preserve"> </w:t>
      </w:r>
      <w:r w:rsidR="00205F4A">
        <w:t xml:space="preserve">eligible </w:t>
      </w:r>
      <w:r w:rsidR="00AF5C38">
        <w:t>donations</w:t>
      </w:r>
      <w:r>
        <w:t xml:space="preserve"> yields a </w:t>
      </w:r>
      <w:r w:rsidR="00AF5C38">
        <w:t>reliable estimat</w:t>
      </w:r>
      <w:r>
        <w:t xml:space="preserve">e </w:t>
      </w:r>
      <w:r w:rsidR="00AF5C38">
        <w:t>of the extent of unclaimed benefit</w:t>
      </w:r>
      <w:r>
        <w:t xml:space="preserve">: </w:t>
      </w:r>
      <w:r w:rsidR="00AF5C38">
        <w:t xml:space="preserve">the total sum of </w:t>
      </w:r>
      <w:r>
        <w:t xml:space="preserve">the tax </w:t>
      </w:r>
      <w:r w:rsidR="00AF5C38">
        <w:t xml:space="preserve">credit/deduction that </w:t>
      </w:r>
      <w:r>
        <w:t xml:space="preserve">donors </w:t>
      </w:r>
      <w:r w:rsidR="00AF5C38">
        <w:t xml:space="preserve">would </w:t>
      </w:r>
      <w:r>
        <w:t>receive if they claim</w:t>
      </w:r>
      <w:r w:rsidR="00EE5FE0">
        <w:t>ed</w:t>
      </w:r>
      <w:r>
        <w:t xml:space="preserve"> </w:t>
      </w:r>
      <w:r w:rsidR="00AF5C38">
        <w:t xml:space="preserve">the benefit for </w:t>
      </w:r>
      <w:r>
        <w:t>un</w:t>
      </w:r>
      <w:r w:rsidR="00021ED6">
        <w:t>reported</w:t>
      </w:r>
      <w:r w:rsidR="00AF5C38">
        <w:t xml:space="preserve"> donations. </w:t>
      </w:r>
      <w:r w:rsidR="00796B5C">
        <w:t xml:space="preserve">According to the research </w:t>
      </w:r>
      <w:r>
        <w:t xml:space="preserve">reported here, </w:t>
      </w:r>
      <w:r w:rsidR="007929C6">
        <w:t xml:space="preserve">if </w:t>
      </w:r>
      <w:r w:rsidR="00796B5C">
        <w:t xml:space="preserve">all eligible donations </w:t>
      </w:r>
      <w:r w:rsidR="007929C6">
        <w:t xml:space="preserve">are </w:t>
      </w:r>
      <w:r w:rsidR="00796B5C">
        <w:t xml:space="preserve">claimed for a benefit and </w:t>
      </w:r>
      <w:r w:rsidR="007929C6">
        <w:t xml:space="preserve">if all </w:t>
      </w:r>
      <w:r w:rsidR="00796B5C">
        <w:t xml:space="preserve">money received </w:t>
      </w:r>
      <w:r w:rsidR="007929C6">
        <w:t xml:space="preserve">via </w:t>
      </w:r>
      <w:r w:rsidR="00796B5C">
        <w:t xml:space="preserve">the credit </w:t>
      </w:r>
      <w:r w:rsidR="007929C6">
        <w:t xml:space="preserve">is </w:t>
      </w:r>
      <w:r w:rsidR="00796B5C">
        <w:t>donated to nonprofits (</w:t>
      </w:r>
      <w:r w:rsidR="007929C6">
        <w:t xml:space="preserve">resulting in </w:t>
      </w:r>
      <w:r w:rsidR="00796B5C">
        <w:t xml:space="preserve">neutral </w:t>
      </w:r>
      <w:r w:rsidR="00B5606A">
        <w:t>effectiveness</w:t>
      </w:r>
      <w:r w:rsidR="00796B5C">
        <w:t>), donors in Israel could increase their donations</w:t>
      </w:r>
      <w:r w:rsidR="00A21382">
        <w:t xml:space="preserve"> to nonprofits</w:t>
      </w:r>
      <w:r w:rsidR="00796B5C">
        <w:t xml:space="preserve"> by 13% </w:t>
      </w:r>
      <w:r w:rsidR="00A21382" w:rsidRPr="00A73FA5">
        <w:t xml:space="preserve">(about </w:t>
      </w:r>
      <w:r w:rsidR="00A21382" w:rsidRPr="00A73FA5">
        <w:rPr>
          <w:color w:val="auto"/>
        </w:rPr>
        <w:t>NIS</w:t>
      </w:r>
      <w:r w:rsidR="00A21382" w:rsidRPr="00A73FA5">
        <w:t> 1 billion)</w:t>
      </w:r>
      <w:r w:rsidR="00A21382">
        <w:t xml:space="preserve"> </w:t>
      </w:r>
      <w:r w:rsidR="00796B5C">
        <w:t xml:space="preserve">without </w:t>
      </w:r>
      <w:r w:rsidR="007929C6">
        <w:t xml:space="preserve">withdrawing </w:t>
      </w:r>
      <w:r w:rsidR="00796B5C">
        <w:t xml:space="preserve">a single cent from their pockets! Assuming the tax </w:t>
      </w:r>
      <w:r w:rsidR="00C76B4A">
        <w:t>benefit</w:t>
      </w:r>
      <w:r w:rsidR="00796B5C">
        <w:t xml:space="preserve"> in Israel is effective, the government could </w:t>
      </w:r>
      <w:r w:rsidR="00B5606A">
        <w:t xml:space="preserve">encourage </w:t>
      </w:r>
      <w:r w:rsidR="00796B5C">
        <w:t>the private sector</w:t>
      </w:r>
      <w:r w:rsidR="00B949A0">
        <w:t xml:space="preserve"> to</w:t>
      </w:r>
      <w:r w:rsidR="00354065">
        <w:t xml:space="preserve"> </w:t>
      </w:r>
      <w:r w:rsidR="00796B5C">
        <w:t xml:space="preserve">increase </w:t>
      </w:r>
      <w:r w:rsidR="007929C6">
        <w:t xml:space="preserve">its </w:t>
      </w:r>
      <w:r w:rsidR="00796B5C">
        <w:t xml:space="preserve">support </w:t>
      </w:r>
      <w:r w:rsidR="00205F4A">
        <w:t>for</w:t>
      </w:r>
      <w:r w:rsidR="007929C6">
        <w:t xml:space="preserve"> </w:t>
      </w:r>
      <w:r w:rsidR="00796B5C" w:rsidRPr="00A73FA5">
        <w:t xml:space="preserve">nonprofits </w:t>
      </w:r>
      <w:r w:rsidR="007929C6" w:rsidRPr="00A73FA5">
        <w:t xml:space="preserve">by </w:t>
      </w:r>
      <w:r w:rsidR="00796B5C" w:rsidRPr="00A21382">
        <w:rPr>
          <w:i/>
          <w:iCs/>
        </w:rPr>
        <w:t>more</w:t>
      </w:r>
      <w:r w:rsidR="00796B5C" w:rsidRPr="00A73FA5">
        <w:t xml:space="preserve"> than 13%. Just for the sake of proportion, in 2018, direct </w:t>
      </w:r>
      <w:r w:rsidR="007929C6" w:rsidRPr="00A73FA5">
        <w:t xml:space="preserve">government </w:t>
      </w:r>
      <w:r w:rsidR="00205F4A">
        <w:t xml:space="preserve">transfers to </w:t>
      </w:r>
      <w:r w:rsidR="00796B5C" w:rsidRPr="00A73FA5">
        <w:t>nonprofits</w:t>
      </w:r>
      <w:r w:rsidR="00BD2D6B">
        <w:t xml:space="preserve"> amounted to </w:t>
      </w:r>
      <w:r w:rsidR="00B5606A">
        <w:rPr>
          <w:color w:val="auto"/>
        </w:rPr>
        <w:t>NIS</w:t>
      </w:r>
      <w:r w:rsidR="007929C6">
        <w:t> </w:t>
      </w:r>
      <w:r w:rsidR="00BD2D6B">
        <w:t xml:space="preserve">2.8 billion </w:t>
      </w:r>
      <w:r w:rsidR="00796B5C">
        <w:t xml:space="preserve">(excluding funding </w:t>
      </w:r>
      <w:r w:rsidR="007929C6">
        <w:t xml:space="preserve">for </w:t>
      </w:r>
      <w:r w:rsidR="00796B5C">
        <w:t>universities</w:t>
      </w:r>
      <w:r w:rsidR="007929C6">
        <w:t>,</w:t>
      </w:r>
      <w:r w:rsidR="00796B5C">
        <w:t xml:space="preserve"> teaching hours in schools,</w:t>
      </w:r>
      <w:r w:rsidR="00BD2D6B">
        <w:t xml:space="preserve"> and paying for outsourced social services).</w:t>
      </w:r>
      <w:r w:rsidR="00796B5C">
        <w:t xml:space="preserve"> These are all </w:t>
      </w:r>
      <w:r w:rsidR="00A73FA5">
        <w:t>substantial</w:t>
      </w:r>
      <w:r w:rsidR="00796B5C">
        <w:t xml:space="preserve"> figures that are overlooked in the absence of data on the actualization of the policy.</w:t>
      </w:r>
    </w:p>
    <w:p w14:paraId="56691A81" w14:textId="3814BEB4" w:rsidR="00AF5C38" w:rsidRDefault="00B067E9">
      <w:pPr>
        <w:rPr>
          <w:rtl/>
        </w:rPr>
      </w:pPr>
      <w:r>
        <w:t xml:space="preserve">The second consequence </w:t>
      </w:r>
      <w:r w:rsidR="00BD2D6B">
        <w:t xml:space="preserve">of the extent of take-up </w:t>
      </w:r>
      <w:r>
        <w:t xml:space="preserve">derives from the </w:t>
      </w:r>
      <w:r w:rsidR="007929C6">
        <w:t xml:space="preserve">principle on which </w:t>
      </w:r>
      <w:r>
        <w:t>th</w:t>
      </w:r>
      <w:r w:rsidR="007929C6">
        <w:t>e tax benefit for charitable giving is based</w:t>
      </w:r>
      <w:r>
        <w:t xml:space="preserve">. The </w:t>
      </w:r>
      <w:r w:rsidR="007929C6">
        <w:t xml:space="preserve">benefit </w:t>
      </w:r>
      <w:r>
        <w:t xml:space="preserve">is actually </w:t>
      </w:r>
      <w:r w:rsidR="00FA4407">
        <w:t xml:space="preserve">a </w:t>
      </w:r>
      <w:r>
        <w:t>manifestation of a pluralistic value</w:t>
      </w:r>
      <w:r w:rsidR="007929C6">
        <w:t xml:space="preserve">: </w:t>
      </w:r>
      <w:r>
        <w:t>donor</w:t>
      </w:r>
      <w:r w:rsidR="007929C6">
        <w:t>s</w:t>
      </w:r>
      <w:r>
        <w:t xml:space="preserve"> choose nonprofit</w:t>
      </w:r>
      <w:r w:rsidR="007929C6">
        <w:t>s</w:t>
      </w:r>
      <w:r>
        <w:t xml:space="preserve"> to support </w:t>
      </w:r>
      <w:r w:rsidR="00EE5FE0">
        <w:t xml:space="preserve">in accordance with </w:t>
      </w:r>
      <w:r w:rsidR="007929C6">
        <w:t xml:space="preserve">their </w:t>
      </w:r>
      <w:r>
        <w:t>preferences, values</w:t>
      </w:r>
      <w:r w:rsidR="007929C6">
        <w:t>,</w:t>
      </w:r>
      <w:r w:rsidR="00FA4407">
        <w:t xml:space="preserve"> and</w:t>
      </w:r>
      <w:r>
        <w:t xml:space="preserve"> vision</w:t>
      </w:r>
      <w:r w:rsidR="00A21382">
        <w:t>;</w:t>
      </w:r>
      <w:r>
        <w:t xml:space="preserve"> </w:t>
      </w:r>
      <w:r w:rsidR="007929C6">
        <w:t>By c</w:t>
      </w:r>
      <w:r>
        <w:t>laiming the benefit, the donor actually make</w:t>
      </w:r>
      <w:r w:rsidR="00FA4407">
        <w:t>s</w:t>
      </w:r>
      <w:r>
        <w:t xml:space="preserve"> the state participat</w:t>
      </w:r>
      <w:r w:rsidR="00B5606A">
        <w:t>e</w:t>
      </w:r>
      <w:r>
        <w:t xml:space="preserve"> in his </w:t>
      </w:r>
      <w:r w:rsidR="007929C6">
        <w:t xml:space="preserve">or her </w:t>
      </w:r>
      <w:r>
        <w:t>donation</w:t>
      </w:r>
      <w:r w:rsidR="007929C6">
        <w:t xml:space="preserve"> because </w:t>
      </w:r>
      <w:r>
        <w:t>the state wa</w:t>
      </w:r>
      <w:r w:rsidR="00856352">
        <w:t>i</w:t>
      </w:r>
      <w:r>
        <w:t>ve</w:t>
      </w:r>
      <w:r w:rsidR="007929C6">
        <w:t>s</w:t>
      </w:r>
      <w:r>
        <w:t xml:space="preserve"> tax revenue and partially fund</w:t>
      </w:r>
      <w:r w:rsidR="007929C6">
        <w:t xml:space="preserve">s the </w:t>
      </w:r>
      <w:r>
        <w:t>donation</w:t>
      </w:r>
      <w:r w:rsidR="00A21382">
        <w:t xml:space="preserve">; </w:t>
      </w:r>
      <w:r>
        <w:t xml:space="preserve"> Therefor</w:t>
      </w:r>
      <w:r w:rsidR="007929C6">
        <w:t>e,</w:t>
      </w:r>
      <w:r>
        <w:t xml:space="preserve"> </w:t>
      </w:r>
      <w:r w:rsidR="007929C6">
        <w:t xml:space="preserve">the </w:t>
      </w:r>
      <w:r>
        <w:t>general</w:t>
      </w:r>
      <w:r w:rsidR="007929C6">
        <w:t xml:space="preserve"> meaning of</w:t>
      </w:r>
      <w:r>
        <w:t xml:space="preserve"> the tax benefit for charitable giving </w:t>
      </w:r>
      <w:r w:rsidR="007929C6">
        <w:t xml:space="preserve">is </w:t>
      </w:r>
      <w:r>
        <w:t xml:space="preserve">that the state </w:t>
      </w:r>
      <w:r w:rsidR="007929C6">
        <w:t xml:space="preserve">allows </w:t>
      </w:r>
      <w:r>
        <w:t xml:space="preserve">donors to allocate public resources </w:t>
      </w:r>
      <w:r w:rsidR="00EE5FE0">
        <w:t xml:space="preserve">in keeping with </w:t>
      </w:r>
      <w:r>
        <w:t xml:space="preserve">their own preferences, thereby </w:t>
      </w:r>
      <w:r w:rsidR="00430985">
        <w:t xml:space="preserve">actualizing a </w:t>
      </w:r>
      <w:r>
        <w:t>pluralistic</w:t>
      </w:r>
      <w:r w:rsidR="00430985">
        <w:t xml:space="preserve"> agenda. In </w:t>
      </w:r>
      <w:r w:rsidR="007929C6">
        <w:t>d</w:t>
      </w:r>
      <w:r w:rsidR="00430985">
        <w:t xml:space="preserve">emocratic regimes, although the majority determines the </w:t>
      </w:r>
      <w:r w:rsidR="00EE5FE0">
        <w:t xml:space="preserve">composition of </w:t>
      </w:r>
      <w:r w:rsidR="00430985">
        <w:t>parliament and thus the governing polic</w:t>
      </w:r>
      <w:r w:rsidR="00B5606A">
        <w:t>ies</w:t>
      </w:r>
      <w:r w:rsidR="00430985">
        <w:t>, the importance of giving voice to multiplicity, to voices as plural</w:t>
      </w:r>
      <w:r w:rsidR="00B5606A">
        <w:t xml:space="preserve"> as</w:t>
      </w:r>
      <w:r w:rsidR="00430985">
        <w:t xml:space="preserve"> the public</w:t>
      </w:r>
      <w:r w:rsidR="005B092B">
        <w:t>, is understood</w:t>
      </w:r>
      <w:r w:rsidR="00430985">
        <w:t xml:space="preserve">. </w:t>
      </w:r>
      <w:bookmarkStart w:id="9" w:name="_Hlk136532113"/>
      <w:r w:rsidR="00430985">
        <w:t>The state</w:t>
      </w:r>
      <w:r w:rsidR="00E501A8">
        <w:t>’</w:t>
      </w:r>
      <w:r w:rsidR="00FA4407">
        <w:t>s</w:t>
      </w:r>
      <w:r w:rsidR="00430985">
        <w:t xml:space="preserve"> support</w:t>
      </w:r>
      <w:r w:rsidR="00DB78CE">
        <w:t xml:space="preserve"> </w:t>
      </w:r>
      <w:r w:rsidR="00FA4407">
        <w:t xml:space="preserve">of </w:t>
      </w:r>
      <w:r w:rsidR="00430985">
        <w:t>a vibrant civil society</w:t>
      </w:r>
      <w:bookmarkEnd w:id="9"/>
      <w:r w:rsidR="00430985">
        <w:t xml:space="preserve"> is established </w:t>
      </w:r>
      <w:r w:rsidR="00642DC0">
        <w:t xml:space="preserve">on </w:t>
      </w:r>
      <w:r w:rsidR="005B092B">
        <w:t xml:space="preserve">this </w:t>
      </w:r>
      <w:r w:rsidR="00430985">
        <w:t>notion</w:t>
      </w:r>
      <w:r w:rsidR="00FA4407">
        <w:t xml:space="preserve"> and on the intention to address the </w:t>
      </w:r>
      <w:r w:rsidR="00E501A8">
        <w:t>“</w:t>
      </w:r>
      <w:r w:rsidR="00FA4407">
        <w:t>government failure</w:t>
      </w:r>
      <w:r w:rsidR="00E501A8">
        <w:t>”</w:t>
      </w:r>
      <w:r w:rsidR="00FA4407">
        <w:t xml:space="preserve"> </w:t>
      </w:r>
      <w:r w:rsidR="005B092B">
        <w:t xml:space="preserve">that causes </w:t>
      </w:r>
      <w:r w:rsidR="00FA4407">
        <w:lastRenderedPageBreak/>
        <w:t>deficien</w:t>
      </w:r>
      <w:r w:rsidR="005B092B">
        <w:t xml:space="preserve">t </w:t>
      </w:r>
      <w:r w:rsidR="00FA4407">
        <w:t xml:space="preserve">diversification </w:t>
      </w:r>
      <w:r w:rsidR="005B092B">
        <w:t xml:space="preserve">of </w:t>
      </w:r>
      <w:r w:rsidR="00FA4407">
        <w:t xml:space="preserve">governmental services that </w:t>
      </w:r>
      <w:r w:rsidR="00A21382">
        <w:t>target</w:t>
      </w:r>
      <w:r w:rsidR="00FA4407">
        <w:t xml:space="preserve"> the </w:t>
      </w:r>
      <w:r w:rsidR="00E501A8">
        <w:t>“</w:t>
      </w:r>
      <w:r w:rsidR="00D34809">
        <w:t>a</w:t>
      </w:r>
      <w:r w:rsidR="00FA4407">
        <w:t>verage citizen</w:t>
      </w:r>
      <w:r w:rsidR="00E501A8">
        <w:t>”</w:t>
      </w:r>
      <w:r w:rsidR="00FA4407">
        <w:t xml:space="preserve"> (Ha</w:t>
      </w:r>
      <w:r w:rsidR="00D34809">
        <w:t>n</w:t>
      </w:r>
      <w:r w:rsidR="00FA4407">
        <w:t>sman</w:t>
      </w:r>
      <w:r w:rsidR="00D34809">
        <w:t>n, 1987). The</w:t>
      </w:r>
      <w:r w:rsidR="00430985">
        <w:t xml:space="preserve"> tax </w:t>
      </w:r>
      <w:r w:rsidR="00C76B4A">
        <w:t>benefit</w:t>
      </w:r>
      <w:r w:rsidR="00430985">
        <w:t xml:space="preserve"> for charitable giving is an </w:t>
      </w:r>
      <w:r w:rsidR="00D34809">
        <w:t>extension</w:t>
      </w:r>
      <w:r w:rsidR="00430985">
        <w:t xml:space="preserve"> of </w:t>
      </w:r>
      <w:r w:rsidR="005B092B">
        <w:t xml:space="preserve">this </w:t>
      </w:r>
      <w:r w:rsidR="00430985">
        <w:t xml:space="preserve">notion. </w:t>
      </w:r>
      <w:r w:rsidR="00A21382">
        <w:t>However, if</w:t>
      </w:r>
      <w:r w:rsidR="00430985">
        <w:t xml:space="preserve"> </w:t>
      </w:r>
      <w:r w:rsidR="005B092B">
        <w:t xml:space="preserve">most donors do not claim </w:t>
      </w:r>
      <w:r w:rsidR="00430985">
        <w:t xml:space="preserve">the benefit, this pluralistic agenda </w:t>
      </w:r>
      <w:r w:rsidR="005B092B">
        <w:t xml:space="preserve">is </w:t>
      </w:r>
      <w:r w:rsidR="00430985">
        <w:t>not realized. Th</w:t>
      </w:r>
      <w:r w:rsidR="00354065">
        <w:t>e current</w:t>
      </w:r>
      <w:r w:rsidR="00430985">
        <w:t xml:space="preserve"> </w:t>
      </w:r>
      <w:r w:rsidR="005B092B">
        <w:t xml:space="preserve">study </w:t>
      </w:r>
      <w:r w:rsidR="00430985">
        <w:t>reveals</w:t>
      </w:r>
      <w:r w:rsidR="005B092B">
        <w:t xml:space="preserve"> </w:t>
      </w:r>
      <w:r w:rsidR="00430985">
        <w:t xml:space="preserve">that only about 8% of Israeli donors claim the benefit and </w:t>
      </w:r>
      <w:r w:rsidR="005B092B">
        <w:t xml:space="preserve">that most non-claimers </w:t>
      </w:r>
      <w:r w:rsidR="00430985">
        <w:t xml:space="preserve">are modest donors </w:t>
      </w:r>
      <w:r w:rsidR="005B092B">
        <w:t xml:space="preserve">who, one </w:t>
      </w:r>
      <w:r w:rsidR="00430985">
        <w:t>assume</w:t>
      </w:r>
      <w:r w:rsidR="005B092B">
        <w:t>s,</w:t>
      </w:r>
      <w:r w:rsidR="00430985">
        <w:t xml:space="preserve"> </w:t>
      </w:r>
      <w:r w:rsidR="005B092B">
        <w:t xml:space="preserve">belong to </w:t>
      </w:r>
      <w:r w:rsidR="00A21382">
        <w:t>lower-income</w:t>
      </w:r>
      <w:r w:rsidR="00430985">
        <w:t xml:space="preserve"> cohorts. Thus, according to this </w:t>
      </w:r>
      <w:r w:rsidR="005B092B">
        <w:t>study</w:t>
      </w:r>
      <w:r w:rsidR="00B5606A">
        <w:t>,</w:t>
      </w:r>
      <w:r w:rsidR="00430985">
        <w:t xml:space="preserve"> </w:t>
      </w:r>
      <w:r w:rsidR="005B092B">
        <w:t xml:space="preserve">large numbers of </w:t>
      </w:r>
      <w:r w:rsidR="000671B9">
        <w:t xml:space="preserve">individual </w:t>
      </w:r>
      <w:r w:rsidR="00430985">
        <w:t>donors</w:t>
      </w:r>
      <w:r w:rsidR="00642DC0" w:rsidRPr="00642DC0">
        <w:t xml:space="preserve"> </w:t>
      </w:r>
      <w:r w:rsidR="00642DC0">
        <w:t>in Israel</w:t>
      </w:r>
      <w:r w:rsidR="000671B9">
        <w:t xml:space="preserve">, mostly </w:t>
      </w:r>
      <w:r w:rsidR="005B092B">
        <w:t xml:space="preserve">in </w:t>
      </w:r>
      <w:r w:rsidR="0079593E">
        <w:t>low</w:t>
      </w:r>
      <w:r w:rsidR="00A21382">
        <w:t>-</w:t>
      </w:r>
      <w:r w:rsidR="0079593E">
        <w:t>and</w:t>
      </w:r>
      <w:r w:rsidR="00A21382">
        <w:t>-</w:t>
      </w:r>
      <w:r w:rsidR="0079593E">
        <w:t>medium</w:t>
      </w:r>
      <w:r w:rsidR="00A21382">
        <w:t>-</w:t>
      </w:r>
      <w:r w:rsidR="0079593E">
        <w:t>income</w:t>
      </w:r>
      <w:r w:rsidR="000671B9">
        <w:t xml:space="preserve"> cohorts, </w:t>
      </w:r>
      <w:r w:rsidR="00430985">
        <w:t>wa</w:t>
      </w:r>
      <w:r w:rsidR="00856352">
        <w:t>i</w:t>
      </w:r>
      <w:r w:rsidR="00430985">
        <w:t>ve their right to allocate</w:t>
      </w:r>
      <w:r w:rsidR="000671B9">
        <w:t xml:space="preserve"> public resources according to their values</w:t>
      </w:r>
      <w:r w:rsidR="00B5606A">
        <w:t xml:space="preserve">, thereby </w:t>
      </w:r>
      <w:r w:rsidR="000671B9">
        <w:t xml:space="preserve">weakening pluralistic support </w:t>
      </w:r>
      <w:r w:rsidR="005B092B">
        <w:t xml:space="preserve">of </w:t>
      </w:r>
      <w:r w:rsidR="000671B9">
        <w:t>civil society.</w:t>
      </w:r>
    </w:p>
    <w:p w14:paraId="088526D1" w14:textId="4E5CA2A8" w:rsidR="0032700D" w:rsidRDefault="00FD5E80">
      <w:pPr>
        <w:rPr>
          <w:rtl/>
        </w:rPr>
      </w:pPr>
      <w:r w:rsidRPr="00AA2950">
        <w:t>One</w:t>
      </w:r>
      <w:r w:rsidR="0032700D">
        <w:t xml:space="preserve"> limitation of </w:t>
      </w:r>
      <w:r w:rsidR="005B092B">
        <w:t xml:space="preserve">this study concerns </w:t>
      </w:r>
      <w:r w:rsidR="0032700D">
        <w:t>the missing underlying mechanisms or motivations</w:t>
      </w:r>
      <w:r w:rsidR="00412CAD">
        <w:t xml:space="preserve">. </w:t>
      </w:r>
      <w:r w:rsidR="008B2A48">
        <w:t xml:space="preserve">While </w:t>
      </w:r>
      <w:r w:rsidR="005B092B">
        <w:t xml:space="preserve">able to </w:t>
      </w:r>
      <w:r w:rsidR="00412CAD">
        <w:t>present patterns of non-take-up, I could only assume the reasons for it. Beyond cost</w:t>
      </w:r>
      <w:r w:rsidR="005B092B">
        <w:t>/</w:t>
      </w:r>
      <w:r w:rsidR="00412CAD">
        <w:t>benefit considerations,</w:t>
      </w:r>
      <w:r w:rsidR="00DB78CE">
        <w:t xml:space="preserve"> however,</w:t>
      </w:r>
      <w:r w:rsidR="00412CAD">
        <w:t xml:space="preserve"> </w:t>
      </w:r>
      <w:r w:rsidR="005B092B">
        <w:t xml:space="preserve">there may </w:t>
      </w:r>
      <w:r w:rsidR="00412CAD">
        <w:t xml:space="preserve">be a cultural issue concerning </w:t>
      </w:r>
      <w:r w:rsidR="008B2A48">
        <w:t>the</w:t>
      </w:r>
      <w:r w:rsidR="00412CAD">
        <w:t xml:space="preserve"> norm of claiming </w:t>
      </w:r>
      <w:r w:rsidR="008B2A48">
        <w:t xml:space="preserve">a </w:t>
      </w:r>
      <w:r w:rsidR="00412CAD">
        <w:t>tax benefit for charitable giving and the meaning ascribe</w:t>
      </w:r>
      <w:r w:rsidR="00964A17">
        <w:t>d</w:t>
      </w:r>
      <w:r w:rsidR="00DB78CE">
        <w:t xml:space="preserve"> this</w:t>
      </w:r>
      <w:r w:rsidR="00E378E3">
        <w:t xml:space="preserve"> </w:t>
      </w:r>
      <w:r w:rsidR="00FA4407">
        <w:t xml:space="preserve">social institution </w:t>
      </w:r>
      <w:r w:rsidR="00FA4407" w:rsidRPr="00FA4407">
        <w:rPr>
          <w:szCs w:val="24"/>
          <w:shd w:val="clear" w:color="auto" w:fill="FFFFFF"/>
        </w:rPr>
        <w:t>(Lawrence and Suddaby, 2006)</w:t>
      </w:r>
      <w:r w:rsidR="00412CAD" w:rsidRPr="00FA4407">
        <w:t xml:space="preserve">. It may be the case that religious people </w:t>
      </w:r>
      <w:r w:rsidR="008B2A48">
        <w:t xml:space="preserve">who see </w:t>
      </w:r>
      <w:r w:rsidR="00412CAD" w:rsidRPr="00FA4407">
        <w:t xml:space="preserve">charity </w:t>
      </w:r>
      <w:r w:rsidR="008B2A48">
        <w:t>a</w:t>
      </w:r>
      <w:r w:rsidR="00412CAD" w:rsidRPr="00FA4407">
        <w:t>s</w:t>
      </w:r>
      <w:r w:rsidR="00412CAD">
        <w:t xml:space="preserve"> part of their religious practice</w:t>
      </w:r>
      <w:r w:rsidR="00437C8C">
        <w:t xml:space="preserve"> (Khan, 2012)</w:t>
      </w:r>
      <w:r w:rsidR="003E71D7">
        <w:t xml:space="preserve"> regard </w:t>
      </w:r>
      <w:r w:rsidR="00412CAD">
        <w:t xml:space="preserve">claiming a benefit as </w:t>
      </w:r>
      <w:r w:rsidR="008B2A48">
        <w:t xml:space="preserve">sullying the </w:t>
      </w:r>
      <w:r w:rsidR="00412CAD">
        <w:t>act of giving (</w:t>
      </w:r>
      <w:r w:rsidR="008B2A48">
        <w:t xml:space="preserve">even </w:t>
      </w:r>
      <w:r w:rsidR="00412CAD">
        <w:t xml:space="preserve">though they could use the benefit money </w:t>
      </w:r>
      <w:r w:rsidR="008B2A48">
        <w:t xml:space="preserve">to </w:t>
      </w:r>
      <w:r w:rsidR="00412CAD">
        <w:t>increas</w:t>
      </w:r>
      <w:r w:rsidR="008B2A48">
        <w:t xml:space="preserve">e </w:t>
      </w:r>
      <w:r w:rsidR="00412CAD">
        <w:t>their giving)</w:t>
      </w:r>
      <w:r w:rsidR="00F95FAE">
        <w:t>. In fact</w:t>
      </w:r>
      <w:r w:rsidR="00437C8C">
        <w:t>,</w:t>
      </w:r>
      <w:r w:rsidR="00F95FAE">
        <w:t xml:space="preserve"> there are mixed findings </w:t>
      </w:r>
      <w:r w:rsidR="008B2A48">
        <w:t xml:space="preserve">about </w:t>
      </w:r>
      <w:r w:rsidR="00F95FAE">
        <w:t>the relationship between religiosity and philanthropy (</w:t>
      </w:r>
      <w:r w:rsidR="00F95FAE" w:rsidRPr="00F95FAE">
        <w:t xml:space="preserve">Bekkers </w:t>
      </w:r>
      <w:r w:rsidR="00F95FAE">
        <w:t>and</w:t>
      </w:r>
      <w:r w:rsidR="00F95FAE" w:rsidRPr="00F95FAE">
        <w:t xml:space="preserve"> Wiepking</w:t>
      </w:r>
      <w:r w:rsidR="00F95FAE">
        <w:t>, 2007)</w:t>
      </w:r>
      <w:r w:rsidR="008B2A48">
        <w:t>,</w:t>
      </w:r>
      <w:r w:rsidR="00F95FAE">
        <w:t xml:space="preserve"> indicating that research</w:t>
      </w:r>
      <w:r w:rsidR="008B2A48">
        <w:t xml:space="preserve"> into the deeper </w:t>
      </w:r>
      <w:r w:rsidR="00F95FAE">
        <w:t xml:space="preserve">beliefs </w:t>
      </w:r>
      <w:r w:rsidR="00354065">
        <w:t xml:space="preserve">of donors </w:t>
      </w:r>
      <w:r w:rsidR="00F95FAE">
        <w:t>toward philanthropic practi</w:t>
      </w:r>
      <w:r w:rsidR="00437C8C">
        <w:t>ces is needed</w:t>
      </w:r>
      <w:r w:rsidR="00DB78CE">
        <w:t xml:space="preserve"> as well as differentiating among religions</w:t>
      </w:r>
      <w:r w:rsidR="00F95FAE">
        <w:t>.</w:t>
      </w:r>
      <w:r w:rsidR="0032700D">
        <w:t xml:space="preserve"> </w:t>
      </w:r>
      <w:r w:rsidR="003E71D7">
        <w:t>Also needed is f</w:t>
      </w:r>
      <w:r w:rsidR="00412CAD">
        <w:t xml:space="preserve">uture research to </w:t>
      </w:r>
      <w:r w:rsidR="008B2A48">
        <w:t xml:space="preserve">fine-tune the profile of </w:t>
      </w:r>
      <w:r w:rsidR="00412CAD">
        <w:t>the non-take-up donors and explore their perceptions and motivations.</w:t>
      </w:r>
    </w:p>
    <w:p w14:paraId="7972EB9D" w14:textId="5ED77667" w:rsidR="004C3506" w:rsidRDefault="008B2A48">
      <w:r>
        <w:t xml:space="preserve">Another </w:t>
      </w:r>
      <w:r w:rsidR="00FD5E80" w:rsidRPr="00AA2950">
        <w:t xml:space="preserve">limitation of this </w:t>
      </w:r>
      <w:r>
        <w:t xml:space="preserve">study </w:t>
      </w:r>
      <w:r w:rsidR="00FD5E80" w:rsidRPr="00AA2950">
        <w:t xml:space="preserve">is the lack of comparison. </w:t>
      </w:r>
      <w:r>
        <w:t>A</w:t>
      </w:r>
      <w:r w:rsidR="0089052E" w:rsidRPr="00AA2950">
        <w:t xml:space="preserve">n evaluative comparison of the policy </w:t>
      </w:r>
      <w:r w:rsidR="00D476F8">
        <w:t>(</w:t>
      </w:r>
      <w:r w:rsidR="0089052E" w:rsidRPr="00AA2950">
        <w:t>in principle</w:t>
      </w:r>
      <w:r w:rsidR="00D476F8">
        <w:t>)</w:t>
      </w:r>
      <w:r w:rsidR="0089052E" w:rsidRPr="00AA2950">
        <w:t xml:space="preserve"> </w:t>
      </w:r>
      <w:r>
        <w:t xml:space="preserve">appears </w:t>
      </w:r>
      <w:r w:rsidR="0089052E" w:rsidRPr="00AA2950">
        <w:t>in the</w:t>
      </w:r>
      <w:r w:rsidR="00964A17">
        <w:t xml:space="preserve"> </w:t>
      </w:r>
      <w:hyperlink r:id="rId18" w:history="1">
        <w:r w:rsidR="00964A17" w:rsidRPr="00E378E3">
          <w:rPr>
            <w:rStyle w:val="Hyperlink"/>
            <w:color w:val="auto"/>
            <w:u w:val="none"/>
          </w:rPr>
          <w:t>G</w:t>
        </w:r>
        <w:r w:rsidR="0089052E" w:rsidRPr="00E378E3">
          <w:rPr>
            <w:rStyle w:val="Hyperlink"/>
            <w:color w:val="auto"/>
            <w:u w:val="none"/>
          </w:rPr>
          <w:t xml:space="preserve">lobal </w:t>
        </w:r>
        <w:r w:rsidR="00964A17" w:rsidRPr="00E378E3">
          <w:rPr>
            <w:rStyle w:val="Hyperlink"/>
            <w:color w:val="auto"/>
            <w:u w:val="none"/>
          </w:rPr>
          <w:t>P</w:t>
        </w:r>
        <w:r w:rsidR="0089052E" w:rsidRPr="00E378E3">
          <w:rPr>
            <w:rStyle w:val="Hyperlink"/>
            <w:color w:val="auto"/>
            <w:u w:val="none"/>
          </w:rPr>
          <w:t xml:space="preserve">hilanthropy </w:t>
        </w:r>
        <w:r w:rsidR="00964A17" w:rsidRPr="00E378E3">
          <w:rPr>
            <w:rStyle w:val="Hyperlink"/>
            <w:color w:val="auto"/>
            <w:u w:val="none"/>
          </w:rPr>
          <w:t>I</w:t>
        </w:r>
        <w:r w:rsidR="0089052E" w:rsidRPr="00E378E3">
          <w:rPr>
            <w:rStyle w:val="Hyperlink"/>
            <w:color w:val="auto"/>
            <w:u w:val="none"/>
          </w:rPr>
          <w:t>ndex</w:t>
        </w:r>
      </w:hyperlink>
      <w:r w:rsidR="0089052E" w:rsidRPr="00AA2950">
        <w:t xml:space="preserve">. One of the sub-indexes </w:t>
      </w:r>
      <w:r>
        <w:t xml:space="preserve">in this publication </w:t>
      </w:r>
      <w:r w:rsidR="0089052E" w:rsidRPr="00AA2950">
        <w:t>is the tax</w:t>
      </w:r>
      <w:r>
        <w:t>-</w:t>
      </w:r>
      <w:r w:rsidR="00C76B4A">
        <w:t>benefit</w:t>
      </w:r>
      <w:r w:rsidR="0089052E" w:rsidRPr="00AA2950">
        <w:t xml:space="preserve"> policy. The </w:t>
      </w:r>
      <w:r w:rsidR="00D476F8">
        <w:t xml:space="preserve">world </w:t>
      </w:r>
      <w:r w:rsidR="0089052E" w:rsidRPr="00AA2950">
        <w:t>average</w:t>
      </w:r>
      <w:r w:rsidR="00D476F8">
        <w:t xml:space="preserve"> score</w:t>
      </w:r>
      <w:r w:rsidR="0089052E" w:rsidRPr="00AA2950">
        <w:t xml:space="preserve"> </w:t>
      </w:r>
      <w:r w:rsidR="00D476F8">
        <w:t>in</w:t>
      </w:r>
      <w:r w:rsidR="0089052E" w:rsidRPr="00AA2950">
        <w:t xml:space="preserve"> th</w:t>
      </w:r>
      <w:r w:rsidR="00D476F8">
        <w:t>is</w:t>
      </w:r>
      <w:r w:rsidR="0089052E" w:rsidRPr="00AA2950">
        <w:t xml:space="preserve"> index is 3.52</w:t>
      </w:r>
      <w:r>
        <w:t xml:space="preserve">; </w:t>
      </w:r>
      <w:hyperlink r:id="rId19" w:history="1">
        <w:r w:rsidR="0089052E" w:rsidRPr="00E378E3">
          <w:rPr>
            <w:rStyle w:val="Hyperlink"/>
            <w:color w:val="auto"/>
            <w:u w:val="none"/>
          </w:rPr>
          <w:t>Israel</w:t>
        </w:r>
      </w:hyperlink>
      <w:r w:rsidR="00E501A8">
        <w:t>‘</w:t>
      </w:r>
      <w:r w:rsidR="00D476F8" w:rsidRPr="008B2A48">
        <w:t>s</w:t>
      </w:r>
      <w:r w:rsidR="00D476F8">
        <w:t xml:space="preserve"> score</w:t>
      </w:r>
      <w:r w:rsidR="0089052E" w:rsidRPr="00AA2950">
        <w:t xml:space="preserve"> is 3.50. </w:t>
      </w:r>
      <w:r>
        <w:t xml:space="preserve">However, </w:t>
      </w:r>
      <w:r w:rsidR="0089052E" w:rsidRPr="00AA2950">
        <w:t>further research i</w:t>
      </w:r>
      <w:r>
        <w:t>s</w:t>
      </w:r>
      <w:r w:rsidR="0089052E" w:rsidRPr="00AA2950">
        <w:t xml:space="preserve"> needed to compare policy </w:t>
      </w:r>
      <w:r w:rsidR="0089052E" w:rsidRPr="00E378E3">
        <w:rPr>
          <w:i/>
          <w:iCs/>
        </w:rPr>
        <w:t>realization</w:t>
      </w:r>
      <w:r w:rsidR="0089052E" w:rsidRPr="00AA2950">
        <w:t xml:space="preserve"> on the ground. </w:t>
      </w:r>
      <w:r w:rsidR="00FD5E80" w:rsidRPr="00AA2950">
        <w:t xml:space="preserve">There is no anchor </w:t>
      </w:r>
      <w:r>
        <w:t xml:space="preserve">with which </w:t>
      </w:r>
      <w:r w:rsidR="00FD5E80" w:rsidRPr="00AA2950">
        <w:t xml:space="preserve">to evaluate whether a 36% </w:t>
      </w:r>
      <w:r>
        <w:t xml:space="preserve">rate of </w:t>
      </w:r>
      <w:r w:rsidR="00FD5E80" w:rsidRPr="00AA2950">
        <w:t>reported donation</w:t>
      </w:r>
      <w:r>
        <w:t>s in</w:t>
      </w:r>
      <w:r w:rsidR="00D476F8">
        <w:t xml:space="preserve"> total donations</w:t>
      </w:r>
      <w:r w:rsidR="00354065">
        <w:t xml:space="preserve"> in Israel </w:t>
      </w:r>
      <w:r w:rsidR="00FD5E80" w:rsidRPr="00AA2950">
        <w:t>is low</w:t>
      </w:r>
      <w:r>
        <w:t>,</w:t>
      </w:r>
      <w:r w:rsidR="00FD5E80" w:rsidRPr="00AA2950">
        <w:t xml:space="preserve"> average</w:t>
      </w:r>
      <w:r>
        <w:t>,</w:t>
      </w:r>
      <w:r w:rsidR="00FD5E80" w:rsidRPr="00AA2950">
        <w:t xml:space="preserve"> or high. </w:t>
      </w:r>
      <w:r w:rsidR="00F0631D">
        <w:t xml:space="preserve">Using </w:t>
      </w:r>
      <w:r w:rsidR="00FD5E80" w:rsidRPr="00AA2950">
        <w:t>administrative data and state</w:t>
      </w:r>
      <w:r w:rsidR="00D476F8">
        <w:t xml:space="preserve"> </w:t>
      </w:r>
      <w:r w:rsidR="00FD5E80" w:rsidRPr="00AA2950">
        <w:t xml:space="preserve">wide surveys, I could extract the amount of reported donations as a percentage of total donations in the </w:t>
      </w:r>
      <w:r w:rsidR="00F0631D">
        <w:t xml:space="preserve">United States </w:t>
      </w:r>
      <w:r w:rsidR="00FD5E80" w:rsidRPr="00AA2950">
        <w:t xml:space="preserve">(IRS, Giving USA) and Canada (CRA, </w:t>
      </w:r>
      <w:proofErr w:type="spellStart"/>
      <w:r w:rsidR="00FD5E80" w:rsidRPr="00AA2950">
        <w:rPr>
          <w:szCs w:val="24"/>
        </w:rPr>
        <w:t>Lasby</w:t>
      </w:r>
      <w:proofErr w:type="spellEnd"/>
      <w:r w:rsidR="00FD5E80" w:rsidRPr="00AA2950">
        <w:rPr>
          <w:szCs w:val="24"/>
        </w:rPr>
        <w:t xml:space="preserve"> and Barr, 2018)</w:t>
      </w:r>
      <w:r w:rsidR="00D476F8">
        <w:rPr>
          <w:szCs w:val="24"/>
        </w:rPr>
        <w:t xml:space="preserve"> </w:t>
      </w:r>
      <w:r w:rsidR="00F0631D">
        <w:rPr>
          <w:szCs w:val="24"/>
        </w:rPr>
        <w:t>–</w:t>
      </w:r>
      <w:r w:rsidR="00D476F8">
        <w:rPr>
          <w:szCs w:val="24"/>
        </w:rPr>
        <w:t xml:space="preserve"> </w:t>
      </w:r>
      <w:r w:rsidR="00D476F8" w:rsidRPr="00AA2950">
        <w:t xml:space="preserve">67% </w:t>
      </w:r>
      <w:r w:rsidR="00D476F8">
        <w:t xml:space="preserve">in </w:t>
      </w:r>
      <w:r w:rsidR="00D476F8" w:rsidRPr="00AA2950">
        <w:t>both</w:t>
      </w:r>
      <w:r w:rsidR="00FD5E80" w:rsidRPr="00AA2950">
        <w:rPr>
          <w:szCs w:val="24"/>
        </w:rPr>
        <w:t>.</w:t>
      </w:r>
      <w:r w:rsidR="00FD5E80" w:rsidRPr="00AA2950">
        <w:t xml:space="preserve"> </w:t>
      </w:r>
      <w:r w:rsidR="00F0631D">
        <w:t>T</w:t>
      </w:r>
      <w:r w:rsidR="00FD5E80" w:rsidRPr="00AA2950">
        <w:t>hese</w:t>
      </w:r>
      <w:r w:rsidR="00F0631D">
        <w:t>, however,</w:t>
      </w:r>
      <w:r w:rsidR="00FD5E80" w:rsidRPr="00AA2950">
        <w:t xml:space="preserve"> are only </w:t>
      </w:r>
      <w:r w:rsidR="0089052E" w:rsidRPr="00AA2950">
        <w:t>rough data</w:t>
      </w:r>
      <w:r w:rsidR="00F0631D">
        <w:t xml:space="preserve"> that </w:t>
      </w:r>
      <w:r w:rsidR="0089052E" w:rsidRPr="00AA2950">
        <w:t xml:space="preserve">tell us nothing </w:t>
      </w:r>
      <w:r w:rsidR="006656EB">
        <w:t xml:space="preserve">neither </w:t>
      </w:r>
      <w:r w:rsidR="0089052E" w:rsidRPr="00AA2950">
        <w:t xml:space="preserve">about the </w:t>
      </w:r>
      <w:r w:rsidR="005241CA">
        <w:t>share</w:t>
      </w:r>
      <w:r w:rsidR="0089052E" w:rsidRPr="00AA2950">
        <w:t xml:space="preserve"> of </w:t>
      </w:r>
      <w:r w:rsidR="005241CA">
        <w:t xml:space="preserve">ineligible donations </w:t>
      </w:r>
      <w:r w:rsidR="003E71D7">
        <w:t xml:space="preserve">as against </w:t>
      </w:r>
      <w:r w:rsidR="0089052E" w:rsidRPr="00AA2950">
        <w:t xml:space="preserve">unclaimed </w:t>
      </w:r>
      <w:r w:rsidR="00354065">
        <w:t>benefit</w:t>
      </w:r>
      <w:r w:rsidR="00F0631D">
        <w:t>s</w:t>
      </w:r>
      <w:r w:rsidR="00354065">
        <w:t xml:space="preserve"> for </w:t>
      </w:r>
      <w:r w:rsidR="0089052E" w:rsidRPr="00AA2950">
        <w:t>eligible donations</w:t>
      </w:r>
      <w:r w:rsidR="005241CA">
        <w:t xml:space="preserve"> </w:t>
      </w:r>
      <w:r w:rsidR="006656EB">
        <w:t>nor about</w:t>
      </w:r>
      <w:r w:rsidR="0089052E" w:rsidRPr="00AA2950">
        <w:t xml:space="preserve"> the characteristics of donor</w:t>
      </w:r>
      <w:r w:rsidR="00F0631D">
        <w:t>s</w:t>
      </w:r>
      <w:r w:rsidR="0089052E" w:rsidRPr="00AA2950">
        <w:t xml:space="preserve"> who take</w:t>
      </w:r>
      <w:r w:rsidR="00F0631D">
        <w:t xml:space="preserve"> </w:t>
      </w:r>
      <w:r w:rsidR="0089052E" w:rsidRPr="00AA2950">
        <w:t>up the benefit v</w:t>
      </w:r>
      <w:r w:rsidR="003E71D7">
        <w:t xml:space="preserve">ersus </w:t>
      </w:r>
      <w:r w:rsidR="0089052E" w:rsidRPr="00AA2950">
        <w:t xml:space="preserve">those who </w:t>
      </w:r>
      <w:r w:rsidR="00F0631D">
        <w:t>do not</w:t>
      </w:r>
      <w:r w:rsidR="0089052E" w:rsidRPr="00AA2950">
        <w:t>.</w:t>
      </w:r>
      <w:r w:rsidR="00D476F8">
        <w:t xml:space="preserve"> </w:t>
      </w:r>
      <w:r w:rsidR="00F0631D">
        <w:t>To generate comparative data,</w:t>
      </w:r>
      <w:r w:rsidR="00F0631D" w:rsidDel="00F0631D">
        <w:t xml:space="preserve"> </w:t>
      </w:r>
      <w:r w:rsidR="00F0631D">
        <w:t xml:space="preserve">international </w:t>
      </w:r>
      <w:r w:rsidR="00D476F8">
        <w:t xml:space="preserve">studies are needed. </w:t>
      </w:r>
    </w:p>
    <w:p w14:paraId="081471BD" w14:textId="12D83BE2" w:rsidR="005241CA" w:rsidRDefault="00F0631D">
      <w:r>
        <w:t>A t</w:t>
      </w:r>
      <w:r w:rsidR="0032700D">
        <w:t>hird</w:t>
      </w:r>
      <w:r w:rsidR="00D476F8">
        <w:t xml:space="preserve"> limitation of this </w:t>
      </w:r>
      <w:r>
        <w:t xml:space="preserve">study </w:t>
      </w:r>
      <w:r w:rsidR="00D476F8">
        <w:t xml:space="preserve">is the lack of </w:t>
      </w:r>
      <w:r>
        <w:t xml:space="preserve">systematic </w:t>
      </w:r>
      <w:r w:rsidR="00D476F8">
        <w:t>data on donations by so</w:t>
      </w:r>
      <w:r w:rsidR="0007759D">
        <w:t>u</w:t>
      </w:r>
      <w:r w:rsidR="00D476F8">
        <w:t xml:space="preserve">rce and size. </w:t>
      </w:r>
      <w:r>
        <w:t xml:space="preserve">This study </w:t>
      </w:r>
      <w:r w:rsidR="00D476F8">
        <w:t>was based on a special survey done in 201</w:t>
      </w:r>
      <w:r w:rsidR="005241CA">
        <w:t>7</w:t>
      </w:r>
      <w:r>
        <w:t xml:space="preserve">; </w:t>
      </w:r>
      <w:r w:rsidR="00D476F8">
        <w:t xml:space="preserve">it is not </w:t>
      </w:r>
      <w:r w:rsidR="0007759D">
        <w:t xml:space="preserve">expected to be conducted again. Thus, there is no way to </w:t>
      </w:r>
      <w:r w:rsidR="00A32ECA">
        <w:t xml:space="preserve">perform </w:t>
      </w:r>
      <w:r w:rsidR="0007759D">
        <w:t>detailed</w:t>
      </w:r>
      <w:r w:rsidR="00E378E3">
        <w:t xml:space="preserve"> and </w:t>
      </w:r>
      <w:r w:rsidR="0021577E">
        <w:t>up-to-date</w:t>
      </w:r>
      <w:r w:rsidR="0007759D">
        <w:t xml:space="preserve"> </w:t>
      </w:r>
      <w:r w:rsidR="00E378E3">
        <w:t>follow-up</w:t>
      </w:r>
      <w:r w:rsidR="0007759D">
        <w:t xml:space="preserve"> research in Israel </w:t>
      </w:r>
      <w:r w:rsidR="00A32ECA">
        <w:t xml:space="preserve">for </w:t>
      </w:r>
      <w:r w:rsidR="0007759D">
        <w:t xml:space="preserve">the foreseeable </w:t>
      </w:r>
      <w:r w:rsidR="00A32ECA">
        <w:t>future</w:t>
      </w:r>
      <w:r w:rsidR="0007759D">
        <w:t xml:space="preserve">. </w:t>
      </w:r>
    </w:p>
    <w:p w14:paraId="7C1B71AF" w14:textId="26529850" w:rsidR="003B4174" w:rsidRDefault="00A32ECA">
      <w:r>
        <w:t xml:space="preserve">Despite </w:t>
      </w:r>
      <w:r w:rsidR="005241CA">
        <w:t>these limitations</w:t>
      </w:r>
      <w:r>
        <w:t>,</w:t>
      </w:r>
      <w:r w:rsidR="005241CA">
        <w:t xml:space="preserve"> this </w:t>
      </w:r>
      <w:r>
        <w:t xml:space="preserve">study </w:t>
      </w:r>
      <w:r w:rsidR="005241CA">
        <w:t xml:space="preserve">offers a new and comprehensive approach </w:t>
      </w:r>
      <w:r w:rsidR="00557A32">
        <w:t xml:space="preserve">enabling us to </w:t>
      </w:r>
      <w:r w:rsidR="005241CA">
        <w:t xml:space="preserve">review the tax policy </w:t>
      </w:r>
      <w:r w:rsidR="00557A32">
        <w:t>toward</w:t>
      </w:r>
      <w:r>
        <w:t xml:space="preserve"> charitable giving as it is actually implemented</w:t>
      </w:r>
      <w:r w:rsidR="005241CA">
        <w:t xml:space="preserve">. I truly hope that researchers </w:t>
      </w:r>
      <w:r>
        <w:t xml:space="preserve">will </w:t>
      </w:r>
      <w:r w:rsidR="005241CA">
        <w:t xml:space="preserve">apply </w:t>
      </w:r>
      <w:r>
        <w:t xml:space="preserve">this </w:t>
      </w:r>
      <w:r w:rsidR="005241CA">
        <w:t>approach in additional countries</w:t>
      </w:r>
      <w:r w:rsidR="00833F1E">
        <w:t>.</w:t>
      </w:r>
      <w:r w:rsidR="00833F1E" w:rsidRPr="00833F1E">
        <w:t xml:space="preserve"> </w:t>
      </w:r>
      <w:r>
        <w:t xml:space="preserve">By </w:t>
      </w:r>
      <w:r w:rsidR="006656EB">
        <w:t>going beyond</w:t>
      </w:r>
      <w:r>
        <w:t xml:space="preserve"> </w:t>
      </w:r>
      <w:r w:rsidR="00833F1E">
        <w:t>specific cases</w:t>
      </w:r>
      <w:r>
        <w:t>,</w:t>
      </w:r>
      <w:r w:rsidR="00833F1E">
        <w:t xml:space="preserve"> we </w:t>
      </w:r>
      <w:r>
        <w:t xml:space="preserve">may </w:t>
      </w:r>
      <w:r w:rsidR="00833F1E">
        <w:t xml:space="preserve">be able to characterize the effect of </w:t>
      </w:r>
      <w:r w:rsidR="00E378E3">
        <w:t>th</w:t>
      </w:r>
      <w:r w:rsidR="006656EB">
        <w:t>e</w:t>
      </w:r>
      <w:r w:rsidR="00E378E3">
        <w:t xml:space="preserve"> </w:t>
      </w:r>
      <w:r w:rsidR="00833F1E">
        <w:t>tax benefit</w:t>
      </w:r>
      <w:r w:rsidR="006656EB">
        <w:t xml:space="preserve">s for giving </w:t>
      </w:r>
      <w:r>
        <w:t>and better</w:t>
      </w:r>
      <w:r w:rsidR="00833F1E">
        <w:t xml:space="preserve"> </w:t>
      </w:r>
      <w:r>
        <w:t>understand</w:t>
      </w:r>
      <w:r w:rsidR="00833F1E">
        <w:t xml:space="preserve"> </w:t>
      </w:r>
      <w:r w:rsidR="00E378E3">
        <w:t xml:space="preserve">its </w:t>
      </w:r>
      <w:r w:rsidR="00833F1E">
        <w:t>strengths and weaknesses</w:t>
      </w:r>
      <w:r w:rsidR="005241CA">
        <w:t xml:space="preserve">. </w:t>
      </w:r>
      <w:r>
        <w:t xml:space="preserve">The impact of </w:t>
      </w:r>
      <w:r w:rsidR="00796938">
        <w:t>philanthropy on society</w:t>
      </w:r>
      <w:r>
        <w:t xml:space="preserve"> is much discussed; a </w:t>
      </w:r>
      <w:r w:rsidR="00833F1E">
        <w:t xml:space="preserve">body of </w:t>
      </w:r>
      <w:r w:rsidR="00796938">
        <w:t xml:space="preserve">research </w:t>
      </w:r>
      <w:r>
        <w:t xml:space="preserve">such as that proposed would address itself to the impact of </w:t>
      </w:r>
      <w:r w:rsidR="00796938">
        <w:t>public (tax) policy on philanthropy.</w:t>
      </w:r>
      <w:r w:rsidR="005979B3">
        <w:t xml:space="preserve"> </w:t>
      </w:r>
    </w:p>
    <w:p w14:paraId="04DD316A" w14:textId="77777777" w:rsidR="003945FD" w:rsidRDefault="003945FD"/>
    <w:p w14:paraId="5A701AE5" w14:textId="77777777" w:rsidR="003945FD" w:rsidRPr="00EC6796" w:rsidRDefault="003945FD" w:rsidP="003945FD">
      <w:pPr>
        <w:pStyle w:val="Title"/>
      </w:pPr>
      <w:r w:rsidRPr="00EC6796">
        <w:t>References</w:t>
      </w:r>
    </w:p>
    <w:p w14:paraId="19C4AF17" w14:textId="77777777" w:rsidR="003945FD" w:rsidRPr="00AC42ED" w:rsidRDefault="003945FD" w:rsidP="003945FD">
      <w:pPr>
        <w:spacing w:after="40"/>
        <w:ind w:left="284" w:hanging="284"/>
      </w:pPr>
      <w:proofErr w:type="spellStart"/>
      <w:r w:rsidRPr="00AC42ED">
        <w:t>Adena</w:t>
      </w:r>
      <w:proofErr w:type="spellEnd"/>
      <w:r w:rsidRPr="00AC42ED">
        <w:t xml:space="preserve">, M. (2021). Tax-price Elasticity of Charitable Donations – Evidence from the German Taxpayer Panel. In: </w:t>
      </w:r>
      <w:r w:rsidRPr="00AC42ED">
        <w:rPr>
          <w:i/>
          <w:iCs/>
        </w:rPr>
        <w:t>The Routledge Handbook of Taxation and Philanthropy</w:t>
      </w:r>
      <w:r w:rsidRPr="00AC42ED">
        <w:t xml:space="preserve"> (pp. 219–235). Routledge.</w:t>
      </w:r>
      <w:r w:rsidRPr="00AC42ED">
        <w:rPr>
          <w:rtl/>
        </w:rPr>
        <w:t>‏</w:t>
      </w:r>
    </w:p>
    <w:p w14:paraId="297DCE6A" w14:textId="77777777" w:rsidR="003945FD" w:rsidRPr="00AC42ED" w:rsidRDefault="003945FD" w:rsidP="003945FD">
      <w:pPr>
        <w:spacing w:after="40"/>
        <w:ind w:left="284" w:hanging="284"/>
      </w:pPr>
      <w:proofErr w:type="spellStart"/>
      <w:r w:rsidRPr="00AC42ED">
        <w:t>Alepin</w:t>
      </w:r>
      <w:proofErr w:type="spellEnd"/>
      <w:r w:rsidRPr="00AC42ED">
        <w:t xml:space="preserve">, B. (2021). Treasury efficiency of the Canadian tax regime for private foundations and their founders. In: </w:t>
      </w:r>
      <w:r w:rsidRPr="00AC42ED">
        <w:rPr>
          <w:i/>
          <w:iCs/>
        </w:rPr>
        <w:t>The Routledge Handbook of Taxation and Philanthropy</w:t>
      </w:r>
      <w:r w:rsidRPr="00AC42ED">
        <w:t xml:space="preserve"> (pp. 199–218). Routledge.</w:t>
      </w:r>
      <w:r w:rsidRPr="00AC42ED">
        <w:rPr>
          <w:rtl/>
        </w:rPr>
        <w:t>‏</w:t>
      </w:r>
    </w:p>
    <w:p w14:paraId="5A646FCE" w14:textId="77777777" w:rsidR="003945FD" w:rsidRPr="00AC42ED" w:rsidRDefault="003945FD" w:rsidP="003945FD">
      <w:pPr>
        <w:spacing w:after="40"/>
        <w:ind w:left="284" w:hanging="284"/>
      </w:pPr>
      <w:proofErr w:type="spellStart"/>
      <w:r w:rsidRPr="00AC42ED">
        <w:rPr>
          <w:shd w:val="clear" w:color="auto" w:fill="FFFFFF"/>
        </w:rPr>
        <w:t>Almunia</w:t>
      </w:r>
      <w:proofErr w:type="spellEnd"/>
      <w:r w:rsidRPr="00AC42ED">
        <w:rPr>
          <w:shd w:val="clear" w:color="auto" w:fill="FFFFFF"/>
        </w:rPr>
        <w:t xml:space="preserve">, M., </w:t>
      </w:r>
      <w:proofErr w:type="spellStart"/>
      <w:r w:rsidRPr="00AC42ED">
        <w:rPr>
          <w:shd w:val="clear" w:color="auto" w:fill="FFFFFF"/>
        </w:rPr>
        <w:t>Guceri</w:t>
      </w:r>
      <w:proofErr w:type="spellEnd"/>
      <w:r w:rsidRPr="00AC42ED">
        <w:rPr>
          <w:shd w:val="clear" w:color="auto" w:fill="FFFFFF"/>
        </w:rPr>
        <w:t xml:space="preserve">, I., Lockwood, B., &amp; Scharf, K. (2020). More giving or more givers? The effects of tax </w:t>
      </w:r>
      <w:r>
        <w:rPr>
          <w:shd w:val="clear" w:color="auto" w:fill="FFFFFF"/>
        </w:rPr>
        <w:t>benefit</w:t>
      </w:r>
      <w:r w:rsidRPr="00AC42ED">
        <w:rPr>
          <w:shd w:val="clear" w:color="auto" w:fill="FFFFFF"/>
        </w:rPr>
        <w:t>s on charitable donations in the UK. </w:t>
      </w:r>
      <w:r w:rsidRPr="00AC42ED">
        <w:rPr>
          <w:i/>
          <w:iCs/>
          <w:shd w:val="clear" w:color="auto" w:fill="FFFFFF"/>
        </w:rPr>
        <w:t>Journal of Public Economics</w:t>
      </w:r>
      <w:r w:rsidRPr="00AC42ED">
        <w:rPr>
          <w:shd w:val="clear" w:color="auto" w:fill="FFFFFF"/>
        </w:rPr>
        <w:t>, </w:t>
      </w:r>
      <w:r w:rsidRPr="00AC42ED">
        <w:rPr>
          <w:i/>
          <w:iCs/>
          <w:shd w:val="clear" w:color="auto" w:fill="FFFFFF"/>
        </w:rPr>
        <w:t>183</w:t>
      </w:r>
      <w:r w:rsidRPr="00AC42ED">
        <w:rPr>
          <w:shd w:val="clear" w:color="auto" w:fill="FFFFFF"/>
        </w:rPr>
        <w:t>, 104</w:t>
      </w:r>
      <w:r>
        <w:rPr>
          <w:shd w:val="clear" w:color="auto" w:fill="FFFFFF"/>
        </w:rPr>
        <w:t>-</w:t>
      </w:r>
      <w:r w:rsidRPr="00AC42ED">
        <w:rPr>
          <w:shd w:val="clear" w:color="auto" w:fill="FFFFFF"/>
        </w:rPr>
        <w:t>114.</w:t>
      </w:r>
      <w:r w:rsidRPr="00AC42ED">
        <w:rPr>
          <w:shd w:val="clear" w:color="auto" w:fill="FFFFFF"/>
          <w:rtl/>
        </w:rPr>
        <w:t>‏</w:t>
      </w:r>
    </w:p>
    <w:p w14:paraId="5A220D9F" w14:textId="77777777" w:rsidR="003945FD" w:rsidRDefault="003945FD" w:rsidP="003945FD">
      <w:pPr>
        <w:spacing w:after="40"/>
        <w:ind w:left="284" w:hanging="284"/>
      </w:pPr>
      <w:r w:rsidRPr="0079593E">
        <w:t xml:space="preserve">Brooks, A.C. (2007). Income tax policy and charitable giving. </w:t>
      </w:r>
      <w:r w:rsidRPr="0079593E">
        <w:rPr>
          <w:i/>
          <w:iCs/>
        </w:rPr>
        <w:t xml:space="preserve">Journal of Policy Analysis and </w:t>
      </w:r>
      <w:r w:rsidRPr="00FA4A76">
        <w:rPr>
          <w:i/>
          <w:iCs/>
        </w:rPr>
        <w:t>Management, 26,</w:t>
      </w:r>
      <w:r>
        <w:t xml:space="preserve"> </w:t>
      </w:r>
      <w:r w:rsidRPr="0079593E">
        <w:t>599–612.</w:t>
      </w:r>
    </w:p>
    <w:p w14:paraId="67717A28" w14:textId="77777777" w:rsidR="003945FD" w:rsidRDefault="003945FD" w:rsidP="003945FD">
      <w:pPr>
        <w:spacing w:after="40"/>
        <w:ind w:left="284" w:hanging="284"/>
      </w:pPr>
      <w:proofErr w:type="spellStart"/>
      <w:r w:rsidRPr="00F95FAE">
        <w:t>Bekkers</w:t>
      </w:r>
      <w:proofErr w:type="spellEnd"/>
      <w:r w:rsidRPr="00F95FAE">
        <w:t xml:space="preserve">, R., &amp; </w:t>
      </w:r>
      <w:proofErr w:type="spellStart"/>
      <w:r w:rsidRPr="00F95FAE">
        <w:t>Wiepking</w:t>
      </w:r>
      <w:proofErr w:type="spellEnd"/>
      <w:r w:rsidRPr="00F95FAE">
        <w:t>, P. (2007). Generosity and philanthropy: A literature review. </w:t>
      </w:r>
      <w:r w:rsidRPr="00F95FAE">
        <w:rPr>
          <w:i/>
          <w:iCs/>
        </w:rPr>
        <w:t>Available at SSRN 1015507</w:t>
      </w:r>
      <w:r w:rsidRPr="00F95FAE">
        <w:t>.</w:t>
      </w:r>
      <w:r w:rsidRPr="00F95FAE">
        <w:rPr>
          <w:rtl/>
        </w:rPr>
        <w:t>‏</w:t>
      </w:r>
    </w:p>
    <w:p w14:paraId="076831DE" w14:textId="77777777" w:rsidR="003945FD" w:rsidRDefault="003945FD" w:rsidP="003945FD">
      <w:pPr>
        <w:spacing w:after="40"/>
        <w:ind w:left="284" w:hanging="284"/>
      </w:pPr>
      <w:r w:rsidRPr="00FA4A76">
        <w:t xml:space="preserve">Brooks, A. C. (2004). The effects of public policy on private charity. </w:t>
      </w:r>
      <w:r w:rsidRPr="00FA4A76">
        <w:rPr>
          <w:i/>
          <w:iCs/>
        </w:rPr>
        <w:t>Administration &amp; Society,</w:t>
      </w:r>
      <w:r w:rsidRPr="00FA4A76">
        <w:t xml:space="preserve"> </w:t>
      </w:r>
      <w:r w:rsidRPr="00FA4A76">
        <w:rPr>
          <w:i/>
          <w:iCs/>
        </w:rPr>
        <w:t>36</w:t>
      </w:r>
      <w:r w:rsidRPr="00E234C8">
        <w:t>(2),</w:t>
      </w:r>
      <w:r w:rsidRPr="00FA4A76">
        <w:t xml:space="preserve"> 166-185.</w:t>
      </w:r>
      <w:r w:rsidRPr="00FA4A76">
        <w:rPr>
          <w:rtl/>
        </w:rPr>
        <w:t>‏</w:t>
      </w:r>
    </w:p>
    <w:p w14:paraId="434DC340" w14:textId="77777777" w:rsidR="003945FD" w:rsidRPr="00876268" w:rsidRDefault="003945FD" w:rsidP="003945FD">
      <w:pPr>
        <w:spacing w:after="40"/>
        <w:ind w:left="284" w:hanging="284"/>
      </w:pPr>
      <w:r w:rsidRPr="00DA3D9B">
        <w:t>Bradley, R., Holden, S., &amp; McClelland, R. (2005). A robust estimation of the effects of taxation on charitable contributions. </w:t>
      </w:r>
      <w:r w:rsidRPr="00DA3D9B">
        <w:rPr>
          <w:i/>
          <w:iCs/>
        </w:rPr>
        <w:t>Contemporary Economic Policy</w:t>
      </w:r>
      <w:r w:rsidRPr="00DA3D9B">
        <w:t>, </w:t>
      </w:r>
      <w:r w:rsidRPr="00DA3D9B">
        <w:rPr>
          <w:i/>
          <w:iCs/>
        </w:rPr>
        <w:t>23</w:t>
      </w:r>
      <w:r w:rsidRPr="00DA3D9B">
        <w:t>(4), 545-554.</w:t>
      </w:r>
      <w:r w:rsidRPr="00DA3D9B">
        <w:rPr>
          <w:rtl/>
        </w:rPr>
        <w:t>‏</w:t>
      </w:r>
    </w:p>
    <w:p w14:paraId="19485188" w14:textId="77777777" w:rsidR="003945FD" w:rsidRDefault="003945FD" w:rsidP="003945FD">
      <w:pPr>
        <w:spacing w:after="40"/>
        <w:ind w:left="284" w:hanging="284"/>
      </w:pPr>
      <w:proofErr w:type="spellStart"/>
      <w:r w:rsidRPr="00EC6796">
        <w:t>Bullain</w:t>
      </w:r>
      <w:proofErr w:type="spellEnd"/>
      <w:r w:rsidRPr="00EC6796">
        <w:t>, N. (2004)</w:t>
      </w:r>
      <w:r>
        <w:t>.</w:t>
      </w:r>
      <w:r w:rsidRPr="00EC6796">
        <w:t xml:space="preserve"> Explaining Percentage Philanthropy: Legal Nature, Rationales, Impacts</w:t>
      </w:r>
      <w:r>
        <w:t xml:space="preserve">. </w:t>
      </w:r>
      <w:r w:rsidRPr="00EC6796">
        <w:t xml:space="preserve"> </w:t>
      </w:r>
      <w:r w:rsidRPr="00EC6796">
        <w:rPr>
          <w:i/>
          <w:iCs/>
        </w:rPr>
        <w:t>International Journal of Not-for-Profit Law</w:t>
      </w:r>
      <w:r>
        <w:t xml:space="preserve">, </w:t>
      </w:r>
      <w:r w:rsidRPr="00E234C8">
        <w:rPr>
          <w:i/>
          <w:iCs/>
        </w:rPr>
        <w:t>6</w:t>
      </w:r>
      <w:r w:rsidRPr="00EC6796">
        <w:t>(4).</w:t>
      </w:r>
    </w:p>
    <w:p w14:paraId="066C9BBC" w14:textId="77777777" w:rsidR="003945FD" w:rsidRDefault="003945FD" w:rsidP="003945FD">
      <w:pPr>
        <w:spacing w:after="40"/>
        <w:ind w:left="284" w:hanging="284"/>
      </w:pPr>
      <w:r w:rsidRPr="00B6522B">
        <w:t>Clotfelter</w:t>
      </w:r>
      <w:r>
        <w:t>,</w:t>
      </w:r>
      <w:r w:rsidRPr="00B6522B">
        <w:t xml:space="preserve"> C. T. (</w:t>
      </w:r>
      <w:r>
        <w:t>1985</w:t>
      </w:r>
      <w:r w:rsidRPr="00B6522B">
        <w:t>). </w:t>
      </w:r>
      <w:r w:rsidRPr="00B6522B">
        <w:rPr>
          <w:i/>
          <w:iCs/>
        </w:rPr>
        <w:t>Federal tax policy and charitable giving</w:t>
      </w:r>
      <w:r w:rsidRPr="00B6522B">
        <w:t>. University of Chicago Press.</w:t>
      </w:r>
      <w:r w:rsidRPr="00B6522B">
        <w:rPr>
          <w:rtl/>
        </w:rPr>
        <w:t>‏</w:t>
      </w:r>
    </w:p>
    <w:p w14:paraId="0F9F4029" w14:textId="77777777" w:rsidR="003945FD" w:rsidRPr="00AC42ED" w:rsidRDefault="003945FD" w:rsidP="003945FD">
      <w:pPr>
        <w:spacing w:after="40"/>
        <w:ind w:left="284" w:hanging="284"/>
        <w:rPr>
          <w:rtl/>
        </w:rPr>
      </w:pPr>
      <w:r w:rsidRPr="00AC42ED">
        <w:t xml:space="preserve">Currie, J. (2004). </w:t>
      </w:r>
      <w:r w:rsidRPr="00FA4A76">
        <w:t>The take up of social benefits</w:t>
      </w:r>
      <w:r w:rsidRPr="00AC42ED">
        <w:t>.</w:t>
      </w:r>
      <w:r w:rsidRPr="00AC42ED">
        <w:rPr>
          <w:rtl/>
        </w:rPr>
        <w:t>‏</w:t>
      </w:r>
      <w:r w:rsidRPr="00AC42ED">
        <w:t xml:space="preserve"> </w:t>
      </w:r>
      <w:r w:rsidRPr="00AC42ED">
        <w:rPr>
          <w:i/>
          <w:iCs/>
        </w:rPr>
        <w:t>NBER Working Paper</w:t>
      </w:r>
      <w:r w:rsidRPr="00AC42ED">
        <w:t>: 10488. Cambridge, MA.</w:t>
      </w:r>
    </w:p>
    <w:p w14:paraId="6B6D1598" w14:textId="77777777" w:rsidR="003945FD" w:rsidRDefault="003945FD" w:rsidP="003945FD">
      <w:pPr>
        <w:spacing w:after="40"/>
        <w:ind w:left="284" w:hanging="284"/>
      </w:pPr>
      <w:proofErr w:type="spellStart"/>
      <w:r w:rsidRPr="00690C78">
        <w:t>Fack</w:t>
      </w:r>
      <w:proofErr w:type="spellEnd"/>
      <w:r w:rsidRPr="00690C78">
        <w:t>, G., &amp; Landais, C. (2010). Are tax incentives for charitable giving efficient? Evidence from France. </w:t>
      </w:r>
      <w:r w:rsidRPr="00690C78">
        <w:rPr>
          <w:i/>
          <w:iCs/>
        </w:rPr>
        <w:t>American Economic Journal: Economic Policy</w:t>
      </w:r>
      <w:r w:rsidRPr="00690C78">
        <w:t>, </w:t>
      </w:r>
      <w:r w:rsidRPr="00690C78">
        <w:rPr>
          <w:i/>
          <w:iCs/>
        </w:rPr>
        <w:t>2</w:t>
      </w:r>
      <w:r w:rsidRPr="00690C78">
        <w:t>(2), 117-141.</w:t>
      </w:r>
      <w:r w:rsidRPr="00690C78">
        <w:rPr>
          <w:rtl/>
        </w:rPr>
        <w:t>‏</w:t>
      </w:r>
    </w:p>
    <w:p w14:paraId="52E26AF8" w14:textId="77777777" w:rsidR="003945FD" w:rsidRPr="00D34809" w:rsidRDefault="003945FD" w:rsidP="003945FD">
      <w:pPr>
        <w:spacing w:after="40"/>
        <w:ind w:left="284" w:hanging="284"/>
      </w:pPr>
      <w:proofErr w:type="spellStart"/>
      <w:r w:rsidRPr="00D34809">
        <w:t>Hansmann</w:t>
      </w:r>
      <w:proofErr w:type="spellEnd"/>
      <w:r w:rsidRPr="00D34809">
        <w:t xml:space="preserve">, H. (1987). Economic theories of nonprofit organizations. </w:t>
      </w:r>
      <w:r w:rsidRPr="00D34809">
        <w:rPr>
          <w:i/>
          <w:iCs/>
        </w:rPr>
        <w:t>The nonprofit sector: Research handbook</w:t>
      </w:r>
      <w:r w:rsidRPr="00D34809">
        <w:t>, 2</w:t>
      </w:r>
      <w:r w:rsidRPr="00D34809">
        <w:rPr>
          <w:rtl/>
        </w:rPr>
        <w:t>7</w:t>
      </w:r>
      <w:r w:rsidRPr="00D34809">
        <w:t>–42</w:t>
      </w:r>
      <w:r>
        <w:t>.</w:t>
      </w:r>
    </w:p>
    <w:p w14:paraId="532E8495" w14:textId="77777777" w:rsidR="003945FD" w:rsidRDefault="003945FD" w:rsidP="003945FD">
      <w:pPr>
        <w:spacing w:after="40"/>
        <w:ind w:left="284" w:hanging="284"/>
        <w:rPr>
          <w:szCs w:val="24"/>
        </w:rPr>
      </w:pPr>
      <w:r>
        <w:lastRenderedPageBreak/>
        <w:t xml:space="preserve">Hazan, O. (2021). </w:t>
      </w:r>
      <w:r w:rsidRPr="00CE75F2">
        <w:rPr>
          <w:i/>
          <w:iCs/>
        </w:rPr>
        <w:t xml:space="preserve">Donations to Israeli </w:t>
      </w:r>
      <w:r>
        <w:rPr>
          <w:i/>
          <w:iCs/>
        </w:rPr>
        <w:t>nonprofit</w:t>
      </w:r>
      <w:r w:rsidRPr="00CE75F2">
        <w:rPr>
          <w:i/>
          <w:iCs/>
        </w:rPr>
        <w:t>s: Comparative research</w:t>
      </w:r>
      <w:r>
        <w:rPr>
          <w:szCs w:val="24"/>
        </w:rPr>
        <w:t xml:space="preserve">. The institute for law and philanthropy at Tel-Aviv university. </w:t>
      </w:r>
    </w:p>
    <w:p w14:paraId="3AA135D3" w14:textId="77777777" w:rsidR="003945FD" w:rsidRPr="00AC42ED" w:rsidRDefault="003945FD" w:rsidP="003945FD">
      <w:pPr>
        <w:spacing w:after="40"/>
        <w:ind w:left="284" w:hanging="284"/>
        <w:rPr>
          <w:rtl/>
        </w:rPr>
      </w:pPr>
      <w:r w:rsidRPr="00AC42ED">
        <w:t xml:space="preserve">Huber, G. L., </w:t>
      </w:r>
      <w:proofErr w:type="spellStart"/>
      <w:r w:rsidRPr="00AC42ED">
        <w:t>Pittavino</w:t>
      </w:r>
      <w:proofErr w:type="spellEnd"/>
      <w:r w:rsidRPr="00AC42ED">
        <w:t xml:space="preserve">, M., &amp; Peter, H. (2021). Tax </w:t>
      </w:r>
      <w:r>
        <w:t>benefit</w:t>
      </w:r>
      <w:r w:rsidRPr="00AC42ED">
        <w:t xml:space="preserve">s for charitable giving: Evidence from the Swiss Canton of Geneva. In: </w:t>
      </w:r>
      <w:r w:rsidRPr="00AC42ED">
        <w:rPr>
          <w:i/>
          <w:iCs/>
        </w:rPr>
        <w:t>The Routledge Handbook of Taxation and Philanthropy</w:t>
      </w:r>
      <w:r w:rsidRPr="00AC42ED">
        <w:t xml:space="preserve"> (pp. 25</w:t>
      </w:r>
      <w:r w:rsidRPr="00AC42ED">
        <w:rPr>
          <w:rtl/>
        </w:rPr>
        <w:t>3</w:t>
      </w:r>
      <w:r w:rsidRPr="00AC42ED">
        <w:t>–267). Routledge.</w:t>
      </w:r>
      <w:r w:rsidRPr="00AC42ED">
        <w:rPr>
          <w:rtl/>
        </w:rPr>
        <w:t>‏</w:t>
      </w:r>
    </w:p>
    <w:p w14:paraId="559AB67E" w14:textId="77777777" w:rsidR="003945FD" w:rsidRDefault="003945FD" w:rsidP="003945FD">
      <w:pPr>
        <w:spacing w:after="40"/>
        <w:ind w:left="284" w:hanging="284"/>
      </w:pPr>
      <w:r w:rsidRPr="00437C8C">
        <w:t>Khan, A. A. (2012). Religious obligation or altruistic giving? Muslims and charitable donations. </w:t>
      </w:r>
      <w:r w:rsidRPr="00437C8C">
        <w:rPr>
          <w:i/>
          <w:iCs/>
        </w:rPr>
        <w:t>Sacred aid: Faith and humanitarianism</w:t>
      </w:r>
      <w:r w:rsidRPr="00437C8C">
        <w:t>, 90-114.</w:t>
      </w:r>
      <w:r w:rsidRPr="00437C8C">
        <w:rPr>
          <w:rtl/>
        </w:rPr>
        <w:t>‏</w:t>
      </w:r>
    </w:p>
    <w:p w14:paraId="2B57ED9F" w14:textId="77777777" w:rsidR="003945FD" w:rsidRPr="00AC42ED" w:rsidRDefault="003945FD" w:rsidP="003945FD">
      <w:pPr>
        <w:spacing w:after="40"/>
        <w:ind w:left="284" w:hanging="284"/>
      </w:pPr>
      <w:proofErr w:type="spellStart"/>
      <w:r w:rsidRPr="00AC42ED">
        <w:t>Lasby</w:t>
      </w:r>
      <w:proofErr w:type="spellEnd"/>
      <w:r w:rsidRPr="00AC42ED">
        <w:t xml:space="preserve">, D., &amp; Barr, C. W. (2018). </w:t>
      </w:r>
      <w:r w:rsidRPr="003868DF">
        <w:rPr>
          <w:i/>
          <w:iCs/>
        </w:rPr>
        <w:t xml:space="preserve">30 Years of Giving in Canada: The Giving </w:t>
      </w:r>
      <w:proofErr w:type="spellStart"/>
      <w:r w:rsidRPr="003868DF">
        <w:rPr>
          <w:i/>
          <w:iCs/>
        </w:rPr>
        <w:t>Behaviour</w:t>
      </w:r>
      <w:proofErr w:type="spellEnd"/>
      <w:r w:rsidRPr="003868DF">
        <w:rPr>
          <w:i/>
          <w:iCs/>
        </w:rPr>
        <w:t xml:space="preserve"> of Canadians: Who Gives, How, and Why?</w:t>
      </w:r>
      <w:r w:rsidRPr="00AC42ED">
        <w:t xml:space="preserve"> Rideau Hall Foundation and Imagine Canada.</w:t>
      </w:r>
      <w:r w:rsidRPr="00AC42ED">
        <w:rPr>
          <w:rtl/>
        </w:rPr>
        <w:t>‏</w:t>
      </w:r>
    </w:p>
    <w:p w14:paraId="6743AB2D" w14:textId="77777777" w:rsidR="003945FD" w:rsidRPr="00AC42ED" w:rsidRDefault="003945FD" w:rsidP="003945FD">
      <w:pPr>
        <w:spacing w:after="40"/>
        <w:ind w:left="284" w:hanging="284"/>
        <w:rPr>
          <w:shd w:val="clear" w:color="auto" w:fill="FFFFFF"/>
        </w:rPr>
      </w:pPr>
      <w:r w:rsidRPr="00FA4407">
        <w:rPr>
          <w:shd w:val="clear" w:color="auto" w:fill="FFFFFF"/>
        </w:rPr>
        <w:t xml:space="preserve">Lawrence, T. B., &amp; Suddaby, R. (2006). institutions and institutional work. </w:t>
      </w:r>
      <w:r w:rsidRPr="00FA4407">
        <w:rPr>
          <w:i/>
          <w:iCs/>
          <w:shd w:val="clear" w:color="auto" w:fill="FFFFFF"/>
        </w:rPr>
        <w:t>The Sage handbook of organization studies</w:t>
      </w:r>
      <w:r w:rsidRPr="00FA4407">
        <w:rPr>
          <w:shd w:val="clear" w:color="auto" w:fill="FFFFFF"/>
        </w:rPr>
        <w:t>, 215-254.</w:t>
      </w:r>
      <w:r w:rsidRPr="00FA4407">
        <w:rPr>
          <w:shd w:val="clear" w:color="auto" w:fill="FFFFFF"/>
          <w:rtl/>
        </w:rPr>
        <w:t>‏</w:t>
      </w:r>
    </w:p>
    <w:p w14:paraId="2A0AC2F4" w14:textId="77777777" w:rsidR="003945FD" w:rsidRPr="00AC42ED" w:rsidRDefault="003945FD" w:rsidP="003945FD">
      <w:pPr>
        <w:spacing w:after="40"/>
        <w:ind w:left="284" w:hanging="284"/>
        <w:rPr>
          <w:shd w:val="clear" w:color="auto" w:fill="FFFFFF"/>
        </w:rPr>
      </w:pPr>
      <w:r w:rsidRPr="00AC42ED">
        <w:rPr>
          <w:shd w:val="clear" w:color="auto" w:fill="FFFFFF"/>
        </w:rPr>
        <w:t xml:space="preserve">Margalioth, Y. (2017). How Charitable Is the Charitable Contribution Deduction?  </w:t>
      </w:r>
      <w:r w:rsidRPr="00AC42ED">
        <w:rPr>
          <w:i/>
          <w:iCs/>
          <w:shd w:val="clear" w:color="auto" w:fill="FFFFFF"/>
        </w:rPr>
        <w:t>Theoretical Inquiries in Law</w:t>
      </w:r>
      <w:r w:rsidRPr="00AC42ED">
        <w:rPr>
          <w:shd w:val="clear" w:color="auto" w:fill="FFFFFF"/>
        </w:rPr>
        <w:t xml:space="preserve">, </w:t>
      </w:r>
      <w:r w:rsidRPr="00FA4A76">
        <w:rPr>
          <w:i/>
          <w:iCs/>
          <w:shd w:val="clear" w:color="auto" w:fill="FFFFFF"/>
        </w:rPr>
        <w:t>18</w:t>
      </w:r>
      <w:r w:rsidRPr="003868DF">
        <w:rPr>
          <w:shd w:val="clear" w:color="auto" w:fill="FFFFFF"/>
        </w:rPr>
        <w:t xml:space="preserve">(1), </w:t>
      </w:r>
      <w:r w:rsidRPr="00AC42ED">
        <w:rPr>
          <w:shd w:val="clear" w:color="auto" w:fill="FFFFFF"/>
        </w:rPr>
        <w:t>37–60.</w:t>
      </w:r>
    </w:p>
    <w:p w14:paraId="79E5C9CD" w14:textId="77777777" w:rsidR="003945FD" w:rsidRPr="00AC42ED" w:rsidRDefault="003945FD" w:rsidP="003945FD">
      <w:pPr>
        <w:spacing w:after="40"/>
        <w:ind w:left="284" w:hanging="284"/>
        <w:rPr>
          <w:shd w:val="clear" w:color="auto" w:fill="FFFFFF"/>
        </w:rPr>
      </w:pPr>
      <w:r w:rsidRPr="00AC42ED">
        <w:rPr>
          <w:shd w:val="clear" w:color="auto" w:fill="FFFFFF"/>
        </w:rPr>
        <w:t>OECD (2020). </w:t>
      </w:r>
      <w:hyperlink r:id="rId20" w:history="1">
        <w:r w:rsidRPr="00AC42ED">
          <w:rPr>
            <w:rStyle w:val="Hyperlink"/>
            <w:szCs w:val="24"/>
            <w:shd w:val="clear" w:color="auto" w:fill="FFFFFF"/>
          </w:rPr>
          <w:t>Taxation and Philanthropy</w:t>
        </w:r>
      </w:hyperlink>
      <w:r w:rsidRPr="00AC42ED">
        <w:rPr>
          <w:shd w:val="clear" w:color="auto" w:fill="FFFFFF"/>
        </w:rPr>
        <w:t xml:space="preserve">. </w:t>
      </w:r>
      <w:r w:rsidRPr="00AC42ED">
        <w:rPr>
          <w:i/>
          <w:iCs/>
          <w:shd w:val="clear" w:color="auto" w:fill="FFFFFF"/>
        </w:rPr>
        <w:t>OECD Tax Policy Studies</w:t>
      </w:r>
      <w:r w:rsidRPr="00AC42ED">
        <w:rPr>
          <w:shd w:val="clear" w:color="auto" w:fill="FFFFFF"/>
        </w:rPr>
        <w:t xml:space="preserve">, </w:t>
      </w:r>
      <w:r w:rsidRPr="00FA4A76">
        <w:rPr>
          <w:i/>
          <w:iCs/>
          <w:shd w:val="clear" w:color="auto" w:fill="FFFFFF"/>
        </w:rPr>
        <w:t>27</w:t>
      </w:r>
      <w:r w:rsidRPr="00AC42ED">
        <w:rPr>
          <w:shd w:val="clear" w:color="auto" w:fill="FFFFFF"/>
        </w:rPr>
        <w:t xml:space="preserve">, OECD Publishing, Paris. </w:t>
      </w:r>
    </w:p>
    <w:p w14:paraId="7F7BC264" w14:textId="77777777" w:rsidR="003945FD" w:rsidRPr="00AC42ED" w:rsidRDefault="003945FD" w:rsidP="003945FD">
      <w:pPr>
        <w:spacing w:after="40"/>
        <w:ind w:left="284" w:hanging="284"/>
        <w:rPr>
          <w:shd w:val="clear" w:color="auto" w:fill="FFFFFF"/>
        </w:rPr>
      </w:pPr>
      <w:bookmarkStart w:id="10" w:name="_Hlk94632818"/>
      <w:proofErr w:type="spellStart"/>
      <w:r w:rsidRPr="00AC42ED">
        <w:rPr>
          <w:shd w:val="clear" w:color="auto" w:fill="FFFFFF"/>
        </w:rPr>
        <w:t>Osili</w:t>
      </w:r>
      <w:proofErr w:type="spellEnd"/>
      <w:r w:rsidRPr="00AC42ED">
        <w:rPr>
          <w:shd w:val="clear" w:color="auto" w:fill="FFFFFF"/>
        </w:rPr>
        <w:t xml:space="preserve">, U., </w:t>
      </w:r>
      <w:proofErr w:type="spellStart"/>
      <w:r w:rsidRPr="00AC42ED">
        <w:rPr>
          <w:shd w:val="clear" w:color="auto" w:fill="FFFFFF"/>
        </w:rPr>
        <w:t>Zarins</w:t>
      </w:r>
      <w:proofErr w:type="spellEnd"/>
      <w:r w:rsidRPr="00AC42ED">
        <w:rPr>
          <w:shd w:val="clear" w:color="auto" w:fill="FFFFFF"/>
        </w:rPr>
        <w:t xml:space="preserve">, S., &amp; Han, X. (2021). </w:t>
      </w:r>
      <w:hyperlink r:id="rId21" w:history="1">
        <w:r w:rsidRPr="00AC42ED">
          <w:rPr>
            <w:rStyle w:val="Hyperlink"/>
            <w:i/>
            <w:iCs/>
            <w:szCs w:val="24"/>
            <w:shd w:val="clear" w:color="auto" w:fill="FFFFFF"/>
          </w:rPr>
          <w:t>The Giving Environment: Understanding Pre-Pandemic Trends in Charitable Giving</w:t>
        </w:r>
      </w:hyperlink>
      <w:r w:rsidRPr="00AC42ED">
        <w:rPr>
          <w:i/>
          <w:iCs/>
          <w:shd w:val="clear" w:color="auto" w:fill="FFFFFF"/>
        </w:rPr>
        <w:t>.</w:t>
      </w:r>
      <w:r w:rsidRPr="00AC42ED">
        <w:rPr>
          <w:shd w:val="clear" w:color="auto" w:fill="FFFFFF"/>
          <w:rtl/>
        </w:rPr>
        <w:t>‏</w:t>
      </w:r>
      <w:r w:rsidRPr="00AC42ED">
        <w:rPr>
          <w:shd w:val="clear" w:color="auto" w:fill="FFFFFF"/>
        </w:rPr>
        <w:t xml:space="preserve"> Lilly Family School of Philanthropy at IUPUI.</w:t>
      </w:r>
    </w:p>
    <w:p w14:paraId="49DD7F86" w14:textId="77777777" w:rsidR="003945FD" w:rsidRDefault="003945FD" w:rsidP="003945FD">
      <w:pPr>
        <w:spacing w:after="40"/>
        <w:ind w:left="284" w:hanging="284"/>
      </w:pPr>
      <w:proofErr w:type="spellStart"/>
      <w:r w:rsidRPr="003306C4">
        <w:t>Peloza</w:t>
      </w:r>
      <w:proofErr w:type="spellEnd"/>
      <w:r w:rsidRPr="003306C4">
        <w:t>, J., &amp; Steel, P. (2005). The price elasticities of charitable contributions: A meta-analysis. </w:t>
      </w:r>
      <w:r w:rsidRPr="003306C4">
        <w:rPr>
          <w:i/>
          <w:iCs/>
        </w:rPr>
        <w:t>Journal of Public Policy &amp; Marketing</w:t>
      </w:r>
      <w:r w:rsidRPr="003306C4">
        <w:t>, </w:t>
      </w:r>
      <w:r w:rsidRPr="003306C4">
        <w:rPr>
          <w:i/>
          <w:iCs/>
        </w:rPr>
        <w:t>24</w:t>
      </w:r>
      <w:r w:rsidRPr="003306C4">
        <w:t>(2), 260-272.</w:t>
      </w:r>
      <w:r w:rsidRPr="003306C4">
        <w:rPr>
          <w:rtl/>
        </w:rPr>
        <w:t>‏</w:t>
      </w:r>
    </w:p>
    <w:p w14:paraId="517201A2" w14:textId="1CFEA9E3" w:rsidR="003945FD" w:rsidRDefault="003945FD" w:rsidP="003945FD">
      <w:pPr>
        <w:spacing w:after="40"/>
        <w:ind w:left="284" w:hanging="284"/>
      </w:pPr>
      <w:r w:rsidRPr="00AF6BA8">
        <w:t xml:space="preserve">Peter, H., &amp; </w:t>
      </w:r>
      <w:proofErr w:type="spellStart"/>
      <w:r w:rsidRPr="00AF6BA8">
        <w:t>Lideikyte</w:t>
      </w:r>
      <w:proofErr w:type="spellEnd"/>
      <w:r w:rsidRPr="00AF6BA8">
        <w:t xml:space="preserve"> Huber, G. (202</w:t>
      </w:r>
      <w:r w:rsidR="00577DBB">
        <w:t>1</w:t>
      </w:r>
      <w:r w:rsidRPr="00AF6BA8">
        <w:t>). </w:t>
      </w:r>
      <w:r w:rsidRPr="00AF6BA8">
        <w:rPr>
          <w:i/>
          <w:iCs/>
        </w:rPr>
        <w:t>The Routledge Handbook of Taxation and Philanthropy</w:t>
      </w:r>
      <w:r w:rsidRPr="00AF6BA8">
        <w:t> (p. 738). Taylor &amp; Francis.</w:t>
      </w:r>
      <w:r w:rsidRPr="00AF6BA8">
        <w:rPr>
          <w:rtl/>
        </w:rPr>
        <w:t>‏</w:t>
      </w:r>
      <w:r w:rsidRPr="00AF6BA8">
        <w:t xml:space="preserve"> </w:t>
      </w:r>
    </w:p>
    <w:p w14:paraId="1DB58868" w14:textId="77777777" w:rsidR="003945FD" w:rsidRDefault="003945FD" w:rsidP="003945FD">
      <w:pPr>
        <w:spacing w:after="40"/>
        <w:ind w:left="284" w:hanging="284"/>
      </w:pPr>
      <w:r w:rsidRPr="007850F8">
        <w:t xml:space="preserve">Pickering, A., Quick, E., &amp; Kruse, T. A. (2014). </w:t>
      </w:r>
      <w:hyperlink r:id="rId22" w:history="1">
        <w:r w:rsidRPr="00FA4A76">
          <w:rPr>
            <w:rStyle w:val="Hyperlink"/>
            <w:i/>
            <w:iCs/>
            <w:szCs w:val="24"/>
          </w:rPr>
          <w:t>Rules to Give By: A Global Philanthropy Legal Environment Index.</w:t>
        </w:r>
      </w:hyperlink>
      <w:r w:rsidRPr="007850F8">
        <w:rPr>
          <w:rtl/>
        </w:rPr>
        <w:t>‏</w:t>
      </w:r>
    </w:p>
    <w:p w14:paraId="583ECE7A" w14:textId="77777777" w:rsidR="003945FD" w:rsidRDefault="003945FD" w:rsidP="003945FD">
      <w:pPr>
        <w:spacing w:after="40"/>
        <w:ind w:left="284" w:hanging="284"/>
      </w:pPr>
      <w:r w:rsidRPr="00690C78">
        <w:t>Randolph, W. C. (1995). Dynamic income, progressive taxes, and the timing of charitable contributions. </w:t>
      </w:r>
      <w:r w:rsidRPr="00690C78">
        <w:rPr>
          <w:i/>
          <w:iCs/>
        </w:rPr>
        <w:t>Journal of Political Economy</w:t>
      </w:r>
      <w:r w:rsidRPr="00690C78">
        <w:t>, </w:t>
      </w:r>
      <w:r w:rsidRPr="00690C78">
        <w:rPr>
          <w:i/>
          <w:iCs/>
        </w:rPr>
        <w:t>103</w:t>
      </w:r>
      <w:r w:rsidRPr="00690C78">
        <w:t>(4), 709-738.</w:t>
      </w:r>
      <w:r w:rsidRPr="00690C78">
        <w:rPr>
          <w:rtl/>
        </w:rPr>
        <w:t>‏</w:t>
      </w:r>
    </w:p>
    <w:p w14:paraId="7C841035" w14:textId="77777777" w:rsidR="003945FD" w:rsidRDefault="003945FD" w:rsidP="003945FD">
      <w:pPr>
        <w:spacing w:after="40"/>
        <w:ind w:left="284" w:hanging="284"/>
      </w:pPr>
      <w:proofErr w:type="spellStart"/>
      <w:r w:rsidRPr="00690C78">
        <w:t>Saeri</w:t>
      </w:r>
      <w:proofErr w:type="spellEnd"/>
      <w:r w:rsidRPr="00690C78">
        <w:t xml:space="preserve">, A. K., Slattery, P., Lee, J., </w:t>
      </w:r>
      <w:proofErr w:type="spellStart"/>
      <w:r w:rsidRPr="00690C78">
        <w:t>Houlden</w:t>
      </w:r>
      <w:proofErr w:type="spellEnd"/>
      <w:r w:rsidRPr="00690C78">
        <w:t xml:space="preserve">, T., Farr, N., </w:t>
      </w:r>
      <w:proofErr w:type="spellStart"/>
      <w:r w:rsidRPr="00690C78">
        <w:t>Gelber</w:t>
      </w:r>
      <w:proofErr w:type="spellEnd"/>
      <w:r w:rsidRPr="00690C78">
        <w:t xml:space="preserve">, R. L., ... &amp; </w:t>
      </w:r>
      <w:proofErr w:type="spellStart"/>
      <w:r w:rsidRPr="00690C78">
        <w:t>Zorker</w:t>
      </w:r>
      <w:proofErr w:type="spellEnd"/>
      <w:r w:rsidRPr="00690C78">
        <w:t>, M. (2022). What works to increase charitable donations? A meta-review with meta-meta-analysis. </w:t>
      </w:r>
      <w:proofErr w:type="spellStart"/>
      <w:r w:rsidRPr="00DA3D9B">
        <w:rPr>
          <w:i/>
          <w:iCs/>
        </w:rPr>
        <w:t>Voluntas</w:t>
      </w:r>
      <w:proofErr w:type="spellEnd"/>
      <w:r>
        <w:rPr>
          <w:i/>
          <w:iCs/>
        </w:rPr>
        <w:t xml:space="preserve">: </w:t>
      </w:r>
      <w:r w:rsidRPr="00690C78">
        <w:rPr>
          <w:i/>
          <w:iCs/>
        </w:rPr>
        <w:t>International Journal of Voluntary and Nonprofit Organizations</w:t>
      </w:r>
      <w:r w:rsidRPr="00690C78">
        <w:t>, 1-17.</w:t>
      </w:r>
      <w:r w:rsidRPr="00690C78">
        <w:rPr>
          <w:rtl/>
        </w:rPr>
        <w:t>‏</w:t>
      </w:r>
    </w:p>
    <w:p w14:paraId="716EC50D" w14:textId="77777777" w:rsidR="003945FD" w:rsidRDefault="003945FD" w:rsidP="003945FD">
      <w:pPr>
        <w:spacing w:after="40"/>
        <w:ind w:left="284" w:hanging="284"/>
      </w:pPr>
      <w:proofErr w:type="spellStart"/>
      <w:r w:rsidRPr="005E122D">
        <w:t>Solnik</w:t>
      </w:r>
      <w:proofErr w:type="spellEnd"/>
      <w:r w:rsidRPr="005E122D">
        <w:t xml:space="preserve">, </w:t>
      </w:r>
      <w:r>
        <w:t>E</w:t>
      </w:r>
      <w:r w:rsidRPr="005E122D">
        <w:t xml:space="preserve">. (2019). </w:t>
      </w:r>
      <w:r w:rsidRPr="005E122D">
        <w:rPr>
          <w:i/>
          <w:iCs/>
        </w:rPr>
        <w:t>Taxation in the service of pluralism: The mechanism of providing tax benefits for donations: the applicability of section 46 of the Income Tax Ordinance</w:t>
      </w:r>
      <w:r w:rsidRPr="005E122D">
        <w:t>. PhD thesis. Faculty of Law, Tel Aviv University.</w:t>
      </w:r>
    </w:p>
    <w:p w14:paraId="418A710B" w14:textId="77777777" w:rsidR="003945FD" w:rsidRDefault="003945FD" w:rsidP="003945FD">
      <w:pPr>
        <w:ind w:left="284" w:hanging="284"/>
      </w:pPr>
      <w:r w:rsidRPr="00DA3D9B">
        <w:t>Steinberg, R. (1990). Taxes and giving: New findings. </w:t>
      </w:r>
      <w:proofErr w:type="spellStart"/>
      <w:r w:rsidRPr="00DA3D9B">
        <w:rPr>
          <w:i/>
          <w:iCs/>
        </w:rPr>
        <w:t>Voluntas</w:t>
      </w:r>
      <w:proofErr w:type="spellEnd"/>
      <w:r w:rsidRPr="00DA3D9B">
        <w:rPr>
          <w:i/>
          <w:iCs/>
        </w:rPr>
        <w:t>:</w:t>
      </w:r>
      <w:r>
        <w:rPr>
          <w:i/>
          <w:iCs/>
        </w:rPr>
        <w:t xml:space="preserve"> </w:t>
      </w:r>
      <w:r w:rsidRPr="00DA3D9B">
        <w:rPr>
          <w:i/>
          <w:iCs/>
        </w:rPr>
        <w:t>International Journal of Voluntary and nonprofit organizations</w:t>
      </w:r>
      <w:r w:rsidRPr="00DA3D9B">
        <w:t>, </w:t>
      </w:r>
      <w:r w:rsidRPr="00DA3D9B">
        <w:rPr>
          <w:i/>
          <w:iCs/>
        </w:rPr>
        <w:t>1</w:t>
      </w:r>
      <w:r w:rsidRPr="00DA3D9B">
        <w:t>(2), 61-79.</w:t>
      </w:r>
      <w:r w:rsidRPr="00DA3D9B">
        <w:rPr>
          <w:rtl/>
        </w:rPr>
        <w:t>‏</w:t>
      </w:r>
    </w:p>
    <w:p w14:paraId="771F8D6E" w14:textId="77777777" w:rsidR="003945FD" w:rsidRPr="00AC42ED" w:rsidRDefault="003945FD" w:rsidP="003945FD">
      <w:pPr>
        <w:spacing w:after="40"/>
        <w:ind w:left="284" w:hanging="284"/>
        <w:rPr>
          <w:shd w:val="clear" w:color="auto" w:fill="FFFFFF"/>
        </w:rPr>
      </w:pPr>
      <w:r w:rsidRPr="003822F5">
        <w:rPr>
          <w:shd w:val="clear" w:color="auto" w:fill="FFFFFF"/>
        </w:rPr>
        <w:t>Sunstein</w:t>
      </w:r>
      <w:bookmarkEnd w:id="10"/>
      <w:r w:rsidRPr="003822F5">
        <w:rPr>
          <w:shd w:val="clear" w:color="auto" w:fill="FFFFFF"/>
        </w:rPr>
        <w:t xml:space="preserve">, C. R. (2014). The real world of cost-benefit analysis: thirty-six questions (and almost as many answers). </w:t>
      </w:r>
      <w:r w:rsidRPr="003822F5">
        <w:rPr>
          <w:i/>
          <w:iCs/>
          <w:shd w:val="clear" w:color="auto" w:fill="FFFFFF"/>
        </w:rPr>
        <w:t>Columbia Law Review</w:t>
      </w:r>
      <w:r w:rsidRPr="003822F5">
        <w:rPr>
          <w:shd w:val="clear" w:color="auto" w:fill="FFFFFF"/>
        </w:rPr>
        <w:t>, 167-211.</w:t>
      </w:r>
      <w:r w:rsidRPr="003822F5">
        <w:rPr>
          <w:shd w:val="clear" w:color="auto" w:fill="FFFFFF"/>
          <w:rtl/>
        </w:rPr>
        <w:t>‏</w:t>
      </w:r>
    </w:p>
    <w:p w14:paraId="1081BE62" w14:textId="77777777" w:rsidR="003945FD" w:rsidRPr="00AC42ED" w:rsidRDefault="003945FD" w:rsidP="003945FD">
      <w:pPr>
        <w:spacing w:after="40"/>
        <w:ind w:left="284" w:hanging="284"/>
      </w:pPr>
      <w:r w:rsidRPr="00AC42ED">
        <w:rPr>
          <w:shd w:val="clear" w:color="auto" w:fill="FFFFFF"/>
        </w:rPr>
        <w:t>Urban-Brookings Tax Policy Center (2018), </w:t>
      </w:r>
      <w:hyperlink r:id="rId23" w:history="1">
        <w:r w:rsidRPr="003868DF">
          <w:rPr>
            <w:rStyle w:val="Hyperlink"/>
            <w:i/>
            <w:iCs/>
            <w:szCs w:val="24"/>
            <w:shd w:val="clear" w:color="auto" w:fill="FFFFFF"/>
          </w:rPr>
          <w:t>How did the Tax Cuts and Jobs Act affect benefits for charitable</w:t>
        </w:r>
      </w:hyperlink>
      <w:r w:rsidRPr="00AC42ED">
        <w:rPr>
          <w:shd w:val="clear" w:color="auto" w:fill="FFFFFF"/>
        </w:rPr>
        <w:t>.</w:t>
      </w:r>
    </w:p>
    <w:p w14:paraId="5C716E2C" w14:textId="77777777" w:rsidR="003945FD" w:rsidRDefault="003945FD" w:rsidP="003945FD">
      <w:pPr>
        <w:spacing w:after="40"/>
        <w:ind w:left="284" w:hanging="284"/>
      </w:pPr>
    </w:p>
    <w:p w14:paraId="069C6D26" w14:textId="77777777" w:rsidR="003945FD" w:rsidRPr="00876268" w:rsidRDefault="003945FD" w:rsidP="003945FD">
      <w:pPr>
        <w:pStyle w:val="Title"/>
        <w:spacing w:after="40"/>
      </w:pPr>
      <w:r w:rsidRPr="00876268">
        <w:t>Official reports and</w:t>
      </w:r>
      <w:r>
        <w:t xml:space="preserve"> open</w:t>
      </w:r>
      <w:r w:rsidRPr="00876268">
        <w:t xml:space="preserve"> data sources </w:t>
      </w:r>
    </w:p>
    <w:p w14:paraId="3A13F225" w14:textId="77777777" w:rsidR="003945FD" w:rsidRPr="00876268" w:rsidRDefault="00000000" w:rsidP="003945FD">
      <w:pPr>
        <w:spacing w:after="40"/>
        <w:ind w:left="284" w:hanging="284"/>
        <w:rPr>
          <w:szCs w:val="24"/>
        </w:rPr>
      </w:pPr>
      <w:hyperlink r:id="rId24" w:history="1">
        <w:r w:rsidR="003945FD" w:rsidRPr="00876268">
          <w:rPr>
            <w:rStyle w:val="Hyperlink"/>
          </w:rPr>
          <w:t xml:space="preserve"> A background document prepared by the legal advisor to the Finance Committee dated May 6</w:t>
        </w:r>
        <w:r w:rsidR="003945FD" w:rsidRPr="00876268">
          <w:rPr>
            <w:rStyle w:val="Hyperlink"/>
            <w:vertAlign w:val="superscript"/>
          </w:rPr>
          <w:t>th</w:t>
        </w:r>
        <w:r w:rsidR="003945FD" w:rsidRPr="00876268">
          <w:rPr>
            <w:rStyle w:val="Hyperlink"/>
          </w:rPr>
          <w:t xml:space="preserve"> 2021</w:t>
        </w:r>
      </w:hyperlink>
      <w:r w:rsidR="003945FD" w:rsidRPr="00876268">
        <w:t>. (In Hebrew).</w:t>
      </w:r>
    </w:p>
    <w:p w14:paraId="2A3D36C8" w14:textId="77777777" w:rsidR="003945FD" w:rsidRPr="00876268" w:rsidRDefault="003945FD" w:rsidP="003945FD">
      <w:pPr>
        <w:spacing w:after="40"/>
        <w:ind w:left="284" w:hanging="284"/>
        <w:rPr>
          <w:szCs w:val="24"/>
          <w:rtl/>
        </w:rPr>
      </w:pPr>
      <w:r w:rsidRPr="00876268">
        <w:rPr>
          <w:szCs w:val="24"/>
        </w:rPr>
        <w:t xml:space="preserve">CRA: Canada Revenue Agency. </w:t>
      </w:r>
      <w:hyperlink r:id="rId25" w:history="1">
        <w:r w:rsidRPr="00876268">
          <w:rPr>
            <w:rStyle w:val="Hyperlink"/>
            <w:szCs w:val="24"/>
          </w:rPr>
          <w:t>T1 Final Statistics 2019 edition (for the 2017 tax year)</w:t>
        </w:r>
      </w:hyperlink>
    </w:p>
    <w:p w14:paraId="096B591F" w14:textId="77777777" w:rsidR="003945FD" w:rsidRPr="00876268" w:rsidRDefault="003945FD" w:rsidP="003945FD">
      <w:pPr>
        <w:spacing w:after="40"/>
        <w:ind w:left="284" w:hanging="284"/>
        <w:rPr>
          <w:szCs w:val="24"/>
        </w:rPr>
      </w:pPr>
      <w:r w:rsidRPr="00876268">
        <w:rPr>
          <w:szCs w:val="24"/>
        </w:rPr>
        <w:t xml:space="preserve">IRS: Internal Revenue Service. </w:t>
      </w:r>
      <w:hyperlink r:id="rId26" w:anchor="_grp2" w:history="1">
        <w:r w:rsidRPr="00876268">
          <w:rPr>
            <w:rStyle w:val="Hyperlink"/>
            <w:szCs w:val="24"/>
          </w:rPr>
          <w:t>SOI Tax Stats – Individual Statistical Tables by Size of Adjusted Gross Income</w:t>
        </w:r>
      </w:hyperlink>
    </w:p>
    <w:p w14:paraId="7646B228" w14:textId="77777777" w:rsidR="003945FD" w:rsidRPr="00876268" w:rsidRDefault="003945FD" w:rsidP="003945FD">
      <w:pPr>
        <w:spacing w:after="40"/>
        <w:ind w:left="284" w:hanging="284"/>
        <w:rPr>
          <w:szCs w:val="24"/>
        </w:rPr>
      </w:pPr>
      <w:r w:rsidRPr="00A51567">
        <w:t>The chief economist of the Ministry of Finance</w:t>
      </w:r>
      <w:r>
        <w:t xml:space="preserve">. </w:t>
      </w:r>
      <w:bookmarkStart w:id="11" w:name="_Hlk135908562"/>
      <w:r w:rsidRPr="00746787">
        <w:rPr>
          <w:i/>
          <w:iCs/>
        </w:rPr>
        <w:t>The state revenue report for the years</w:t>
      </w:r>
      <w:bookmarkEnd w:id="11"/>
      <w:r>
        <w:t xml:space="preserve">: </w:t>
      </w:r>
      <w:hyperlink r:id="rId27" w:history="1">
        <w:r w:rsidRPr="00AF2956">
          <w:rPr>
            <w:rStyle w:val="Hyperlink"/>
            <w:rFonts w:hint="cs"/>
            <w:rtl/>
          </w:rPr>
          <w:t>2004</w:t>
        </w:r>
      </w:hyperlink>
      <w:r>
        <w:rPr>
          <w:rStyle w:val="Hyperlink"/>
          <w:u w:val="none"/>
        </w:rPr>
        <w:t xml:space="preserve">; </w:t>
      </w:r>
      <w:hyperlink r:id="rId28" w:history="1">
        <w:r w:rsidRPr="00AF2956">
          <w:rPr>
            <w:rStyle w:val="Hyperlink"/>
            <w:rFonts w:hint="cs"/>
            <w:rtl/>
          </w:rPr>
          <w:t>2006</w:t>
        </w:r>
      </w:hyperlink>
      <w:r>
        <w:t xml:space="preserve">; </w:t>
      </w:r>
      <w:hyperlink r:id="rId29" w:history="1">
        <w:r w:rsidRPr="00AF2956">
          <w:rPr>
            <w:rStyle w:val="Hyperlink"/>
            <w:rFonts w:hint="cs"/>
            <w:rtl/>
          </w:rPr>
          <w:t>2011</w:t>
        </w:r>
        <w:r>
          <w:rPr>
            <w:rStyle w:val="Hyperlink"/>
            <w:rFonts w:hint="cs"/>
            <w:rtl/>
          </w:rPr>
          <w:t>–</w:t>
        </w:r>
        <w:r w:rsidRPr="00AF2956">
          <w:rPr>
            <w:rStyle w:val="Hyperlink"/>
            <w:rFonts w:hint="cs"/>
            <w:rtl/>
          </w:rPr>
          <w:t>2012</w:t>
        </w:r>
      </w:hyperlink>
      <w:r>
        <w:t xml:space="preserve">; </w:t>
      </w:r>
      <w:hyperlink r:id="rId30" w:history="1">
        <w:r w:rsidRPr="00AF2956">
          <w:rPr>
            <w:rStyle w:val="Hyperlink"/>
            <w:rtl/>
          </w:rPr>
          <w:t>2015</w:t>
        </w:r>
        <w:r>
          <w:rPr>
            <w:rStyle w:val="Hyperlink"/>
            <w:rtl/>
          </w:rPr>
          <w:t>–</w:t>
        </w:r>
        <w:r w:rsidRPr="00AF2956">
          <w:rPr>
            <w:rStyle w:val="Hyperlink"/>
            <w:rtl/>
          </w:rPr>
          <w:t>2016</w:t>
        </w:r>
      </w:hyperlink>
      <w:r>
        <w:t xml:space="preserve">. </w:t>
      </w:r>
      <w:r w:rsidRPr="00876268">
        <w:t>(In Hebrew).</w:t>
      </w:r>
    </w:p>
    <w:p w14:paraId="112D95B4" w14:textId="40315F0B" w:rsidR="003945FD" w:rsidRPr="00876268" w:rsidRDefault="00000000" w:rsidP="003945FD">
      <w:pPr>
        <w:spacing w:after="40"/>
        <w:ind w:left="284" w:hanging="284"/>
        <w:rPr>
          <w:shd w:val="clear" w:color="auto" w:fill="FFFFFF"/>
        </w:rPr>
      </w:pPr>
      <w:hyperlink r:id="rId31" w:history="1">
        <w:r w:rsidR="003945FD" w:rsidRPr="00876268">
          <w:rPr>
            <w:rStyle w:val="Hyperlink"/>
            <w:szCs w:val="24"/>
            <w:shd w:val="clear" w:color="auto" w:fill="FFFFFF"/>
          </w:rPr>
          <w:t>The Global Philanthropy Environment Index 2022</w:t>
        </w:r>
      </w:hyperlink>
      <w:r w:rsidR="003945FD" w:rsidRPr="00876268">
        <w:rPr>
          <w:shd w:val="clear" w:color="auto" w:fill="FFFFFF"/>
        </w:rPr>
        <w:t>. IU Lilly Family School of Philanthropy.</w:t>
      </w:r>
    </w:p>
    <w:p w14:paraId="1CD4E6E5" w14:textId="77777777" w:rsidR="003945FD" w:rsidRPr="00876268" w:rsidRDefault="003945FD" w:rsidP="003945FD">
      <w:pPr>
        <w:spacing w:after="40"/>
        <w:ind w:left="284" w:hanging="284"/>
      </w:pPr>
      <w:r w:rsidRPr="00876268">
        <w:t xml:space="preserve">The state comptroller (2021). Benefits take up in the Israeli Tax Authority – expanded review. </w:t>
      </w:r>
      <w:hyperlink r:id="rId32" w:history="1">
        <w:r w:rsidRPr="00876268">
          <w:rPr>
            <w:rStyle w:val="Hyperlink"/>
            <w:szCs w:val="24"/>
          </w:rPr>
          <w:t>In Annual report 72a</w:t>
        </w:r>
      </w:hyperlink>
      <w:r w:rsidRPr="00876268">
        <w:t xml:space="preserve">. (In Hebrew). </w:t>
      </w:r>
    </w:p>
    <w:p w14:paraId="2EAAA420" w14:textId="77777777" w:rsidR="003945FD" w:rsidRPr="00876268" w:rsidRDefault="003945FD" w:rsidP="003945FD">
      <w:pPr>
        <w:spacing w:after="40"/>
        <w:ind w:left="284" w:hanging="284"/>
      </w:pPr>
      <w:r w:rsidRPr="00876268">
        <w:t xml:space="preserve">The Israeli Central Bureau of Statistics (2017). Philanthropy of Israelis survey 2012–2015. </w:t>
      </w:r>
    </w:p>
    <w:p w14:paraId="62B8D621" w14:textId="77777777" w:rsidR="003945FD" w:rsidRPr="003B4174" w:rsidRDefault="003945FD"/>
    <w:p w14:paraId="73073218" w14:textId="28219FAB" w:rsidR="00557208" w:rsidRPr="004D7DFE" w:rsidRDefault="00557208" w:rsidP="00C9627A"/>
    <w:sectPr w:rsidR="00557208" w:rsidRPr="004D7DFE" w:rsidSect="0097268A">
      <w:headerReference w:type="default" r:id="rId33"/>
      <w:footerReference w:type="default" r:id="rId34"/>
      <w:pgSz w:w="11906" w:h="16838" w:code="9"/>
      <w:pgMar w:top="1276" w:right="1418" w:bottom="993" w:left="1134" w:header="0" w:footer="23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266A" w14:textId="77777777" w:rsidR="00D0075E" w:rsidRDefault="00D0075E" w:rsidP="00C9627A">
      <w:r>
        <w:separator/>
      </w:r>
    </w:p>
  </w:endnote>
  <w:endnote w:type="continuationSeparator" w:id="0">
    <w:p w14:paraId="6DF85570" w14:textId="77777777" w:rsidR="00D0075E" w:rsidRDefault="00D0075E" w:rsidP="00C9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Open Sans Hebrew">
    <w:charset w:val="00"/>
    <w:family w:val="auto"/>
    <w:pitch w:val="variable"/>
    <w:sig w:usb0="00000803" w:usb1="40000000" w:usb2="00000000" w:usb3="00000000" w:csb0="00000021" w:csb1="00000000"/>
  </w:font>
  <w:font w:name="Assistant">
    <w:altName w:val="Courier New"/>
    <w:charset w:val="B1"/>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05758"/>
      <w:docPartObj>
        <w:docPartGallery w:val="Page Numbers (Bottom of Page)"/>
        <w:docPartUnique/>
      </w:docPartObj>
    </w:sdtPr>
    <w:sdtContent>
      <w:p w14:paraId="5ED0EC94" w14:textId="42CA3975" w:rsidR="00372CA9" w:rsidRPr="008458B5" w:rsidRDefault="00372CA9" w:rsidP="00C9627A">
        <w:pPr>
          <w:pStyle w:val="Footer"/>
          <w:rPr>
            <w:sz w:val="13"/>
            <w:szCs w:val="13"/>
          </w:rPr>
        </w:pPr>
      </w:p>
      <w:p w14:paraId="3C93DA4E" w14:textId="79FEE5FE" w:rsidR="00372CA9" w:rsidRDefault="00372CA9" w:rsidP="00C9627A">
        <w:pPr>
          <w:pStyle w:val="Footer"/>
        </w:pPr>
        <w:r>
          <w:tab/>
        </w:r>
        <w:bookmarkStart w:id="12" w:name="_Hlk114125400"/>
      </w:p>
      <w:p w14:paraId="3B71A9F1" w14:textId="5AFD39D2" w:rsidR="00372CA9" w:rsidRPr="008458B5" w:rsidRDefault="00000000" w:rsidP="00C9627A">
        <w:pPr>
          <w:pStyle w:val="Footer"/>
          <w:rPr>
            <w:rFonts w:eastAsiaTheme="minorEastAsia"/>
            <w:noProof/>
            <w:color w:val="0563C1"/>
            <w:sz w:val="14"/>
            <w:szCs w:val="14"/>
            <w:u w:val="single"/>
          </w:rPr>
        </w:pPr>
      </w:p>
    </w:sdtContent>
  </w:sdt>
  <w:bookmarkEnd w:id="1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6B93" w14:textId="77777777" w:rsidR="00D0075E" w:rsidRDefault="00D0075E" w:rsidP="00C9627A">
      <w:bookmarkStart w:id="0" w:name="_Hlk66719149"/>
      <w:bookmarkEnd w:id="0"/>
      <w:r>
        <w:separator/>
      </w:r>
    </w:p>
  </w:footnote>
  <w:footnote w:type="continuationSeparator" w:id="0">
    <w:p w14:paraId="12074D41" w14:textId="77777777" w:rsidR="00D0075E" w:rsidRDefault="00D0075E" w:rsidP="00C9627A">
      <w:r>
        <w:continuationSeparator/>
      </w:r>
    </w:p>
  </w:footnote>
  <w:footnote w:id="1">
    <w:p w14:paraId="69A677AB" w14:textId="68CFAB68" w:rsidR="00372CA9" w:rsidRPr="009411B2" w:rsidRDefault="00372CA9" w:rsidP="001A1B44">
      <w:pPr>
        <w:pStyle w:val="FootnoteText"/>
        <w:rPr>
          <w:sz w:val="16"/>
          <w:szCs w:val="16"/>
        </w:rPr>
      </w:pPr>
      <w:r>
        <w:rPr>
          <w:rStyle w:val="FootnoteReference"/>
        </w:rPr>
        <w:footnoteRef/>
      </w:r>
      <w:r>
        <w:t xml:space="preserve"> </w:t>
      </w:r>
      <w:r w:rsidRPr="009411B2">
        <w:rPr>
          <w:sz w:val="16"/>
          <w:szCs w:val="16"/>
        </w:rPr>
        <w:t>Th</w:t>
      </w:r>
      <w:r w:rsidR="00AF66F6">
        <w:rPr>
          <w:sz w:val="16"/>
          <w:szCs w:val="16"/>
        </w:rPr>
        <w:t>is</w:t>
      </w:r>
      <w:r w:rsidRPr="009411B2">
        <w:rPr>
          <w:sz w:val="16"/>
          <w:szCs w:val="16"/>
        </w:rPr>
        <w:t xml:space="preserve"> </w:t>
      </w:r>
      <w:r>
        <w:rPr>
          <w:sz w:val="16"/>
          <w:szCs w:val="16"/>
        </w:rPr>
        <w:t>expression</w:t>
      </w:r>
      <w:r w:rsidR="00AF66F6">
        <w:rPr>
          <w:sz w:val="16"/>
          <w:szCs w:val="16"/>
        </w:rPr>
        <w:t xml:space="preserve"> is</w:t>
      </w:r>
      <w:r>
        <w:rPr>
          <w:sz w:val="16"/>
          <w:szCs w:val="16"/>
        </w:rPr>
        <w:t xml:space="preserve"> common among scholars in the field of economics</w:t>
      </w:r>
      <w:r w:rsidRPr="009411B2">
        <w:rPr>
          <w:sz w:val="16"/>
          <w:szCs w:val="16"/>
        </w:rPr>
        <w:t>. However</w:t>
      </w:r>
      <w:r>
        <w:rPr>
          <w:sz w:val="16"/>
          <w:szCs w:val="16"/>
        </w:rPr>
        <w:t xml:space="preserve">, </w:t>
      </w:r>
      <w:r w:rsidRPr="009411B2">
        <w:rPr>
          <w:sz w:val="16"/>
          <w:szCs w:val="16"/>
        </w:rPr>
        <w:t>in Hebrew</w:t>
      </w:r>
      <w:r w:rsidR="00D61161">
        <w:rPr>
          <w:sz w:val="16"/>
          <w:szCs w:val="16"/>
        </w:rPr>
        <w:t>,</w:t>
      </w:r>
      <w:r w:rsidRPr="009411B2">
        <w:rPr>
          <w:sz w:val="16"/>
          <w:szCs w:val="16"/>
        </w:rPr>
        <w:t xml:space="preserve"> </w:t>
      </w:r>
      <w:r w:rsidR="00D61161">
        <w:rPr>
          <w:sz w:val="16"/>
          <w:szCs w:val="16"/>
        </w:rPr>
        <w:t xml:space="preserve">this tax policy </w:t>
      </w:r>
      <w:r w:rsidRPr="009411B2">
        <w:rPr>
          <w:sz w:val="16"/>
          <w:szCs w:val="16"/>
        </w:rPr>
        <w:t xml:space="preserve">is referred to as </w:t>
      </w:r>
      <w:r>
        <w:rPr>
          <w:sz w:val="16"/>
          <w:szCs w:val="16"/>
        </w:rPr>
        <w:t>“</w:t>
      </w:r>
      <w:r w:rsidRPr="009411B2">
        <w:rPr>
          <w:sz w:val="16"/>
          <w:szCs w:val="16"/>
        </w:rPr>
        <w:t>tax benefit</w:t>
      </w:r>
      <w:r>
        <w:rPr>
          <w:sz w:val="16"/>
          <w:szCs w:val="16"/>
        </w:rPr>
        <w:t>”</w:t>
      </w:r>
      <w:r w:rsidR="00AF66F6">
        <w:rPr>
          <w:sz w:val="16"/>
          <w:szCs w:val="16"/>
        </w:rPr>
        <w:t xml:space="preserve"> only</w:t>
      </w:r>
      <w:r w:rsidRPr="009411B2">
        <w:rPr>
          <w:sz w:val="16"/>
          <w:szCs w:val="16"/>
        </w:rPr>
        <w:t xml:space="preserve">, both in the wording of the tax ordinance and in </w:t>
      </w:r>
      <w:r w:rsidR="00D61161">
        <w:rPr>
          <w:sz w:val="16"/>
          <w:szCs w:val="16"/>
        </w:rPr>
        <w:t xml:space="preserve">the </w:t>
      </w:r>
      <w:r w:rsidRPr="009411B2">
        <w:rPr>
          <w:sz w:val="16"/>
          <w:szCs w:val="16"/>
        </w:rPr>
        <w:t>common language.</w:t>
      </w:r>
      <w:r w:rsidR="00D61161">
        <w:rPr>
          <w:sz w:val="16"/>
          <w:szCs w:val="16"/>
        </w:rPr>
        <w:t xml:space="preserve"> Thus</w:t>
      </w:r>
      <w:r w:rsidR="00AF66F6">
        <w:rPr>
          <w:sz w:val="16"/>
          <w:szCs w:val="16"/>
        </w:rPr>
        <w:t>,</w:t>
      </w:r>
      <w:r w:rsidR="00D61161">
        <w:rPr>
          <w:sz w:val="16"/>
          <w:szCs w:val="16"/>
        </w:rPr>
        <w:t xml:space="preserve"> in this paper I will stick to "tax benefit"</w:t>
      </w:r>
      <w:r w:rsidR="00AF66F6">
        <w:rPr>
          <w:sz w:val="16"/>
          <w:szCs w:val="16"/>
        </w:rPr>
        <w:t>.</w:t>
      </w:r>
    </w:p>
  </w:footnote>
  <w:footnote w:id="2">
    <w:p w14:paraId="39AB03BA" w14:textId="0CBE865E" w:rsidR="00372CA9" w:rsidRPr="004D1753" w:rsidRDefault="00372CA9">
      <w:pPr>
        <w:pStyle w:val="Heading4"/>
        <w:spacing w:before="100" w:beforeAutospacing="1"/>
        <w:rPr>
          <w:i w:val="0"/>
          <w:iCs w:val="0"/>
          <w:sz w:val="16"/>
          <w:szCs w:val="16"/>
        </w:rPr>
      </w:pPr>
      <w:r w:rsidRPr="004D1753">
        <w:rPr>
          <w:rStyle w:val="FootnoteReference"/>
          <w:rFonts w:ascii="Calibri" w:hAnsi="Calibri"/>
          <w:i w:val="0"/>
          <w:iCs w:val="0"/>
          <w:color w:val="auto"/>
          <w:sz w:val="16"/>
          <w:szCs w:val="16"/>
        </w:rPr>
        <w:footnoteRef/>
      </w:r>
      <w:r w:rsidRPr="004D1753">
        <w:rPr>
          <w:i w:val="0"/>
          <w:iCs w:val="0"/>
          <w:color w:val="auto"/>
          <w:sz w:val="16"/>
          <w:szCs w:val="16"/>
        </w:rPr>
        <w:t xml:space="preserve"> Private foundations in Israel are not a primary source of private donations</w:t>
      </w:r>
      <w:r w:rsidR="00BA03C6">
        <w:rPr>
          <w:i w:val="0"/>
          <w:iCs w:val="0"/>
          <w:color w:val="auto"/>
          <w:sz w:val="16"/>
          <w:szCs w:val="16"/>
        </w:rPr>
        <w:t>' statistics.</w:t>
      </w:r>
      <w:r w:rsidRPr="004D1753">
        <w:rPr>
          <w:i w:val="0"/>
          <w:iCs w:val="0"/>
          <w:color w:val="auto"/>
          <w:sz w:val="16"/>
          <w:szCs w:val="16"/>
        </w:rPr>
        <w:t xml:space="preserve"> Foundations operating in Israel are either registered as nonprofit</w:t>
      </w:r>
      <w:r>
        <w:rPr>
          <w:i w:val="0"/>
          <w:iCs w:val="0"/>
          <w:color w:val="auto"/>
          <w:sz w:val="16"/>
          <w:szCs w:val="16"/>
        </w:rPr>
        <w:t>s</w:t>
      </w:r>
      <w:r w:rsidRPr="004D1753">
        <w:rPr>
          <w:i w:val="0"/>
          <w:iCs w:val="0"/>
          <w:color w:val="auto"/>
          <w:sz w:val="16"/>
          <w:szCs w:val="16"/>
        </w:rPr>
        <w:t xml:space="preserve">, or </w:t>
      </w:r>
      <w:r>
        <w:rPr>
          <w:i w:val="0"/>
          <w:iCs w:val="0"/>
          <w:color w:val="auto"/>
          <w:sz w:val="16"/>
          <w:szCs w:val="16"/>
        </w:rPr>
        <w:t xml:space="preserve">are </w:t>
      </w:r>
      <w:r w:rsidRPr="004D1753">
        <w:rPr>
          <w:i w:val="0"/>
          <w:iCs w:val="0"/>
          <w:color w:val="auto"/>
          <w:sz w:val="16"/>
          <w:szCs w:val="16"/>
        </w:rPr>
        <w:t xml:space="preserve">registered out of Israel, or </w:t>
      </w:r>
      <w:r>
        <w:rPr>
          <w:i w:val="0"/>
          <w:iCs w:val="0"/>
          <w:color w:val="auto"/>
          <w:sz w:val="16"/>
          <w:szCs w:val="16"/>
        </w:rPr>
        <w:t xml:space="preserve">are </w:t>
      </w:r>
      <w:r w:rsidRPr="004D1753">
        <w:rPr>
          <w:i w:val="0"/>
          <w:iCs w:val="0"/>
          <w:color w:val="auto"/>
          <w:sz w:val="16"/>
          <w:szCs w:val="16"/>
        </w:rPr>
        <w:t>not associated at all.</w:t>
      </w:r>
      <w:r w:rsidR="00BA03C6" w:rsidRPr="00BA03C6">
        <w:rPr>
          <w:i w:val="0"/>
          <w:iCs w:val="0"/>
          <w:color w:val="auto"/>
          <w:sz w:val="16"/>
          <w:szCs w:val="16"/>
        </w:rPr>
        <w:t xml:space="preserve"> </w:t>
      </w:r>
      <w:r w:rsidR="00BA03C6">
        <w:rPr>
          <w:i w:val="0"/>
          <w:iCs w:val="0"/>
          <w:color w:val="auto"/>
          <w:sz w:val="16"/>
          <w:szCs w:val="16"/>
        </w:rPr>
        <w:t xml:space="preserve">They </w:t>
      </w:r>
      <w:r w:rsidR="00BA03C6" w:rsidRPr="004D1753">
        <w:rPr>
          <w:i w:val="0"/>
          <w:iCs w:val="0"/>
          <w:color w:val="auto"/>
          <w:sz w:val="16"/>
          <w:szCs w:val="16"/>
        </w:rPr>
        <w:t xml:space="preserve">do not receive </w:t>
      </w:r>
      <w:r w:rsidR="00BA03C6">
        <w:rPr>
          <w:i w:val="0"/>
          <w:iCs w:val="0"/>
          <w:color w:val="auto"/>
          <w:sz w:val="16"/>
          <w:szCs w:val="16"/>
        </w:rPr>
        <w:t xml:space="preserve">a </w:t>
      </w:r>
      <w:r w:rsidR="00BA03C6" w:rsidRPr="004D1753">
        <w:rPr>
          <w:i w:val="0"/>
          <w:iCs w:val="0"/>
          <w:color w:val="auto"/>
          <w:sz w:val="16"/>
          <w:szCs w:val="16"/>
        </w:rPr>
        <w:t xml:space="preserve">tax benefit for charitable giving. </w:t>
      </w:r>
      <w:r w:rsidRPr="004D1753">
        <w:rPr>
          <w:i w:val="0"/>
          <w:iCs w:val="0"/>
          <w:color w:val="auto"/>
          <w:sz w:val="16"/>
          <w:szCs w:val="16"/>
        </w:rPr>
        <w:t xml:space="preserve"> Accordingly, when a foundation </w:t>
      </w:r>
      <w:r>
        <w:rPr>
          <w:i w:val="0"/>
          <w:iCs w:val="0"/>
          <w:color w:val="auto"/>
          <w:sz w:val="16"/>
          <w:szCs w:val="16"/>
        </w:rPr>
        <w:t xml:space="preserve">gives </w:t>
      </w:r>
      <w:r w:rsidRPr="004D1753">
        <w:rPr>
          <w:i w:val="0"/>
          <w:iCs w:val="0"/>
          <w:color w:val="auto"/>
          <w:sz w:val="16"/>
          <w:szCs w:val="16"/>
        </w:rPr>
        <w:t>a nonprofit financial support, its donation is either double</w:t>
      </w:r>
      <w:r>
        <w:rPr>
          <w:i w:val="0"/>
          <w:iCs w:val="0"/>
          <w:color w:val="auto"/>
          <w:sz w:val="16"/>
          <w:szCs w:val="16"/>
        </w:rPr>
        <w:t>-</w:t>
      </w:r>
      <w:r w:rsidRPr="004D1753">
        <w:rPr>
          <w:i w:val="0"/>
          <w:iCs w:val="0"/>
          <w:color w:val="auto"/>
          <w:sz w:val="16"/>
          <w:szCs w:val="16"/>
        </w:rPr>
        <w:t>count</w:t>
      </w:r>
      <w:r>
        <w:rPr>
          <w:i w:val="0"/>
          <w:iCs w:val="0"/>
          <w:color w:val="auto"/>
          <w:sz w:val="16"/>
          <w:szCs w:val="16"/>
        </w:rPr>
        <w:t>ed,</w:t>
      </w:r>
      <w:r w:rsidRPr="004D1753">
        <w:rPr>
          <w:i w:val="0"/>
          <w:iCs w:val="0"/>
          <w:color w:val="auto"/>
          <w:sz w:val="16"/>
          <w:szCs w:val="16"/>
        </w:rPr>
        <w:t xml:space="preserve"> or included in donations from RoW, or included in donations from individuals/</w:t>
      </w:r>
      <w:r>
        <w:rPr>
          <w:i w:val="0"/>
          <w:iCs w:val="0"/>
          <w:color w:val="auto"/>
          <w:sz w:val="16"/>
          <w:szCs w:val="16"/>
        </w:rPr>
        <w:t>companies</w:t>
      </w:r>
      <w:r w:rsidRPr="004D1753">
        <w:rPr>
          <w:i w:val="0"/>
          <w:iCs w:val="0"/>
          <w:color w:val="auto"/>
          <w:sz w:val="16"/>
          <w:szCs w:val="16"/>
        </w:rPr>
        <w:t xml:space="preserve">. </w:t>
      </w:r>
    </w:p>
  </w:footnote>
  <w:footnote w:id="3">
    <w:p w14:paraId="22938433" w14:textId="30A6C054" w:rsidR="00372CA9" w:rsidRPr="004D1753" w:rsidRDefault="00372CA9">
      <w:pPr>
        <w:pStyle w:val="FootnoteText"/>
        <w:rPr>
          <w:sz w:val="16"/>
          <w:szCs w:val="16"/>
        </w:rPr>
      </w:pPr>
      <w:r w:rsidRPr="00D80120">
        <w:rPr>
          <w:rStyle w:val="FootnoteReference"/>
        </w:rPr>
        <w:footnoteRef/>
      </w:r>
      <w:r w:rsidRPr="00D80120">
        <w:t xml:space="preserve"> </w:t>
      </w:r>
      <w:r w:rsidRPr="004D1753">
        <w:rPr>
          <w:sz w:val="16"/>
          <w:szCs w:val="16"/>
        </w:rPr>
        <w:t>Although this range was recorded in the Philanthropy of Israelis Survey, due to sampling errors the data were published in unified ranges. Therefor</w:t>
      </w:r>
      <w:r>
        <w:rPr>
          <w:sz w:val="16"/>
          <w:szCs w:val="16"/>
        </w:rPr>
        <w:t>e,</w:t>
      </w:r>
      <w:r w:rsidRPr="004D1753">
        <w:rPr>
          <w:sz w:val="16"/>
          <w:szCs w:val="16"/>
        </w:rPr>
        <w:t xml:space="preserve"> I used the ICA data for this range as well.  </w:t>
      </w:r>
    </w:p>
  </w:footnote>
  <w:footnote w:id="4">
    <w:p w14:paraId="3727E500" w14:textId="5F03F53B" w:rsidR="00372CA9" w:rsidRPr="00D80120" w:rsidRDefault="00372CA9">
      <w:pPr>
        <w:pStyle w:val="FootnoteText"/>
        <w:spacing w:before="120"/>
      </w:pPr>
      <w:r w:rsidRPr="00D80120">
        <w:rPr>
          <w:rStyle w:val="FootnoteReference"/>
        </w:rPr>
        <w:footnoteRef/>
      </w:r>
      <w:bookmarkStart w:id="8" w:name="_Hlk135852182"/>
      <w:r w:rsidRPr="004D1753">
        <w:rPr>
          <w:sz w:val="16"/>
          <w:szCs w:val="16"/>
        </w:rPr>
        <w:t xml:space="preserve">One may differentiate between intensive and extensive elasticity, representing effectiveness in terms of </w:t>
      </w:r>
      <w:r>
        <w:rPr>
          <w:sz w:val="16"/>
          <w:szCs w:val="16"/>
        </w:rPr>
        <w:t xml:space="preserve">the </w:t>
      </w:r>
      <w:r w:rsidRPr="004D1753">
        <w:rPr>
          <w:sz w:val="16"/>
          <w:szCs w:val="16"/>
        </w:rPr>
        <w:t>influence of the tax incentive on regular/re</w:t>
      </w:r>
      <w:r>
        <w:rPr>
          <w:sz w:val="16"/>
          <w:szCs w:val="16"/>
        </w:rPr>
        <w:t xml:space="preserve">peat </w:t>
      </w:r>
      <w:r w:rsidRPr="004D1753">
        <w:rPr>
          <w:sz w:val="16"/>
          <w:szCs w:val="16"/>
        </w:rPr>
        <w:t>donors (intensive</w:t>
      </w:r>
      <w:r w:rsidR="00433E23">
        <w:rPr>
          <w:sz w:val="16"/>
          <w:szCs w:val="16"/>
        </w:rPr>
        <w:t xml:space="preserve"> elasticity</w:t>
      </w:r>
      <w:r w:rsidRPr="004D1753">
        <w:rPr>
          <w:sz w:val="16"/>
          <w:szCs w:val="16"/>
        </w:rPr>
        <w:t>) vs. new donors (extensive</w:t>
      </w:r>
      <w:r w:rsidR="00433E23">
        <w:rPr>
          <w:sz w:val="16"/>
          <w:szCs w:val="16"/>
        </w:rPr>
        <w:t xml:space="preserve"> elasticity</w:t>
      </w:r>
      <w:r w:rsidRPr="004D1753">
        <w:rPr>
          <w:sz w:val="16"/>
          <w:szCs w:val="16"/>
        </w:rPr>
        <w:t>) (</w:t>
      </w:r>
      <w:proofErr w:type="spellStart"/>
      <w:r w:rsidRPr="004D1753">
        <w:rPr>
          <w:sz w:val="16"/>
          <w:szCs w:val="16"/>
        </w:rPr>
        <w:t>Almunia</w:t>
      </w:r>
      <w:proofErr w:type="spellEnd"/>
      <w:r w:rsidRPr="004D1753">
        <w:rPr>
          <w:sz w:val="16"/>
          <w:szCs w:val="16"/>
        </w:rPr>
        <w:t xml:space="preserve"> et al., 2020). The take-up scope bounds only intensive effectiveness, whereas extensive effectiveness may either move donors from the unclaimed</w:t>
      </w:r>
      <w:r>
        <w:rPr>
          <w:sz w:val="16"/>
          <w:szCs w:val="16"/>
        </w:rPr>
        <w:t>-</w:t>
      </w:r>
      <w:r w:rsidRPr="004D1753">
        <w:rPr>
          <w:sz w:val="16"/>
          <w:szCs w:val="16"/>
        </w:rPr>
        <w:t>donation sector to the take-up sector or bring in brand</w:t>
      </w:r>
      <w:r>
        <w:rPr>
          <w:sz w:val="16"/>
          <w:szCs w:val="16"/>
        </w:rPr>
        <w:t>-</w:t>
      </w:r>
      <w:r w:rsidRPr="004D1753">
        <w:rPr>
          <w:sz w:val="16"/>
          <w:szCs w:val="16"/>
        </w:rPr>
        <w:t xml:space="preserve">new donors and </w:t>
      </w:r>
      <w:r>
        <w:rPr>
          <w:sz w:val="16"/>
          <w:szCs w:val="16"/>
        </w:rPr>
        <w:t xml:space="preserve">allow </w:t>
      </w:r>
      <w:r w:rsidRPr="004D1753">
        <w:rPr>
          <w:sz w:val="16"/>
          <w:szCs w:val="16"/>
        </w:rPr>
        <w:t xml:space="preserve">the </w:t>
      </w:r>
      <w:r>
        <w:rPr>
          <w:sz w:val="16"/>
          <w:szCs w:val="16"/>
        </w:rPr>
        <w:t xml:space="preserve">total donation </w:t>
      </w:r>
      <w:r w:rsidRPr="004D1753">
        <w:rPr>
          <w:sz w:val="16"/>
          <w:szCs w:val="16"/>
        </w:rPr>
        <w:t xml:space="preserve">pie </w:t>
      </w:r>
      <w:r>
        <w:rPr>
          <w:sz w:val="16"/>
          <w:szCs w:val="16"/>
        </w:rPr>
        <w:t>to grow</w:t>
      </w:r>
      <w:r w:rsidRPr="004D1753">
        <w:rPr>
          <w:sz w:val="16"/>
          <w:szCs w:val="16"/>
        </w:rPr>
        <w:t>.</w:t>
      </w:r>
      <w:r w:rsidRPr="00D80120">
        <w:t xml:space="preserve">  </w:t>
      </w:r>
      <w:bookmarkEnd w:id="8"/>
    </w:p>
  </w:footnote>
  <w:footnote w:id="5">
    <w:p w14:paraId="4BB3E9D0" w14:textId="5F2A1BCB" w:rsidR="00372CA9" w:rsidRDefault="00372CA9">
      <w:pPr>
        <w:pStyle w:val="FootnoteText"/>
      </w:pPr>
      <w:r>
        <w:rPr>
          <w:rStyle w:val="FootnoteReference"/>
        </w:rPr>
        <w:footnoteRef/>
      </w:r>
      <w:r>
        <w:t xml:space="preserve"> </w:t>
      </w:r>
      <w:r w:rsidRPr="004D1753">
        <w:rPr>
          <w:sz w:val="16"/>
          <w:szCs w:val="16"/>
        </w:rPr>
        <w:t>For example, a</w:t>
      </w:r>
      <w:hyperlink r:id="rId1" w:history="1">
        <w:r w:rsidRPr="004D1753">
          <w:rPr>
            <w:rStyle w:val="Hyperlink"/>
            <w:sz w:val="16"/>
            <w:szCs w:val="16"/>
          </w:rPr>
          <w:t xml:space="preserve"> background document prepared by the legal advisor to the Finance Committee dated May</w:t>
        </w:r>
        <w:r>
          <w:rPr>
            <w:rStyle w:val="Hyperlink"/>
            <w:sz w:val="16"/>
            <w:szCs w:val="16"/>
          </w:rPr>
          <w:t xml:space="preserve">, </w:t>
        </w:r>
        <w:r w:rsidRPr="004D1753">
          <w:rPr>
            <w:rStyle w:val="Hyperlink"/>
            <w:sz w:val="16"/>
            <w:szCs w:val="16"/>
          </w:rPr>
          <w:t>2021</w:t>
        </w:r>
      </w:hyperlink>
      <w:r w:rsidRPr="004D1753">
        <w:rPr>
          <w:sz w:val="16"/>
          <w:szCs w:val="16"/>
        </w:rPr>
        <w:t xml:space="preserve"> (</w:t>
      </w:r>
      <w:r>
        <w:rPr>
          <w:sz w:val="16"/>
          <w:szCs w:val="16"/>
        </w:rPr>
        <w:t>i</w:t>
      </w:r>
      <w:r w:rsidRPr="004D1753">
        <w:rPr>
          <w:sz w:val="16"/>
          <w:szCs w:val="16"/>
        </w:rPr>
        <w:t>n Hebrew).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2AD8" w14:textId="3EBA149F" w:rsidR="00392342" w:rsidRDefault="00392342" w:rsidP="00392342">
    <w:pPr>
      <w:pBdr>
        <w:top w:val="nil"/>
        <w:left w:val="nil"/>
        <w:bottom w:val="nil"/>
        <w:right w:val="nil"/>
        <w:between w:val="single" w:sz="4" w:space="1" w:color="4F81BD"/>
      </w:pBdr>
      <w:tabs>
        <w:tab w:val="center" w:pos="4706"/>
        <w:tab w:val="right" w:pos="9356"/>
      </w:tabs>
      <w:spacing w:after="240"/>
      <w:jc w:val="center"/>
      <w:rPr>
        <w:rFonts w:ascii="Cambria" w:eastAsia="Cambria" w:hAnsi="Cambria" w:cs="Cambria"/>
        <w:sz w:val="24"/>
        <w:szCs w:val="24"/>
      </w:rPr>
    </w:pPr>
    <w:r w:rsidRPr="25D9EEA1">
      <w:rPr>
        <w:rFonts w:ascii="Cambria" w:eastAsia="Cambria" w:hAnsi="Cambria" w:cs="Cambria"/>
        <w:color w:val="000000" w:themeColor="text1"/>
        <w:sz w:val="24"/>
        <w:szCs w:val="24"/>
      </w:rPr>
      <w:t>European Research Network On Philanthropy 1</w:t>
    </w:r>
    <w:r w:rsidRPr="25D9EEA1">
      <w:rPr>
        <w:rFonts w:ascii="Cambria" w:eastAsia="Cambria" w:hAnsi="Cambria" w:cs="Cambria"/>
        <w:sz w:val="24"/>
        <w:szCs w:val="24"/>
      </w:rPr>
      <w:t>1</w:t>
    </w:r>
    <w:r w:rsidRPr="25D9EEA1">
      <w:rPr>
        <w:rFonts w:ascii="Cambria" w:eastAsia="Cambria" w:hAnsi="Cambria" w:cs="Cambria"/>
        <w:color w:val="000000" w:themeColor="text1"/>
        <w:sz w:val="24"/>
        <w:szCs w:val="24"/>
      </w:rPr>
      <w:t xml:space="preserve">th International Conference </w:t>
    </w:r>
    <w:r w:rsidRPr="25D9EEA1">
      <w:rPr>
        <w:rFonts w:ascii="Cambria" w:eastAsia="Cambria" w:hAnsi="Cambria" w:cs="Cambria"/>
        <w:sz w:val="24"/>
        <w:szCs w:val="24"/>
      </w:rPr>
      <w:t>Zagreb</w:t>
    </w:r>
    <w:r w:rsidRPr="25D9EEA1">
      <w:rPr>
        <w:rFonts w:ascii="Cambria" w:eastAsia="Cambria" w:hAnsi="Cambria" w:cs="Cambria"/>
        <w:color w:val="000000" w:themeColor="text1"/>
        <w:sz w:val="24"/>
        <w:szCs w:val="24"/>
      </w:rPr>
      <w:t xml:space="preserve">, </w:t>
    </w:r>
    <w:r w:rsidRPr="25D9EEA1">
      <w:rPr>
        <w:rFonts w:ascii="Cambria" w:eastAsia="Cambria" w:hAnsi="Cambria" w:cs="Cambria"/>
        <w:sz w:val="24"/>
        <w:szCs w:val="24"/>
      </w:rPr>
      <w:t>29-30 June</w:t>
    </w:r>
    <w:r w:rsidRPr="25D9EEA1">
      <w:rPr>
        <w:rFonts w:ascii="Cambria" w:eastAsia="Cambria" w:hAnsi="Cambria" w:cs="Cambria"/>
        <w:color w:val="000000" w:themeColor="text1"/>
        <w:sz w:val="24"/>
        <w:szCs w:val="24"/>
      </w:rPr>
      <w:t xml:space="preserve"> 202</w:t>
    </w:r>
    <w:r w:rsidRPr="25D9EEA1">
      <w:rPr>
        <w:rFonts w:ascii="Cambria" w:eastAsia="Cambria" w:hAnsi="Cambria" w:cs="Cambria"/>
        <w:sz w:val="24"/>
        <w:szCs w:val="24"/>
      </w:rPr>
      <w:t>3</w:t>
    </w:r>
  </w:p>
  <w:p w14:paraId="470C7788" w14:textId="22C3705B" w:rsidR="00392342" w:rsidRDefault="00392342">
    <w:pPr>
      <w:pStyle w:val="Header"/>
    </w:pPr>
  </w:p>
  <w:p w14:paraId="701CB2BB" w14:textId="77777777" w:rsidR="00392342" w:rsidRDefault="0039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1E"/>
    <w:multiLevelType w:val="hybridMultilevel"/>
    <w:tmpl w:val="D9C84EE0"/>
    <w:lvl w:ilvl="0" w:tplc="41FE24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926540"/>
    <w:multiLevelType w:val="hybridMultilevel"/>
    <w:tmpl w:val="5532D43E"/>
    <w:lvl w:ilvl="0" w:tplc="06E8618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15:restartNumberingAfterBreak="0">
    <w:nsid w:val="105A0AB5"/>
    <w:multiLevelType w:val="hybridMultilevel"/>
    <w:tmpl w:val="02C81D36"/>
    <w:lvl w:ilvl="0" w:tplc="04090001">
      <w:start w:val="1"/>
      <w:numFmt w:val="bullet"/>
      <w:lvlText w:val=""/>
      <w:lvlJc w:val="left"/>
      <w:pPr>
        <w:ind w:left="-265" w:hanging="360"/>
      </w:pPr>
      <w:rPr>
        <w:rFonts w:ascii="Symbol" w:hAnsi="Symbol"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15:restartNumberingAfterBreak="0">
    <w:nsid w:val="11D01082"/>
    <w:multiLevelType w:val="hybridMultilevel"/>
    <w:tmpl w:val="4C167AB0"/>
    <w:lvl w:ilvl="0" w:tplc="2C8AEF9A">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972FAE"/>
    <w:multiLevelType w:val="hybridMultilevel"/>
    <w:tmpl w:val="D95A0596"/>
    <w:lvl w:ilvl="0" w:tplc="7CE4C96C">
      <w:start w:val="1"/>
      <w:numFmt w:val="hebrew1"/>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5" w15:restartNumberingAfterBreak="0">
    <w:nsid w:val="2347054D"/>
    <w:multiLevelType w:val="hybridMultilevel"/>
    <w:tmpl w:val="4896FE3C"/>
    <w:lvl w:ilvl="0" w:tplc="F8BE368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15:restartNumberingAfterBreak="0">
    <w:nsid w:val="242E3D82"/>
    <w:multiLevelType w:val="hybridMultilevel"/>
    <w:tmpl w:val="5040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573D4"/>
    <w:multiLevelType w:val="multilevel"/>
    <w:tmpl w:val="A46658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250248"/>
    <w:multiLevelType w:val="hybridMultilevel"/>
    <w:tmpl w:val="1334EDE8"/>
    <w:lvl w:ilvl="0" w:tplc="5EF67856">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9" w15:restartNumberingAfterBreak="0">
    <w:nsid w:val="315250C9"/>
    <w:multiLevelType w:val="multilevel"/>
    <w:tmpl w:val="D78A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D4A37"/>
    <w:multiLevelType w:val="hybridMultilevel"/>
    <w:tmpl w:val="CEAE81C2"/>
    <w:lvl w:ilvl="0" w:tplc="04090001">
      <w:start w:val="1"/>
      <w:numFmt w:val="bullet"/>
      <w:lvlText w:val=""/>
      <w:lvlJc w:val="left"/>
      <w:pPr>
        <w:ind w:left="-265" w:hanging="360"/>
      </w:pPr>
      <w:rPr>
        <w:rFonts w:ascii="Symbol" w:hAnsi="Symbol"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1" w15:restartNumberingAfterBreak="0">
    <w:nsid w:val="364D5BB9"/>
    <w:multiLevelType w:val="hybridMultilevel"/>
    <w:tmpl w:val="CC80F124"/>
    <w:lvl w:ilvl="0" w:tplc="8DDA5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C3D81"/>
    <w:multiLevelType w:val="hybridMultilevel"/>
    <w:tmpl w:val="18BAE1B2"/>
    <w:lvl w:ilvl="0" w:tplc="1E0AA8DE">
      <w:start w:val="1"/>
      <w:numFmt w:val="bullet"/>
      <w:lvlText w:val=""/>
      <w:lvlJc w:val="left"/>
      <w:pPr>
        <w:ind w:left="95" w:hanging="360"/>
      </w:pPr>
      <w:rPr>
        <w:rFonts w:ascii="Symbol" w:hAnsi="Symbol" w:hint="default"/>
        <w:lang w:bidi="he-IL"/>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3" w15:restartNumberingAfterBreak="0">
    <w:nsid w:val="3B96345A"/>
    <w:multiLevelType w:val="hybridMultilevel"/>
    <w:tmpl w:val="FC782566"/>
    <w:lvl w:ilvl="0" w:tplc="1F76531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4" w15:restartNumberingAfterBreak="0">
    <w:nsid w:val="3FF611BD"/>
    <w:multiLevelType w:val="hybridMultilevel"/>
    <w:tmpl w:val="224046C2"/>
    <w:lvl w:ilvl="0" w:tplc="0A98B052">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5" w15:restartNumberingAfterBreak="0">
    <w:nsid w:val="404A2999"/>
    <w:multiLevelType w:val="multilevel"/>
    <w:tmpl w:val="A866DD50"/>
    <w:lvl w:ilvl="0">
      <w:start w:val="1"/>
      <w:numFmt w:val="decimal"/>
      <w:pStyle w:val="Title"/>
      <w:lvlText w:val="%1."/>
      <w:lvlJc w:val="left"/>
      <w:pPr>
        <w:ind w:left="720" w:hanging="360"/>
      </w:pPr>
      <w:rPr>
        <w:rFonts w:hint="default"/>
        <w:color w:val="auto"/>
      </w:rPr>
    </w:lvl>
    <w:lvl w:ilvl="1">
      <w:start w:val="1"/>
      <w:numFmt w:val="decimal"/>
      <w:pStyle w:val="Heading1"/>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77327D"/>
    <w:multiLevelType w:val="hybridMultilevel"/>
    <w:tmpl w:val="C8B6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6768A"/>
    <w:multiLevelType w:val="hybridMultilevel"/>
    <w:tmpl w:val="328C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2A3631"/>
    <w:multiLevelType w:val="hybridMultilevel"/>
    <w:tmpl w:val="FE023F9C"/>
    <w:lvl w:ilvl="0" w:tplc="CAC80D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C41F1"/>
    <w:multiLevelType w:val="hybridMultilevel"/>
    <w:tmpl w:val="1EF85084"/>
    <w:lvl w:ilvl="0" w:tplc="04090001">
      <w:start w:val="1"/>
      <w:numFmt w:val="bullet"/>
      <w:lvlText w:val=""/>
      <w:lvlJc w:val="left"/>
      <w:pPr>
        <w:ind w:left="-265" w:hanging="360"/>
      </w:pPr>
      <w:rPr>
        <w:rFonts w:ascii="Symbol" w:hAnsi="Symbol"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0" w15:restartNumberingAfterBreak="0">
    <w:nsid w:val="59CC21E2"/>
    <w:multiLevelType w:val="hybridMultilevel"/>
    <w:tmpl w:val="7BCCE3A8"/>
    <w:lvl w:ilvl="0" w:tplc="E97E2DCE">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1" w15:restartNumberingAfterBreak="0">
    <w:nsid w:val="5A1E7BFD"/>
    <w:multiLevelType w:val="hybridMultilevel"/>
    <w:tmpl w:val="A602066A"/>
    <w:lvl w:ilvl="0" w:tplc="0E86913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2" w15:restartNumberingAfterBreak="0">
    <w:nsid w:val="5E8A17DF"/>
    <w:multiLevelType w:val="hybridMultilevel"/>
    <w:tmpl w:val="06380120"/>
    <w:lvl w:ilvl="0" w:tplc="0409000D">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3" w15:restartNumberingAfterBreak="0">
    <w:nsid w:val="62CD1745"/>
    <w:multiLevelType w:val="hybridMultilevel"/>
    <w:tmpl w:val="91D077CC"/>
    <w:lvl w:ilvl="0" w:tplc="311A2AA4">
      <w:start w:val="1"/>
      <w:numFmt w:val="bullet"/>
      <w:lvlText w:val=""/>
      <w:lvlJc w:val="left"/>
      <w:pPr>
        <w:ind w:left="455" w:hanging="360"/>
      </w:pPr>
      <w:rPr>
        <w:rFonts w:ascii="Wingdings" w:hAnsi="Wingdings" w:hint="default"/>
        <w:color w:val="DA460E" w:themeColor="accent3" w:themeShade="BF"/>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4" w15:restartNumberingAfterBreak="0">
    <w:nsid w:val="69B47927"/>
    <w:multiLevelType w:val="hybridMultilevel"/>
    <w:tmpl w:val="D922A8E8"/>
    <w:lvl w:ilvl="0" w:tplc="7B8A0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BF00FD"/>
    <w:multiLevelType w:val="hybridMultilevel"/>
    <w:tmpl w:val="05A606F2"/>
    <w:lvl w:ilvl="0" w:tplc="DE04E08E">
      <w:start w:val="1"/>
      <w:numFmt w:val="bullet"/>
      <w:lvlText w:val=""/>
      <w:lvlJc w:val="left"/>
      <w:pPr>
        <w:ind w:left="455" w:hanging="360"/>
      </w:pPr>
      <w:rPr>
        <w:rFonts w:ascii="Symbol" w:hAnsi="Symbol"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6" w15:restartNumberingAfterBreak="0">
    <w:nsid w:val="6A1C077A"/>
    <w:multiLevelType w:val="hybridMultilevel"/>
    <w:tmpl w:val="25C455D2"/>
    <w:lvl w:ilvl="0" w:tplc="0409000D">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7" w15:restartNumberingAfterBreak="0">
    <w:nsid w:val="6B9201BE"/>
    <w:multiLevelType w:val="hybridMultilevel"/>
    <w:tmpl w:val="2C38C77C"/>
    <w:lvl w:ilvl="0" w:tplc="C786DBFE">
      <w:start w:val="1"/>
      <w:numFmt w:val="hebrew1"/>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6CE548E1"/>
    <w:multiLevelType w:val="multilevel"/>
    <w:tmpl w:val="83D4BDFA"/>
    <w:lvl w:ilvl="0">
      <w:start w:val="1"/>
      <w:numFmt w:val="decimal"/>
      <w:lvlText w:val="%1."/>
      <w:lvlJc w:val="left"/>
      <w:pPr>
        <w:tabs>
          <w:tab w:val="num" w:pos="720"/>
        </w:tabs>
        <w:ind w:left="720" w:hanging="720"/>
      </w:pPr>
      <w:rPr>
        <w:rFonts w:asciiTheme="minorHAnsi" w:hAnsiTheme="minorHAnsi" w:cstheme="minorHAnsi"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D221059"/>
    <w:multiLevelType w:val="hybridMultilevel"/>
    <w:tmpl w:val="C91CD66C"/>
    <w:lvl w:ilvl="0" w:tplc="64885318">
      <w:start w:val="1"/>
      <w:numFmt w:val="bullet"/>
      <w:lvlText w:val=""/>
      <w:lvlJc w:val="left"/>
      <w:pPr>
        <w:ind w:left="455" w:hanging="360"/>
      </w:pPr>
      <w:rPr>
        <w:rFonts w:ascii="Symbol" w:hAnsi="Symbo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30" w15:restartNumberingAfterBreak="0">
    <w:nsid w:val="6F9623DD"/>
    <w:multiLevelType w:val="hybridMultilevel"/>
    <w:tmpl w:val="202C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C9695C"/>
    <w:multiLevelType w:val="hybridMultilevel"/>
    <w:tmpl w:val="E54C52D6"/>
    <w:lvl w:ilvl="0" w:tplc="3942EA98">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32" w15:restartNumberingAfterBreak="0">
    <w:nsid w:val="787A3F75"/>
    <w:multiLevelType w:val="hybridMultilevel"/>
    <w:tmpl w:val="55D645E6"/>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33" w15:restartNumberingAfterBreak="0">
    <w:nsid w:val="7B1E75A8"/>
    <w:multiLevelType w:val="multilevel"/>
    <w:tmpl w:val="6FFEC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C8690F"/>
    <w:multiLevelType w:val="hybridMultilevel"/>
    <w:tmpl w:val="F28EF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71E0C"/>
    <w:multiLevelType w:val="hybridMultilevel"/>
    <w:tmpl w:val="9EB400B0"/>
    <w:lvl w:ilvl="0" w:tplc="A322BA1E">
      <w:start w:val="1"/>
      <w:numFmt w:val="decimal"/>
      <w:lvlText w:val="%1."/>
      <w:lvlJc w:val="left"/>
      <w:pPr>
        <w:ind w:left="-265" w:hanging="360"/>
      </w:pPr>
      <w:rPr>
        <w:rFonts w:hint="default"/>
        <w:b w:val="0"/>
        <w:bCs/>
        <w:lang w:bidi="he-IL"/>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6" w15:restartNumberingAfterBreak="0">
    <w:nsid w:val="7FF53B2A"/>
    <w:multiLevelType w:val="hybridMultilevel"/>
    <w:tmpl w:val="7770A650"/>
    <w:lvl w:ilvl="0" w:tplc="F4BED67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16cid:durableId="183594419">
    <w:abstractNumId w:val="18"/>
  </w:num>
  <w:num w:numId="2" w16cid:durableId="77554939">
    <w:abstractNumId w:val="35"/>
  </w:num>
  <w:num w:numId="3" w16cid:durableId="1558856495">
    <w:abstractNumId w:val="33"/>
  </w:num>
  <w:num w:numId="4" w16cid:durableId="1386642366">
    <w:abstractNumId w:val="12"/>
  </w:num>
  <w:num w:numId="5" w16cid:durableId="2043901569">
    <w:abstractNumId w:val="21"/>
  </w:num>
  <w:num w:numId="6" w16cid:durableId="148909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93436">
    <w:abstractNumId w:val="33"/>
  </w:num>
  <w:num w:numId="8" w16cid:durableId="1963270076">
    <w:abstractNumId w:val="7"/>
  </w:num>
  <w:num w:numId="9" w16cid:durableId="1091972772">
    <w:abstractNumId w:val="28"/>
  </w:num>
  <w:num w:numId="10" w16cid:durableId="595476882">
    <w:abstractNumId w:val="22"/>
  </w:num>
  <w:num w:numId="11" w16cid:durableId="1489975158">
    <w:abstractNumId w:val="23"/>
  </w:num>
  <w:num w:numId="12" w16cid:durableId="978461098">
    <w:abstractNumId w:val="28"/>
  </w:num>
  <w:num w:numId="13" w16cid:durableId="542838007">
    <w:abstractNumId w:val="32"/>
  </w:num>
  <w:num w:numId="14" w16cid:durableId="158541110">
    <w:abstractNumId w:val="8"/>
  </w:num>
  <w:num w:numId="15" w16cid:durableId="2067215507">
    <w:abstractNumId w:val="36"/>
  </w:num>
  <w:num w:numId="16" w16cid:durableId="239218310">
    <w:abstractNumId w:val="25"/>
  </w:num>
  <w:num w:numId="17" w16cid:durableId="843587357">
    <w:abstractNumId w:val="24"/>
  </w:num>
  <w:num w:numId="18" w16cid:durableId="344945745">
    <w:abstractNumId w:val="24"/>
    <w:lvlOverride w:ilvl="0">
      <w:startOverride w:val="1"/>
    </w:lvlOverride>
  </w:num>
  <w:num w:numId="19" w16cid:durableId="336613597">
    <w:abstractNumId w:val="6"/>
  </w:num>
  <w:num w:numId="20" w16cid:durableId="1933665414">
    <w:abstractNumId w:val="4"/>
  </w:num>
  <w:num w:numId="21" w16cid:durableId="1596400175">
    <w:abstractNumId w:val="31"/>
  </w:num>
  <w:num w:numId="22" w16cid:durableId="1766654064">
    <w:abstractNumId w:val="16"/>
  </w:num>
  <w:num w:numId="23" w16cid:durableId="331303741">
    <w:abstractNumId w:val="11"/>
  </w:num>
  <w:num w:numId="24" w16cid:durableId="1867017559">
    <w:abstractNumId w:val="1"/>
  </w:num>
  <w:num w:numId="25" w16cid:durableId="1623730964">
    <w:abstractNumId w:val="19"/>
  </w:num>
  <w:num w:numId="26" w16cid:durableId="1484077634">
    <w:abstractNumId w:val="10"/>
  </w:num>
  <w:num w:numId="27" w16cid:durableId="2072119119">
    <w:abstractNumId w:val="29"/>
  </w:num>
  <w:num w:numId="28" w16cid:durableId="883372655">
    <w:abstractNumId w:val="13"/>
  </w:num>
  <w:num w:numId="29" w16cid:durableId="181676969">
    <w:abstractNumId w:val="5"/>
  </w:num>
  <w:num w:numId="30" w16cid:durableId="1971473787">
    <w:abstractNumId w:val="20"/>
  </w:num>
  <w:num w:numId="31" w16cid:durableId="662703733">
    <w:abstractNumId w:val="2"/>
  </w:num>
  <w:num w:numId="32" w16cid:durableId="1456026663">
    <w:abstractNumId w:val="26"/>
  </w:num>
  <w:num w:numId="33" w16cid:durableId="833299995">
    <w:abstractNumId w:val="27"/>
  </w:num>
  <w:num w:numId="34" w16cid:durableId="1638142736">
    <w:abstractNumId w:val="34"/>
  </w:num>
  <w:num w:numId="35" w16cid:durableId="1697731441">
    <w:abstractNumId w:val="0"/>
  </w:num>
  <w:num w:numId="36" w16cid:durableId="441536241">
    <w:abstractNumId w:val="3"/>
  </w:num>
  <w:num w:numId="37" w16cid:durableId="1447042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5936703">
    <w:abstractNumId w:val="30"/>
  </w:num>
  <w:num w:numId="39" w16cid:durableId="736903938">
    <w:abstractNumId w:val="14"/>
  </w:num>
  <w:num w:numId="40" w16cid:durableId="1018893888">
    <w:abstractNumId w:val="3"/>
  </w:num>
  <w:num w:numId="41" w16cid:durableId="1365521392">
    <w:abstractNumId w:val="15"/>
  </w:num>
  <w:num w:numId="42" w16cid:durableId="1719356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MjYxsTQzMzYyMTBW0lEKTi0uzszPAykwrAUA5GY/uywAAAA="/>
  </w:docVars>
  <w:rsids>
    <w:rsidRoot w:val="00500962"/>
    <w:rsid w:val="0000392B"/>
    <w:rsid w:val="00006296"/>
    <w:rsid w:val="00007A4C"/>
    <w:rsid w:val="00013464"/>
    <w:rsid w:val="000154C9"/>
    <w:rsid w:val="00015DEB"/>
    <w:rsid w:val="0001604E"/>
    <w:rsid w:val="00021C5B"/>
    <w:rsid w:val="00021ED6"/>
    <w:rsid w:val="00022FB5"/>
    <w:rsid w:val="00025419"/>
    <w:rsid w:val="000265E5"/>
    <w:rsid w:val="00026E84"/>
    <w:rsid w:val="000272B9"/>
    <w:rsid w:val="00027449"/>
    <w:rsid w:val="00030A61"/>
    <w:rsid w:val="000312A0"/>
    <w:rsid w:val="0003137B"/>
    <w:rsid w:val="00032C6D"/>
    <w:rsid w:val="00032DB9"/>
    <w:rsid w:val="0003424B"/>
    <w:rsid w:val="000357EF"/>
    <w:rsid w:val="0003699D"/>
    <w:rsid w:val="00037AE8"/>
    <w:rsid w:val="000427AF"/>
    <w:rsid w:val="000454C5"/>
    <w:rsid w:val="0004648F"/>
    <w:rsid w:val="000526C0"/>
    <w:rsid w:val="0005438B"/>
    <w:rsid w:val="0005489C"/>
    <w:rsid w:val="00060062"/>
    <w:rsid w:val="0006044D"/>
    <w:rsid w:val="00061B6B"/>
    <w:rsid w:val="00064DA7"/>
    <w:rsid w:val="000657DA"/>
    <w:rsid w:val="000671B9"/>
    <w:rsid w:val="00067BFC"/>
    <w:rsid w:val="0007215B"/>
    <w:rsid w:val="00076298"/>
    <w:rsid w:val="00076355"/>
    <w:rsid w:val="0007759D"/>
    <w:rsid w:val="0007768F"/>
    <w:rsid w:val="00081B51"/>
    <w:rsid w:val="000A2E2B"/>
    <w:rsid w:val="000A73B7"/>
    <w:rsid w:val="000A7C8D"/>
    <w:rsid w:val="000B16E2"/>
    <w:rsid w:val="000B415E"/>
    <w:rsid w:val="000B4B4C"/>
    <w:rsid w:val="000B715B"/>
    <w:rsid w:val="000B766C"/>
    <w:rsid w:val="000C15B4"/>
    <w:rsid w:val="000C1BDD"/>
    <w:rsid w:val="000C2D64"/>
    <w:rsid w:val="000C4A4F"/>
    <w:rsid w:val="000C69F6"/>
    <w:rsid w:val="000D24D1"/>
    <w:rsid w:val="000D5B9F"/>
    <w:rsid w:val="000D78E7"/>
    <w:rsid w:val="000E074F"/>
    <w:rsid w:val="000E391D"/>
    <w:rsid w:val="000E7EF6"/>
    <w:rsid w:val="000F1603"/>
    <w:rsid w:val="000F3494"/>
    <w:rsid w:val="000F7D54"/>
    <w:rsid w:val="00100119"/>
    <w:rsid w:val="001041B4"/>
    <w:rsid w:val="00105A5F"/>
    <w:rsid w:val="001116D1"/>
    <w:rsid w:val="00114C66"/>
    <w:rsid w:val="00117C5B"/>
    <w:rsid w:val="00120575"/>
    <w:rsid w:val="00122F23"/>
    <w:rsid w:val="001256BA"/>
    <w:rsid w:val="001259B8"/>
    <w:rsid w:val="00130864"/>
    <w:rsid w:val="0013092B"/>
    <w:rsid w:val="00130F98"/>
    <w:rsid w:val="00135BBC"/>
    <w:rsid w:val="00140BDD"/>
    <w:rsid w:val="00141787"/>
    <w:rsid w:val="00143C63"/>
    <w:rsid w:val="00150030"/>
    <w:rsid w:val="00153221"/>
    <w:rsid w:val="001532A5"/>
    <w:rsid w:val="001576CC"/>
    <w:rsid w:val="00157D4A"/>
    <w:rsid w:val="00161BE1"/>
    <w:rsid w:val="0016212B"/>
    <w:rsid w:val="001627DA"/>
    <w:rsid w:val="001660E8"/>
    <w:rsid w:val="00170CB5"/>
    <w:rsid w:val="0017225D"/>
    <w:rsid w:val="00182A6D"/>
    <w:rsid w:val="00184DFA"/>
    <w:rsid w:val="001851BF"/>
    <w:rsid w:val="001870D3"/>
    <w:rsid w:val="00187C6D"/>
    <w:rsid w:val="0019279B"/>
    <w:rsid w:val="00192803"/>
    <w:rsid w:val="00192B9D"/>
    <w:rsid w:val="00193987"/>
    <w:rsid w:val="001960EE"/>
    <w:rsid w:val="00196411"/>
    <w:rsid w:val="00196C7F"/>
    <w:rsid w:val="001A1B44"/>
    <w:rsid w:val="001A1BFD"/>
    <w:rsid w:val="001A2C4F"/>
    <w:rsid w:val="001A2D24"/>
    <w:rsid w:val="001A2DD1"/>
    <w:rsid w:val="001A3E30"/>
    <w:rsid w:val="001B1C3F"/>
    <w:rsid w:val="001B5051"/>
    <w:rsid w:val="001B639B"/>
    <w:rsid w:val="001B66AE"/>
    <w:rsid w:val="001B79BA"/>
    <w:rsid w:val="001C6B8D"/>
    <w:rsid w:val="001D08F5"/>
    <w:rsid w:val="001D4816"/>
    <w:rsid w:val="001D4AE4"/>
    <w:rsid w:val="001D5012"/>
    <w:rsid w:val="001D6A25"/>
    <w:rsid w:val="001D6D4E"/>
    <w:rsid w:val="001E19C9"/>
    <w:rsid w:val="001E2AE6"/>
    <w:rsid w:val="001E35F6"/>
    <w:rsid w:val="001E367A"/>
    <w:rsid w:val="001E6DC6"/>
    <w:rsid w:val="001F4152"/>
    <w:rsid w:val="001F5626"/>
    <w:rsid w:val="00200931"/>
    <w:rsid w:val="00203228"/>
    <w:rsid w:val="00203555"/>
    <w:rsid w:val="00204E7C"/>
    <w:rsid w:val="00205F4A"/>
    <w:rsid w:val="00206147"/>
    <w:rsid w:val="00206429"/>
    <w:rsid w:val="00211448"/>
    <w:rsid w:val="0021577E"/>
    <w:rsid w:val="0021599E"/>
    <w:rsid w:val="002210BD"/>
    <w:rsid w:val="00222BC8"/>
    <w:rsid w:val="002235EA"/>
    <w:rsid w:val="00223EC2"/>
    <w:rsid w:val="002250B8"/>
    <w:rsid w:val="00226879"/>
    <w:rsid w:val="00234C25"/>
    <w:rsid w:val="0023573C"/>
    <w:rsid w:val="00237D15"/>
    <w:rsid w:val="00242684"/>
    <w:rsid w:val="00243293"/>
    <w:rsid w:val="00247269"/>
    <w:rsid w:val="0025048D"/>
    <w:rsid w:val="00252E4B"/>
    <w:rsid w:val="00252EE7"/>
    <w:rsid w:val="002531E9"/>
    <w:rsid w:val="002531FE"/>
    <w:rsid w:val="00256707"/>
    <w:rsid w:val="002601E9"/>
    <w:rsid w:val="0026396B"/>
    <w:rsid w:val="002672BA"/>
    <w:rsid w:val="00270DDE"/>
    <w:rsid w:val="00272BEB"/>
    <w:rsid w:val="00280B91"/>
    <w:rsid w:val="0028772D"/>
    <w:rsid w:val="00292179"/>
    <w:rsid w:val="002929F1"/>
    <w:rsid w:val="002941EE"/>
    <w:rsid w:val="00294525"/>
    <w:rsid w:val="00294D2C"/>
    <w:rsid w:val="002961AF"/>
    <w:rsid w:val="002A01FB"/>
    <w:rsid w:val="002A482D"/>
    <w:rsid w:val="002A52E5"/>
    <w:rsid w:val="002B02B4"/>
    <w:rsid w:val="002B1894"/>
    <w:rsid w:val="002B255F"/>
    <w:rsid w:val="002B5367"/>
    <w:rsid w:val="002B5C07"/>
    <w:rsid w:val="002B6851"/>
    <w:rsid w:val="002C1995"/>
    <w:rsid w:val="002C1D67"/>
    <w:rsid w:val="002C2539"/>
    <w:rsid w:val="002C2BE0"/>
    <w:rsid w:val="002C4152"/>
    <w:rsid w:val="002C4528"/>
    <w:rsid w:val="002C465E"/>
    <w:rsid w:val="002E0427"/>
    <w:rsid w:val="002E2C2B"/>
    <w:rsid w:val="002E2C8D"/>
    <w:rsid w:val="002F1361"/>
    <w:rsid w:val="002F4F58"/>
    <w:rsid w:val="002F6CBF"/>
    <w:rsid w:val="002F723C"/>
    <w:rsid w:val="003009C2"/>
    <w:rsid w:val="00301C1A"/>
    <w:rsid w:val="00304578"/>
    <w:rsid w:val="003111B5"/>
    <w:rsid w:val="0031183C"/>
    <w:rsid w:val="00315E3E"/>
    <w:rsid w:val="00317E38"/>
    <w:rsid w:val="003209E4"/>
    <w:rsid w:val="0032143F"/>
    <w:rsid w:val="00323128"/>
    <w:rsid w:val="003268B8"/>
    <w:rsid w:val="00326CBB"/>
    <w:rsid w:val="0032700D"/>
    <w:rsid w:val="003306C4"/>
    <w:rsid w:val="00334974"/>
    <w:rsid w:val="00336864"/>
    <w:rsid w:val="00337420"/>
    <w:rsid w:val="00340DD9"/>
    <w:rsid w:val="003411BE"/>
    <w:rsid w:val="0034524F"/>
    <w:rsid w:val="0035030B"/>
    <w:rsid w:val="00350482"/>
    <w:rsid w:val="00354065"/>
    <w:rsid w:val="0035418F"/>
    <w:rsid w:val="00354BAE"/>
    <w:rsid w:val="003614C9"/>
    <w:rsid w:val="00361FAC"/>
    <w:rsid w:val="003631F8"/>
    <w:rsid w:val="00367034"/>
    <w:rsid w:val="00367E53"/>
    <w:rsid w:val="0037263C"/>
    <w:rsid w:val="00372CA9"/>
    <w:rsid w:val="00376367"/>
    <w:rsid w:val="00377670"/>
    <w:rsid w:val="003822F5"/>
    <w:rsid w:val="00384B8A"/>
    <w:rsid w:val="003868DF"/>
    <w:rsid w:val="003905C8"/>
    <w:rsid w:val="003922FC"/>
    <w:rsid w:val="00392342"/>
    <w:rsid w:val="003945FD"/>
    <w:rsid w:val="003953AB"/>
    <w:rsid w:val="003A0E15"/>
    <w:rsid w:val="003A1623"/>
    <w:rsid w:val="003A3156"/>
    <w:rsid w:val="003A36BF"/>
    <w:rsid w:val="003A38BC"/>
    <w:rsid w:val="003A3C9A"/>
    <w:rsid w:val="003A4131"/>
    <w:rsid w:val="003A5BF4"/>
    <w:rsid w:val="003B2E06"/>
    <w:rsid w:val="003B3D2C"/>
    <w:rsid w:val="003B4174"/>
    <w:rsid w:val="003B5808"/>
    <w:rsid w:val="003B6DD0"/>
    <w:rsid w:val="003B7A7B"/>
    <w:rsid w:val="003C27E4"/>
    <w:rsid w:val="003D0F50"/>
    <w:rsid w:val="003D4675"/>
    <w:rsid w:val="003D6CE1"/>
    <w:rsid w:val="003D6F2F"/>
    <w:rsid w:val="003E6639"/>
    <w:rsid w:val="003E71D7"/>
    <w:rsid w:val="003F211E"/>
    <w:rsid w:val="003F3DB9"/>
    <w:rsid w:val="003F4D48"/>
    <w:rsid w:val="003F7523"/>
    <w:rsid w:val="003F7E10"/>
    <w:rsid w:val="00401008"/>
    <w:rsid w:val="00407071"/>
    <w:rsid w:val="00412CAD"/>
    <w:rsid w:val="004147E5"/>
    <w:rsid w:val="00417C2F"/>
    <w:rsid w:val="00421477"/>
    <w:rsid w:val="00424F29"/>
    <w:rsid w:val="00426189"/>
    <w:rsid w:val="0042618B"/>
    <w:rsid w:val="00430985"/>
    <w:rsid w:val="00431262"/>
    <w:rsid w:val="0043393C"/>
    <w:rsid w:val="00433E23"/>
    <w:rsid w:val="00434328"/>
    <w:rsid w:val="0043639C"/>
    <w:rsid w:val="004368F0"/>
    <w:rsid w:val="00437C8C"/>
    <w:rsid w:val="00440552"/>
    <w:rsid w:val="00440FC1"/>
    <w:rsid w:val="00442E72"/>
    <w:rsid w:val="00446814"/>
    <w:rsid w:val="00451279"/>
    <w:rsid w:val="0045323A"/>
    <w:rsid w:val="00461A60"/>
    <w:rsid w:val="00461DE9"/>
    <w:rsid w:val="00464F29"/>
    <w:rsid w:val="00466F02"/>
    <w:rsid w:val="00475A39"/>
    <w:rsid w:val="00476B64"/>
    <w:rsid w:val="00480C2D"/>
    <w:rsid w:val="00482555"/>
    <w:rsid w:val="004828D3"/>
    <w:rsid w:val="00483834"/>
    <w:rsid w:val="00484FFC"/>
    <w:rsid w:val="00485C6F"/>
    <w:rsid w:val="004923C4"/>
    <w:rsid w:val="00493C97"/>
    <w:rsid w:val="00494763"/>
    <w:rsid w:val="00497831"/>
    <w:rsid w:val="004A54A7"/>
    <w:rsid w:val="004A6AB0"/>
    <w:rsid w:val="004B02FD"/>
    <w:rsid w:val="004B044C"/>
    <w:rsid w:val="004B0CDA"/>
    <w:rsid w:val="004B7492"/>
    <w:rsid w:val="004C3506"/>
    <w:rsid w:val="004C3B8B"/>
    <w:rsid w:val="004C4698"/>
    <w:rsid w:val="004C48B9"/>
    <w:rsid w:val="004C6AB1"/>
    <w:rsid w:val="004C7EB9"/>
    <w:rsid w:val="004D1501"/>
    <w:rsid w:val="004D1753"/>
    <w:rsid w:val="004D1A96"/>
    <w:rsid w:val="004D1BD7"/>
    <w:rsid w:val="004D398F"/>
    <w:rsid w:val="004D3BD0"/>
    <w:rsid w:val="004D3EAD"/>
    <w:rsid w:val="004D7DFE"/>
    <w:rsid w:val="004E037B"/>
    <w:rsid w:val="004E23A8"/>
    <w:rsid w:val="004E33F4"/>
    <w:rsid w:val="004E64A7"/>
    <w:rsid w:val="004E7D66"/>
    <w:rsid w:val="004F33B3"/>
    <w:rsid w:val="004F3545"/>
    <w:rsid w:val="004F4579"/>
    <w:rsid w:val="00500962"/>
    <w:rsid w:val="00503F29"/>
    <w:rsid w:val="0051218F"/>
    <w:rsid w:val="005241CA"/>
    <w:rsid w:val="005275ED"/>
    <w:rsid w:val="005279F3"/>
    <w:rsid w:val="005303D9"/>
    <w:rsid w:val="00532235"/>
    <w:rsid w:val="005338CB"/>
    <w:rsid w:val="00533B29"/>
    <w:rsid w:val="00535FCE"/>
    <w:rsid w:val="00536B04"/>
    <w:rsid w:val="00544DA7"/>
    <w:rsid w:val="005462CF"/>
    <w:rsid w:val="0054722A"/>
    <w:rsid w:val="0055139D"/>
    <w:rsid w:val="00554B10"/>
    <w:rsid w:val="00556242"/>
    <w:rsid w:val="00557208"/>
    <w:rsid w:val="00557A32"/>
    <w:rsid w:val="00557DCD"/>
    <w:rsid w:val="00561AB9"/>
    <w:rsid w:val="00562305"/>
    <w:rsid w:val="005623C6"/>
    <w:rsid w:val="00563D1A"/>
    <w:rsid w:val="00571DB5"/>
    <w:rsid w:val="00575686"/>
    <w:rsid w:val="00577DBB"/>
    <w:rsid w:val="00582FDA"/>
    <w:rsid w:val="00586181"/>
    <w:rsid w:val="005939C9"/>
    <w:rsid w:val="00595E44"/>
    <w:rsid w:val="00597288"/>
    <w:rsid w:val="005979B3"/>
    <w:rsid w:val="005A0E66"/>
    <w:rsid w:val="005A442C"/>
    <w:rsid w:val="005A53D6"/>
    <w:rsid w:val="005A5E2B"/>
    <w:rsid w:val="005A6AA5"/>
    <w:rsid w:val="005B092B"/>
    <w:rsid w:val="005B1A33"/>
    <w:rsid w:val="005B5219"/>
    <w:rsid w:val="005B5383"/>
    <w:rsid w:val="005B66CF"/>
    <w:rsid w:val="005B6974"/>
    <w:rsid w:val="005B74F1"/>
    <w:rsid w:val="005C2BCC"/>
    <w:rsid w:val="005C370F"/>
    <w:rsid w:val="005C4338"/>
    <w:rsid w:val="005C5C10"/>
    <w:rsid w:val="005D15CE"/>
    <w:rsid w:val="005D2B59"/>
    <w:rsid w:val="005D4FB7"/>
    <w:rsid w:val="005D6575"/>
    <w:rsid w:val="005D6621"/>
    <w:rsid w:val="005D797A"/>
    <w:rsid w:val="005E0360"/>
    <w:rsid w:val="005E0EA8"/>
    <w:rsid w:val="005E122D"/>
    <w:rsid w:val="005E1BA1"/>
    <w:rsid w:val="005E3D18"/>
    <w:rsid w:val="005E7299"/>
    <w:rsid w:val="005E79AA"/>
    <w:rsid w:val="005F2C5A"/>
    <w:rsid w:val="005F6544"/>
    <w:rsid w:val="005F6F09"/>
    <w:rsid w:val="005F77A3"/>
    <w:rsid w:val="006033A8"/>
    <w:rsid w:val="00603FB8"/>
    <w:rsid w:val="0061165B"/>
    <w:rsid w:val="0061478A"/>
    <w:rsid w:val="00615CC8"/>
    <w:rsid w:val="00620D88"/>
    <w:rsid w:val="006229F0"/>
    <w:rsid w:val="006322CE"/>
    <w:rsid w:val="006327F6"/>
    <w:rsid w:val="006335AC"/>
    <w:rsid w:val="00633887"/>
    <w:rsid w:val="006415EA"/>
    <w:rsid w:val="0064222B"/>
    <w:rsid w:val="00642DC0"/>
    <w:rsid w:val="0064398F"/>
    <w:rsid w:val="00643FF2"/>
    <w:rsid w:val="0064718F"/>
    <w:rsid w:val="006473DD"/>
    <w:rsid w:val="00647FDB"/>
    <w:rsid w:val="00652AC7"/>
    <w:rsid w:val="00653D76"/>
    <w:rsid w:val="0066067B"/>
    <w:rsid w:val="00661063"/>
    <w:rsid w:val="006656EB"/>
    <w:rsid w:val="006667CA"/>
    <w:rsid w:val="0067022A"/>
    <w:rsid w:val="00672891"/>
    <w:rsid w:val="00677686"/>
    <w:rsid w:val="006814A7"/>
    <w:rsid w:val="00681B7C"/>
    <w:rsid w:val="0068594E"/>
    <w:rsid w:val="00690C78"/>
    <w:rsid w:val="006968F3"/>
    <w:rsid w:val="006A04FC"/>
    <w:rsid w:val="006A144B"/>
    <w:rsid w:val="006A6EB7"/>
    <w:rsid w:val="006A6FF7"/>
    <w:rsid w:val="006B5410"/>
    <w:rsid w:val="006B7B21"/>
    <w:rsid w:val="006C0FA2"/>
    <w:rsid w:val="006C2D40"/>
    <w:rsid w:val="006C7DC2"/>
    <w:rsid w:val="006D119E"/>
    <w:rsid w:val="006D2114"/>
    <w:rsid w:val="006D2FD9"/>
    <w:rsid w:val="006D40B0"/>
    <w:rsid w:val="006D6303"/>
    <w:rsid w:val="006D7452"/>
    <w:rsid w:val="006D7E5A"/>
    <w:rsid w:val="006E52C6"/>
    <w:rsid w:val="006F280C"/>
    <w:rsid w:val="006F41E6"/>
    <w:rsid w:val="007002F2"/>
    <w:rsid w:val="0070599D"/>
    <w:rsid w:val="0071558E"/>
    <w:rsid w:val="007213DC"/>
    <w:rsid w:val="00722500"/>
    <w:rsid w:val="00726F9A"/>
    <w:rsid w:val="0073569B"/>
    <w:rsid w:val="00737C6B"/>
    <w:rsid w:val="00744E2B"/>
    <w:rsid w:val="00745147"/>
    <w:rsid w:val="00746787"/>
    <w:rsid w:val="007467C1"/>
    <w:rsid w:val="00746864"/>
    <w:rsid w:val="0074687D"/>
    <w:rsid w:val="00747428"/>
    <w:rsid w:val="00754125"/>
    <w:rsid w:val="00766358"/>
    <w:rsid w:val="0076679E"/>
    <w:rsid w:val="00766BC8"/>
    <w:rsid w:val="007702AA"/>
    <w:rsid w:val="007759AF"/>
    <w:rsid w:val="00775F8A"/>
    <w:rsid w:val="00780803"/>
    <w:rsid w:val="00780C38"/>
    <w:rsid w:val="007850F8"/>
    <w:rsid w:val="00785981"/>
    <w:rsid w:val="0078669F"/>
    <w:rsid w:val="007929C6"/>
    <w:rsid w:val="00792EAF"/>
    <w:rsid w:val="007933A6"/>
    <w:rsid w:val="0079593E"/>
    <w:rsid w:val="00796938"/>
    <w:rsid w:val="00796B5C"/>
    <w:rsid w:val="007A1F15"/>
    <w:rsid w:val="007A76A2"/>
    <w:rsid w:val="007B3B6A"/>
    <w:rsid w:val="007B738C"/>
    <w:rsid w:val="007B7DD3"/>
    <w:rsid w:val="007C5760"/>
    <w:rsid w:val="007C6161"/>
    <w:rsid w:val="007D0EAE"/>
    <w:rsid w:val="007D2290"/>
    <w:rsid w:val="007D3AB8"/>
    <w:rsid w:val="007D651F"/>
    <w:rsid w:val="007D6EAA"/>
    <w:rsid w:val="007E15FF"/>
    <w:rsid w:val="007E29B3"/>
    <w:rsid w:val="007E3718"/>
    <w:rsid w:val="007E4B49"/>
    <w:rsid w:val="007E779F"/>
    <w:rsid w:val="007F4FA5"/>
    <w:rsid w:val="00800D7E"/>
    <w:rsid w:val="00802C7D"/>
    <w:rsid w:val="00802CF9"/>
    <w:rsid w:val="008035CA"/>
    <w:rsid w:val="00805E79"/>
    <w:rsid w:val="008075ED"/>
    <w:rsid w:val="00810497"/>
    <w:rsid w:val="00814941"/>
    <w:rsid w:val="00815049"/>
    <w:rsid w:val="008171BF"/>
    <w:rsid w:val="008174F8"/>
    <w:rsid w:val="00820819"/>
    <w:rsid w:val="00821872"/>
    <w:rsid w:val="0082456D"/>
    <w:rsid w:val="00825901"/>
    <w:rsid w:val="0082666E"/>
    <w:rsid w:val="00832982"/>
    <w:rsid w:val="00833F1E"/>
    <w:rsid w:val="008353F0"/>
    <w:rsid w:val="00840709"/>
    <w:rsid w:val="00840EB0"/>
    <w:rsid w:val="008458B5"/>
    <w:rsid w:val="00845AAB"/>
    <w:rsid w:val="00846B05"/>
    <w:rsid w:val="0085132E"/>
    <w:rsid w:val="008521E7"/>
    <w:rsid w:val="00854941"/>
    <w:rsid w:val="00856352"/>
    <w:rsid w:val="00856A37"/>
    <w:rsid w:val="00856E49"/>
    <w:rsid w:val="00862DA8"/>
    <w:rsid w:val="0086705A"/>
    <w:rsid w:val="00871017"/>
    <w:rsid w:val="0087209B"/>
    <w:rsid w:val="0087229B"/>
    <w:rsid w:val="00875C49"/>
    <w:rsid w:val="00876268"/>
    <w:rsid w:val="00876B4C"/>
    <w:rsid w:val="0088169D"/>
    <w:rsid w:val="00882668"/>
    <w:rsid w:val="00884379"/>
    <w:rsid w:val="00884C1E"/>
    <w:rsid w:val="00885A73"/>
    <w:rsid w:val="008866FE"/>
    <w:rsid w:val="0089052E"/>
    <w:rsid w:val="00890863"/>
    <w:rsid w:val="00891031"/>
    <w:rsid w:val="008938D4"/>
    <w:rsid w:val="00894F89"/>
    <w:rsid w:val="00896C5E"/>
    <w:rsid w:val="008A02AF"/>
    <w:rsid w:val="008A634C"/>
    <w:rsid w:val="008B1B98"/>
    <w:rsid w:val="008B23C8"/>
    <w:rsid w:val="008B2A48"/>
    <w:rsid w:val="008B4662"/>
    <w:rsid w:val="008C1F37"/>
    <w:rsid w:val="008C214F"/>
    <w:rsid w:val="008C4CA9"/>
    <w:rsid w:val="008C60CC"/>
    <w:rsid w:val="008C6A2C"/>
    <w:rsid w:val="008C7022"/>
    <w:rsid w:val="008D18C9"/>
    <w:rsid w:val="008D3ED7"/>
    <w:rsid w:val="008D653B"/>
    <w:rsid w:val="008E02CD"/>
    <w:rsid w:val="008E2BD8"/>
    <w:rsid w:val="008E6ABA"/>
    <w:rsid w:val="008F0BB8"/>
    <w:rsid w:val="008F7943"/>
    <w:rsid w:val="00900A0D"/>
    <w:rsid w:val="009028BD"/>
    <w:rsid w:val="00902E27"/>
    <w:rsid w:val="00903371"/>
    <w:rsid w:val="009062AF"/>
    <w:rsid w:val="0091197A"/>
    <w:rsid w:val="00915354"/>
    <w:rsid w:val="00917170"/>
    <w:rsid w:val="009216E9"/>
    <w:rsid w:val="0092232C"/>
    <w:rsid w:val="00922A47"/>
    <w:rsid w:val="00932195"/>
    <w:rsid w:val="009324E1"/>
    <w:rsid w:val="009326D5"/>
    <w:rsid w:val="00936236"/>
    <w:rsid w:val="009363B0"/>
    <w:rsid w:val="00936BB3"/>
    <w:rsid w:val="009411B2"/>
    <w:rsid w:val="00944129"/>
    <w:rsid w:val="0094684A"/>
    <w:rsid w:val="00947981"/>
    <w:rsid w:val="00950A55"/>
    <w:rsid w:val="00950DA3"/>
    <w:rsid w:val="0095389D"/>
    <w:rsid w:val="00954303"/>
    <w:rsid w:val="00954A45"/>
    <w:rsid w:val="00955549"/>
    <w:rsid w:val="009578D0"/>
    <w:rsid w:val="009620AB"/>
    <w:rsid w:val="00963EFB"/>
    <w:rsid w:val="009640D0"/>
    <w:rsid w:val="00964A17"/>
    <w:rsid w:val="00965ACF"/>
    <w:rsid w:val="00966269"/>
    <w:rsid w:val="0097268A"/>
    <w:rsid w:val="00972EA4"/>
    <w:rsid w:val="00974F38"/>
    <w:rsid w:val="009777DD"/>
    <w:rsid w:val="00980EBE"/>
    <w:rsid w:val="00983AE3"/>
    <w:rsid w:val="009844DE"/>
    <w:rsid w:val="009903BA"/>
    <w:rsid w:val="009911A2"/>
    <w:rsid w:val="009916BD"/>
    <w:rsid w:val="00991C50"/>
    <w:rsid w:val="0099450C"/>
    <w:rsid w:val="009961F6"/>
    <w:rsid w:val="00996490"/>
    <w:rsid w:val="009973C6"/>
    <w:rsid w:val="009A5FB7"/>
    <w:rsid w:val="009B0875"/>
    <w:rsid w:val="009B1705"/>
    <w:rsid w:val="009B35B4"/>
    <w:rsid w:val="009B6675"/>
    <w:rsid w:val="009B68F7"/>
    <w:rsid w:val="009B6F36"/>
    <w:rsid w:val="009C116A"/>
    <w:rsid w:val="009C18DF"/>
    <w:rsid w:val="009C2251"/>
    <w:rsid w:val="009C2778"/>
    <w:rsid w:val="009C29D9"/>
    <w:rsid w:val="009C3B95"/>
    <w:rsid w:val="009C4777"/>
    <w:rsid w:val="009C6524"/>
    <w:rsid w:val="009C6988"/>
    <w:rsid w:val="009D2648"/>
    <w:rsid w:val="009D597D"/>
    <w:rsid w:val="009D5BDD"/>
    <w:rsid w:val="009D702D"/>
    <w:rsid w:val="009E1D82"/>
    <w:rsid w:val="009E29C5"/>
    <w:rsid w:val="009E6253"/>
    <w:rsid w:val="009F2615"/>
    <w:rsid w:val="009F294C"/>
    <w:rsid w:val="009F3975"/>
    <w:rsid w:val="009F478E"/>
    <w:rsid w:val="009F48CC"/>
    <w:rsid w:val="009F53E1"/>
    <w:rsid w:val="009F741B"/>
    <w:rsid w:val="009F7492"/>
    <w:rsid w:val="00A0181B"/>
    <w:rsid w:val="00A05E83"/>
    <w:rsid w:val="00A06E95"/>
    <w:rsid w:val="00A11F4A"/>
    <w:rsid w:val="00A11FA2"/>
    <w:rsid w:val="00A131BF"/>
    <w:rsid w:val="00A1655D"/>
    <w:rsid w:val="00A202E3"/>
    <w:rsid w:val="00A20B4B"/>
    <w:rsid w:val="00A21382"/>
    <w:rsid w:val="00A23C1C"/>
    <w:rsid w:val="00A26ECF"/>
    <w:rsid w:val="00A276FE"/>
    <w:rsid w:val="00A32ECA"/>
    <w:rsid w:val="00A44B28"/>
    <w:rsid w:val="00A507F2"/>
    <w:rsid w:val="00A50C39"/>
    <w:rsid w:val="00A51567"/>
    <w:rsid w:val="00A53D49"/>
    <w:rsid w:val="00A54CD4"/>
    <w:rsid w:val="00A555B4"/>
    <w:rsid w:val="00A55733"/>
    <w:rsid w:val="00A57CC1"/>
    <w:rsid w:val="00A62BC9"/>
    <w:rsid w:val="00A6422A"/>
    <w:rsid w:val="00A66C75"/>
    <w:rsid w:val="00A67503"/>
    <w:rsid w:val="00A7375D"/>
    <w:rsid w:val="00A73FA5"/>
    <w:rsid w:val="00A746B0"/>
    <w:rsid w:val="00A74913"/>
    <w:rsid w:val="00A75570"/>
    <w:rsid w:val="00A75FC7"/>
    <w:rsid w:val="00A80284"/>
    <w:rsid w:val="00A821DD"/>
    <w:rsid w:val="00A84588"/>
    <w:rsid w:val="00A84CA5"/>
    <w:rsid w:val="00A871FA"/>
    <w:rsid w:val="00A96A9D"/>
    <w:rsid w:val="00A96B24"/>
    <w:rsid w:val="00AA1F47"/>
    <w:rsid w:val="00AA2950"/>
    <w:rsid w:val="00AA4E2D"/>
    <w:rsid w:val="00AA4F1C"/>
    <w:rsid w:val="00AC1648"/>
    <w:rsid w:val="00AC42ED"/>
    <w:rsid w:val="00AC67BE"/>
    <w:rsid w:val="00AC79AE"/>
    <w:rsid w:val="00AD117A"/>
    <w:rsid w:val="00AD7FE5"/>
    <w:rsid w:val="00AE1A24"/>
    <w:rsid w:val="00AE41A4"/>
    <w:rsid w:val="00AE52C3"/>
    <w:rsid w:val="00AF41D2"/>
    <w:rsid w:val="00AF4252"/>
    <w:rsid w:val="00AF5C38"/>
    <w:rsid w:val="00AF66F6"/>
    <w:rsid w:val="00AF6BA8"/>
    <w:rsid w:val="00AF70FE"/>
    <w:rsid w:val="00B03706"/>
    <w:rsid w:val="00B067E9"/>
    <w:rsid w:val="00B078C8"/>
    <w:rsid w:val="00B1150A"/>
    <w:rsid w:val="00B127BA"/>
    <w:rsid w:val="00B15433"/>
    <w:rsid w:val="00B2110D"/>
    <w:rsid w:val="00B2588D"/>
    <w:rsid w:val="00B26507"/>
    <w:rsid w:val="00B27DA5"/>
    <w:rsid w:val="00B302A8"/>
    <w:rsid w:val="00B3056D"/>
    <w:rsid w:val="00B30B39"/>
    <w:rsid w:val="00B3681D"/>
    <w:rsid w:val="00B41869"/>
    <w:rsid w:val="00B43220"/>
    <w:rsid w:val="00B43ECD"/>
    <w:rsid w:val="00B5606A"/>
    <w:rsid w:val="00B562C1"/>
    <w:rsid w:val="00B61E76"/>
    <w:rsid w:val="00B63834"/>
    <w:rsid w:val="00B639A0"/>
    <w:rsid w:val="00B646BB"/>
    <w:rsid w:val="00B6522B"/>
    <w:rsid w:val="00B66B42"/>
    <w:rsid w:val="00B67229"/>
    <w:rsid w:val="00B72F76"/>
    <w:rsid w:val="00B74114"/>
    <w:rsid w:val="00B771EF"/>
    <w:rsid w:val="00B80B7C"/>
    <w:rsid w:val="00B83101"/>
    <w:rsid w:val="00B83B85"/>
    <w:rsid w:val="00B83D64"/>
    <w:rsid w:val="00B85A80"/>
    <w:rsid w:val="00B860E8"/>
    <w:rsid w:val="00B87947"/>
    <w:rsid w:val="00B904DF"/>
    <w:rsid w:val="00B9385E"/>
    <w:rsid w:val="00B949A0"/>
    <w:rsid w:val="00B97E76"/>
    <w:rsid w:val="00BA03C6"/>
    <w:rsid w:val="00BA1167"/>
    <w:rsid w:val="00BA3F11"/>
    <w:rsid w:val="00BA409B"/>
    <w:rsid w:val="00BA49EF"/>
    <w:rsid w:val="00BA6A9F"/>
    <w:rsid w:val="00BA6C1C"/>
    <w:rsid w:val="00BB4F1C"/>
    <w:rsid w:val="00BB5A0C"/>
    <w:rsid w:val="00BB6750"/>
    <w:rsid w:val="00BC0973"/>
    <w:rsid w:val="00BC2CE2"/>
    <w:rsid w:val="00BC36CE"/>
    <w:rsid w:val="00BC51D0"/>
    <w:rsid w:val="00BD1343"/>
    <w:rsid w:val="00BD1DF0"/>
    <w:rsid w:val="00BD2BE3"/>
    <w:rsid w:val="00BD2D6B"/>
    <w:rsid w:val="00BE1A42"/>
    <w:rsid w:val="00BE2E65"/>
    <w:rsid w:val="00BE46F9"/>
    <w:rsid w:val="00BE4CFD"/>
    <w:rsid w:val="00BE6670"/>
    <w:rsid w:val="00BF5002"/>
    <w:rsid w:val="00C01935"/>
    <w:rsid w:val="00C04167"/>
    <w:rsid w:val="00C0522A"/>
    <w:rsid w:val="00C05B30"/>
    <w:rsid w:val="00C06CBF"/>
    <w:rsid w:val="00C10753"/>
    <w:rsid w:val="00C10F1D"/>
    <w:rsid w:val="00C11459"/>
    <w:rsid w:val="00C12A5D"/>
    <w:rsid w:val="00C168FF"/>
    <w:rsid w:val="00C26166"/>
    <w:rsid w:val="00C27173"/>
    <w:rsid w:val="00C27A10"/>
    <w:rsid w:val="00C30937"/>
    <w:rsid w:val="00C31E29"/>
    <w:rsid w:val="00C35713"/>
    <w:rsid w:val="00C45DAC"/>
    <w:rsid w:val="00C4728B"/>
    <w:rsid w:val="00C50B30"/>
    <w:rsid w:val="00C50F27"/>
    <w:rsid w:val="00C51904"/>
    <w:rsid w:val="00C53E46"/>
    <w:rsid w:val="00C54293"/>
    <w:rsid w:val="00C55ACF"/>
    <w:rsid w:val="00C571B5"/>
    <w:rsid w:val="00C6302F"/>
    <w:rsid w:val="00C642B5"/>
    <w:rsid w:val="00C64585"/>
    <w:rsid w:val="00C647F1"/>
    <w:rsid w:val="00C65AA9"/>
    <w:rsid w:val="00C678FE"/>
    <w:rsid w:val="00C67C53"/>
    <w:rsid w:val="00C714F9"/>
    <w:rsid w:val="00C76A6C"/>
    <w:rsid w:val="00C76B4A"/>
    <w:rsid w:val="00C82F0D"/>
    <w:rsid w:val="00C83789"/>
    <w:rsid w:val="00C90186"/>
    <w:rsid w:val="00C90E7F"/>
    <w:rsid w:val="00C92A2F"/>
    <w:rsid w:val="00C932B0"/>
    <w:rsid w:val="00C95E75"/>
    <w:rsid w:val="00C9627A"/>
    <w:rsid w:val="00C977DE"/>
    <w:rsid w:val="00CA5827"/>
    <w:rsid w:val="00CA6A08"/>
    <w:rsid w:val="00CB03E2"/>
    <w:rsid w:val="00CB1C5F"/>
    <w:rsid w:val="00CB1EBC"/>
    <w:rsid w:val="00CB3265"/>
    <w:rsid w:val="00CB344D"/>
    <w:rsid w:val="00CB732B"/>
    <w:rsid w:val="00CB7B7D"/>
    <w:rsid w:val="00CC29EA"/>
    <w:rsid w:val="00CC44C3"/>
    <w:rsid w:val="00CC7566"/>
    <w:rsid w:val="00CD16B3"/>
    <w:rsid w:val="00CD1EED"/>
    <w:rsid w:val="00CD4AE3"/>
    <w:rsid w:val="00CD59B8"/>
    <w:rsid w:val="00CD5D37"/>
    <w:rsid w:val="00CD7373"/>
    <w:rsid w:val="00CE07F1"/>
    <w:rsid w:val="00CE1098"/>
    <w:rsid w:val="00CE5B8E"/>
    <w:rsid w:val="00CE6C24"/>
    <w:rsid w:val="00CE75F2"/>
    <w:rsid w:val="00CF0EA4"/>
    <w:rsid w:val="00CF2BFB"/>
    <w:rsid w:val="00CF363C"/>
    <w:rsid w:val="00CF4593"/>
    <w:rsid w:val="00CF6D9B"/>
    <w:rsid w:val="00D0075E"/>
    <w:rsid w:val="00D04160"/>
    <w:rsid w:val="00D13E93"/>
    <w:rsid w:val="00D15F53"/>
    <w:rsid w:val="00D16341"/>
    <w:rsid w:val="00D16BE7"/>
    <w:rsid w:val="00D22393"/>
    <w:rsid w:val="00D301D5"/>
    <w:rsid w:val="00D30A86"/>
    <w:rsid w:val="00D319A8"/>
    <w:rsid w:val="00D34809"/>
    <w:rsid w:val="00D34DA0"/>
    <w:rsid w:val="00D408F5"/>
    <w:rsid w:val="00D421F1"/>
    <w:rsid w:val="00D45688"/>
    <w:rsid w:val="00D46215"/>
    <w:rsid w:val="00D476F8"/>
    <w:rsid w:val="00D550B2"/>
    <w:rsid w:val="00D56403"/>
    <w:rsid w:val="00D5781D"/>
    <w:rsid w:val="00D57E61"/>
    <w:rsid w:val="00D60C2C"/>
    <w:rsid w:val="00D61161"/>
    <w:rsid w:val="00D61219"/>
    <w:rsid w:val="00D6237A"/>
    <w:rsid w:val="00D624AF"/>
    <w:rsid w:val="00D62998"/>
    <w:rsid w:val="00D7050A"/>
    <w:rsid w:val="00D70552"/>
    <w:rsid w:val="00D71326"/>
    <w:rsid w:val="00D73ABE"/>
    <w:rsid w:val="00D75408"/>
    <w:rsid w:val="00D756A9"/>
    <w:rsid w:val="00D75A55"/>
    <w:rsid w:val="00D80120"/>
    <w:rsid w:val="00D814B6"/>
    <w:rsid w:val="00D81789"/>
    <w:rsid w:val="00D823B9"/>
    <w:rsid w:val="00D831F3"/>
    <w:rsid w:val="00D842BD"/>
    <w:rsid w:val="00D87E83"/>
    <w:rsid w:val="00D93D9B"/>
    <w:rsid w:val="00DA0261"/>
    <w:rsid w:val="00DA1A57"/>
    <w:rsid w:val="00DA3844"/>
    <w:rsid w:val="00DA3D9B"/>
    <w:rsid w:val="00DA6973"/>
    <w:rsid w:val="00DA77C9"/>
    <w:rsid w:val="00DB4827"/>
    <w:rsid w:val="00DB4E73"/>
    <w:rsid w:val="00DB7666"/>
    <w:rsid w:val="00DB78CE"/>
    <w:rsid w:val="00DC18D9"/>
    <w:rsid w:val="00DC209A"/>
    <w:rsid w:val="00DC256D"/>
    <w:rsid w:val="00DC285D"/>
    <w:rsid w:val="00DC6FB3"/>
    <w:rsid w:val="00DD22B5"/>
    <w:rsid w:val="00DD2401"/>
    <w:rsid w:val="00DD517B"/>
    <w:rsid w:val="00DD609A"/>
    <w:rsid w:val="00DD7C1F"/>
    <w:rsid w:val="00DE01DF"/>
    <w:rsid w:val="00DE415D"/>
    <w:rsid w:val="00DF5678"/>
    <w:rsid w:val="00E00FCE"/>
    <w:rsid w:val="00E0117A"/>
    <w:rsid w:val="00E02B97"/>
    <w:rsid w:val="00E0335B"/>
    <w:rsid w:val="00E036E9"/>
    <w:rsid w:val="00E03F8E"/>
    <w:rsid w:val="00E0715D"/>
    <w:rsid w:val="00E07404"/>
    <w:rsid w:val="00E1196C"/>
    <w:rsid w:val="00E12DCB"/>
    <w:rsid w:val="00E13123"/>
    <w:rsid w:val="00E133B9"/>
    <w:rsid w:val="00E17495"/>
    <w:rsid w:val="00E17B82"/>
    <w:rsid w:val="00E230DD"/>
    <w:rsid w:val="00E2327C"/>
    <w:rsid w:val="00E234C8"/>
    <w:rsid w:val="00E27F70"/>
    <w:rsid w:val="00E30E9B"/>
    <w:rsid w:val="00E35081"/>
    <w:rsid w:val="00E378E3"/>
    <w:rsid w:val="00E414F6"/>
    <w:rsid w:val="00E41CA4"/>
    <w:rsid w:val="00E4361F"/>
    <w:rsid w:val="00E46327"/>
    <w:rsid w:val="00E4778D"/>
    <w:rsid w:val="00E501A8"/>
    <w:rsid w:val="00E51B83"/>
    <w:rsid w:val="00E53E2B"/>
    <w:rsid w:val="00E55C33"/>
    <w:rsid w:val="00E56BDC"/>
    <w:rsid w:val="00E65510"/>
    <w:rsid w:val="00E710B8"/>
    <w:rsid w:val="00E74FCA"/>
    <w:rsid w:val="00E76813"/>
    <w:rsid w:val="00E7688C"/>
    <w:rsid w:val="00E7710D"/>
    <w:rsid w:val="00E86AFB"/>
    <w:rsid w:val="00E9344B"/>
    <w:rsid w:val="00E94E13"/>
    <w:rsid w:val="00E94EA4"/>
    <w:rsid w:val="00E9569B"/>
    <w:rsid w:val="00E961A8"/>
    <w:rsid w:val="00E9666E"/>
    <w:rsid w:val="00E97BFF"/>
    <w:rsid w:val="00EA35B4"/>
    <w:rsid w:val="00EA4C26"/>
    <w:rsid w:val="00EA571C"/>
    <w:rsid w:val="00EA66D8"/>
    <w:rsid w:val="00EA7E66"/>
    <w:rsid w:val="00EB3FB2"/>
    <w:rsid w:val="00EB60DC"/>
    <w:rsid w:val="00EB6CA2"/>
    <w:rsid w:val="00EB729D"/>
    <w:rsid w:val="00EC2D19"/>
    <w:rsid w:val="00EC5740"/>
    <w:rsid w:val="00EC6796"/>
    <w:rsid w:val="00EC7350"/>
    <w:rsid w:val="00ED251A"/>
    <w:rsid w:val="00ED2AB2"/>
    <w:rsid w:val="00ED3D67"/>
    <w:rsid w:val="00ED7FC1"/>
    <w:rsid w:val="00EE0855"/>
    <w:rsid w:val="00EE296F"/>
    <w:rsid w:val="00EE5E2D"/>
    <w:rsid w:val="00EE5FE0"/>
    <w:rsid w:val="00EE6470"/>
    <w:rsid w:val="00EF11DF"/>
    <w:rsid w:val="00EF13CE"/>
    <w:rsid w:val="00EF46E9"/>
    <w:rsid w:val="00EF475B"/>
    <w:rsid w:val="00EF4F92"/>
    <w:rsid w:val="00F00130"/>
    <w:rsid w:val="00F04CC1"/>
    <w:rsid w:val="00F05A37"/>
    <w:rsid w:val="00F05F78"/>
    <w:rsid w:val="00F0631D"/>
    <w:rsid w:val="00F06DBE"/>
    <w:rsid w:val="00F0737E"/>
    <w:rsid w:val="00F07E4D"/>
    <w:rsid w:val="00F12175"/>
    <w:rsid w:val="00F16378"/>
    <w:rsid w:val="00F207F7"/>
    <w:rsid w:val="00F23893"/>
    <w:rsid w:val="00F256F2"/>
    <w:rsid w:val="00F30A0E"/>
    <w:rsid w:val="00F31685"/>
    <w:rsid w:val="00F31843"/>
    <w:rsid w:val="00F31F6B"/>
    <w:rsid w:val="00F326C8"/>
    <w:rsid w:val="00F41C5C"/>
    <w:rsid w:val="00F47FE6"/>
    <w:rsid w:val="00F529EC"/>
    <w:rsid w:val="00F60E90"/>
    <w:rsid w:val="00F636B9"/>
    <w:rsid w:val="00F641AC"/>
    <w:rsid w:val="00F66CCE"/>
    <w:rsid w:val="00F670E9"/>
    <w:rsid w:val="00F67AF3"/>
    <w:rsid w:val="00F73B24"/>
    <w:rsid w:val="00F7472F"/>
    <w:rsid w:val="00F76333"/>
    <w:rsid w:val="00F77F25"/>
    <w:rsid w:val="00F81460"/>
    <w:rsid w:val="00F83599"/>
    <w:rsid w:val="00F8368A"/>
    <w:rsid w:val="00F95FAE"/>
    <w:rsid w:val="00F96858"/>
    <w:rsid w:val="00FA4407"/>
    <w:rsid w:val="00FA4A76"/>
    <w:rsid w:val="00FA6781"/>
    <w:rsid w:val="00FB390A"/>
    <w:rsid w:val="00FB6FF5"/>
    <w:rsid w:val="00FC0BEA"/>
    <w:rsid w:val="00FC443D"/>
    <w:rsid w:val="00FC45AE"/>
    <w:rsid w:val="00FC488C"/>
    <w:rsid w:val="00FC6C0B"/>
    <w:rsid w:val="00FC7018"/>
    <w:rsid w:val="00FC7C07"/>
    <w:rsid w:val="00FD1469"/>
    <w:rsid w:val="00FD4D0E"/>
    <w:rsid w:val="00FD5E80"/>
    <w:rsid w:val="00FD5E96"/>
    <w:rsid w:val="00FD69B3"/>
    <w:rsid w:val="00FD7021"/>
    <w:rsid w:val="00FE0967"/>
    <w:rsid w:val="00FE34C1"/>
    <w:rsid w:val="00FE5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DA9D"/>
  <w15:chartTrackingRefBased/>
  <w15:docId w15:val="{872C52C3-15CE-4934-B161-773FCD25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7A"/>
    <w:pPr>
      <w:spacing w:after="0" w:line="240" w:lineRule="auto"/>
      <w:ind w:firstLine="284"/>
      <w:jc w:val="both"/>
    </w:pPr>
    <w:rPr>
      <w:rFonts w:ascii="Calibri" w:hAnsi="Calibri" w:cs="Calibri"/>
      <w:color w:val="000000"/>
      <w:sz w:val="20"/>
      <w:szCs w:val="20"/>
    </w:rPr>
  </w:style>
  <w:style w:type="paragraph" w:styleId="Heading1">
    <w:name w:val="heading 1"/>
    <w:aliases w:val="פרק"/>
    <w:basedOn w:val="Normal"/>
    <w:next w:val="Normal"/>
    <w:link w:val="Heading1Char"/>
    <w:autoRedefine/>
    <w:uiPriority w:val="9"/>
    <w:qFormat/>
    <w:rsid w:val="00E501A8"/>
    <w:pPr>
      <w:keepNext/>
      <w:numPr>
        <w:ilvl w:val="1"/>
        <w:numId w:val="41"/>
      </w:numPr>
      <w:spacing w:before="120" w:after="120"/>
      <w:ind w:left="425" w:hanging="425"/>
      <w:outlineLvl w:val="0"/>
    </w:pPr>
    <w:rPr>
      <w:bCs/>
      <w:i/>
      <w:iCs/>
      <w:color w:val="auto"/>
    </w:rPr>
  </w:style>
  <w:style w:type="paragraph" w:styleId="Heading2">
    <w:name w:val="heading 2"/>
    <w:aliases w:val="כותרת ראשית"/>
    <w:basedOn w:val="Heading3"/>
    <w:next w:val="Normal"/>
    <w:link w:val="Heading2Char"/>
    <w:autoRedefine/>
    <w:uiPriority w:val="9"/>
    <w:unhideWhenUsed/>
    <w:qFormat/>
    <w:rsid w:val="00E961A8"/>
    <w:pPr>
      <w:keepNext/>
      <w:keepLines/>
      <w:spacing w:before="0"/>
      <w:ind w:left="0" w:firstLine="0"/>
      <w:jc w:val="center"/>
      <w:outlineLvl w:val="1"/>
    </w:pPr>
    <w:rPr>
      <w:rFonts w:asciiTheme="minorHAnsi" w:eastAsiaTheme="majorEastAsia" w:hAnsiTheme="minorHAnsi" w:cstheme="minorHAnsi"/>
      <w:bCs/>
      <w:iCs/>
      <w:color w:val="DA460E" w:themeColor="accent3" w:themeShade="BF"/>
      <w:sz w:val="36"/>
      <w:szCs w:val="36"/>
    </w:rPr>
  </w:style>
  <w:style w:type="paragraph" w:styleId="Heading3">
    <w:name w:val="heading 3"/>
    <w:aliases w:val="תרשימים"/>
    <w:basedOn w:val="ListParagraph"/>
    <w:next w:val="Normal"/>
    <w:link w:val="Heading3Char"/>
    <w:autoRedefine/>
    <w:uiPriority w:val="9"/>
    <w:unhideWhenUsed/>
    <w:qFormat/>
    <w:rsid w:val="004B7492"/>
    <w:pPr>
      <w:numPr>
        <w:numId w:val="0"/>
      </w:numPr>
      <w:tabs>
        <w:tab w:val="right" w:pos="851"/>
      </w:tabs>
      <w:spacing w:before="240" w:after="0"/>
      <w:ind w:left="992" w:hanging="992"/>
      <w:contextualSpacing w:val="0"/>
      <w:outlineLvl w:val="2"/>
    </w:pPr>
    <w:rPr>
      <w:rFonts w:ascii="Calibri" w:hAnsi="Calibri" w:cs="Calibri"/>
      <w:bCs w:val="0"/>
      <w:color w:val="auto"/>
      <w:sz w:val="20"/>
      <w:szCs w:val="20"/>
    </w:rPr>
  </w:style>
  <w:style w:type="paragraph" w:styleId="Heading4">
    <w:name w:val="heading 4"/>
    <w:basedOn w:val="Normal"/>
    <w:next w:val="Normal"/>
    <w:link w:val="Heading4Char"/>
    <w:uiPriority w:val="9"/>
    <w:unhideWhenUsed/>
    <w:qFormat/>
    <w:rsid w:val="0061478A"/>
    <w:pPr>
      <w:keepNext/>
      <w:keepLines/>
      <w:spacing w:before="40"/>
      <w:outlineLvl w:val="3"/>
    </w:pPr>
    <w:rPr>
      <w:rFonts w:asciiTheme="majorHAnsi" w:eastAsiaTheme="majorEastAsia" w:hAnsiTheme="majorHAnsi" w:cstheme="majorBidi"/>
      <w:i/>
      <w:iCs/>
      <w:color w:val="69959F" w:themeColor="accent1" w:themeShade="BF"/>
    </w:rPr>
  </w:style>
  <w:style w:type="paragraph" w:styleId="Heading5">
    <w:name w:val="heading 5"/>
    <w:basedOn w:val="Normal"/>
    <w:next w:val="Normal"/>
    <w:link w:val="Heading5Char"/>
    <w:uiPriority w:val="9"/>
    <w:unhideWhenUsed/>
    <w:qFormat/>
    <w:rsid w:val="005E79AA"/>
    <w:pPr>
      <w:keepNext/>
      <w:keepLines/>
      <w:spacing w:before="40"/>
      <w:outlineLvl w:val="4"/>
    </w:pPr>
    <w:rPr>
      <w:rFonts w:asciiTheme="majorHAnsi" w:eastAsiaTheme="majorEastAsia" w:hAnsiTheme="majorHAnsi" w:cstheme="majorBidi"/>
      <w:color w:val="69959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כותרת טקסט pre"/>
    <w:basedOn w:val="Normal"/>
    <w:next w:val="Normal"/>
    <w:link w:val="TitleChar"/>
    <w:autoRedefine/>
    <w:uiPriority w:val="10"/>
    <w:qFormat/>
    <w:rsid w:val="0064718F"/>
    <w:pPr>
      <w:numPr>
        <w:numId w:val="41"/>
      </w:numPr>
      <w:spacing w:before="120" w:after="120"/>
      <w:ind w:left="567" w:hanging="567"/>
    </w:pPr>
    <w:rPr>
      <w:b/>
      <w:bCs/>
      <w:color w:val="auto"/>
      <w:szCs w:val="28"/>
    </w:rPr>
  </w:style>
  <w:style w:type="character" w:customStyle="1" w:styleId="TitleChar">
    <w:name w:val="Title Char"/>
    <w:aliases w:val="כותרת טקסט pre Char"/>
    <w:basedOn w:val="DefaultParagraphFont"/>
    <w:link w:val="Title"/>
    <w:uiPriority w:val="10"/>
    <w:rsid w:val="0064718F"/>
    <w:rPr>
      <w:rFonts w:ascii="Calibri" w:hAnsi="Calibri" w:cs="Calibri"/>
      <w:b/>
      <w:bCs/>
      <w:sz w:val="20"/>
      <w:szCs w:val="28"/>
    </w:rPr>
  </w:style>
  <w:style w:type="character" w:customStyle="1" w:styleId="Heading1Char">
    <w:name w:val="Heading 1 Char"/>
    <w:aliases w:val="פרק Char"/>
    <w:basedOn w:val="DefaultParagraphFont"/>
    <w:link w:val="Heading1"/>
    <w:uiPriority w:val="9"/>
    <w:rsid w:val="00E501A8"/>
    <w:rPr>
      <w:rFonts w:ascii="Calibri" w:hAnsi="Calibri" w:cs="Calibri"/>
      <w:bCs/>
      <w:i/>
      <w:iCs/>
      <w:sz w:val="20"/>
      <w:szCs w:val="20"/>
    </w:rPr>
  </w:style>
  <w:style w:type="character" w:customStyle="1" w:styleId="Heading2Char">
    <w:name w:val="Heading 2 Char"/>
    <w:aliases w:val="כותרת ראשית Char"/>
    <w:basedOn w:val="DefaultParagraphFont"/>
    <w:link w:val="Heading2"/>
    <w:uiPriority w:val="9"/>
    <w:rsid w:val="00E961A8"/>
    <w:rPr>
      <w:rFonts w:eastAsiaTheme="majorEastAsia" w:cstheme="minorHAnsi"/>
      <w:bCs/>
      <w:iCs/>
      <w:color w:val="DA460E" w:themeColor="accent3" w:themeShade="BF"/>
      <w:sz w:val="36"/>
      <w:szCs w:val="36"/>
    </w:rPr>
  </w:style>
  <w:style w:type="paragraph" w:styleId="ListParagraph">
    <w:name w:val="List Paragraph"/>
    <w:basedOn w:val="Normal"/>
    <w:autoRedefine/>
    <w:uiPriority w:val="34"/>
    <w:qFormat/>
    <w:rsid w:val="00187C6D"/>
    <w:pPr>
      <w:numPr>
        <w:numId w:val="40"/>
      </w:numPr>
      <w:spacing w:after="200"/>
      <w:contextualSpacing/>
    </w:pPr>
    <w:rPr>
      <w:rFonts w:ascii="Open Sans Hebrew" w:hAnsi="Open Sans Hebrew" w:cs="Open Sans Hebrew"/>
      <w:bCs/>
      <w:sz w:val="26"/>
      <w:szCs w:val="26"/>
    </w:rPr>
  </w:style>
  <w:style w:type="character" w:styleId="SubtleEmphasis">
    <w:name w:val="Subtle Emphasis"/>
    <w:uiPriority w:val="19"/>
    <w:qFormat/>
    <w:rsid w:val="00681B7C"/>
    <w:rPr>
      <w:color w:val="4B0C62" w:themeColor="accent4"/>
      <w:sz w:val="18"/>
      <w:szCs w:val="18"/>
    </w:rPr>
  </w:style>
  <w:style w:type="character" w:customStyle="1" w:styleId="Heading3Char">
    <w:name w:val="Heading 3 Char"/>
    <w:aliases w:val="תרשימים Char"/>
    <w:basedOn w:val="DefaultParagraphFont"/>
    <w:link w:val="Heading3"/>
    <w:uiPriority w:val="9"/>
    <w:rsid w:val="004B7492"/>
    <w:rPr>
      <w:rFonts w:ascii="Calibri" w:hAnsi="Calibri" w:cs="Calibri"/>
      <w:sz w:val="20"/>
      <w:szCs w:val="20"/>
    </w:rPr>
  </w:style>
  <w:style w:type="paragraph" w:styleId="NoSpacing">
    <w:name w:val="No Spacing"/>
    <w:uiPriority w:val="1"/>
    <w:qFormat/>
    <w:rsid w:val="00E74FCA"/>
    <w:pPr>
      <w:bidi/>
      <w:spacing w:after="0" w:line="240" w:lineRule="auto"/>
      <w:ind w:left="-625"/>
    </w:pPr>
    <w:rPr>
      <w:rFonts w:ascii="Assistant" w:hAnsi="Assistant"/>
      <w:color w:val="000000"/>
      <w:sz w:val="24"/>
      <w:szCs w:val="24"/>
    </w:rPr>
  </w:style>
  <w:style w:type="paragraph" w:styleId="Header">
    <w:name w:val="header"/>
    <w:basedOn w:val="Normal"/>
    <w:link w:val="HeaderChar"/>
    <w:uiPriority w:val="99"/>
    <w:unhideWhenUsed/>
    <w:rsid w:val="0061478A"/>
    <w:pPr>
      <w:tabs>
        <w:tab w:val="center" w:pos="4153"/>
        <w:tab w:val="right" w:pos="8306"/>
      </w:tabs>
    </w:pPr>
  </w:style>
  <w:style w:type="character" w:customStyle="1" w:styleId="HeaderChar">
    <w:name w:val="Header Char"/>
    <w:basedOn w:val="DefaultParagraphFont"/>
    <w:link w:val="Header"/>
    <w:uiPriority w:val="99"/>
    <w:rsid w:val="0061478A"/>
    <w:rPr>
      <w:rFonts w:ascii="Assistant" w:hAnsi="Assistant"/>
      <w:color w:val="000000"/>
      <w:sz w:val="24"/>
      <w:szCs w:val="24"/>
    </w:rPr>
  </w:style>
  <w:style w:type="paragraph" w:styleId="Footer">
    <w:name w:val="footer"/>
    <w:basedOn w:val="Normal"/>
    <w:link w:val="FooterChar"/>
    <w:uiPriority w:val="99"/>
    <w:unhideWhenUsed/>
    <w:rsid w:val="0061478A"/>
    <w:pPr>
      <w:tabs>
        <w:tab w:val="center" w:pos="4153"/>
        <w:tab w:val="right" w:pos="8306"/>
      </w:tabs>
    </w:pPr>
  </w:style>
  <w:style w:type="character" w:customStyle="1" w:styleId="FooterChar">
    <w:name w:val="Footer Char"/>
    <w:basedOn w:val="DefaultParagraphFont"/>
    <w:link w:val="Footer"/>
    <w:uiPriority w:val="99"/>
    <w:rsid w:val="0061478A"/>
    <w:rPr>
      <w:rFonts w:ascii="Assistant" w:hAnsi="Assistant"/>
      <w:color w:val="000000"/>
      <w:sz w:val="24"/>
      <w:szCs w:val="24"/>
    </w:rPr>
  </w:style>
  <w:style w:type="character" w:customStyle="1" w:styleId="Heading4Char">
    <w:name w:val="Heading 4 Char"/>
    <w:basedOn w:val="DefaultParagraphFont"/>
    <w:link w:val="Heading4"/>
    <w:uiPriority w:val="9"/>
    <w:rsid w:val="0061478A"/>
    <w:rPr>
      <w:rFonts w:asciiTheme="majorHAnsi" w:eastAsiaTheme="majorEastAsia" w:hAnsiTheme="majorHAnsi" w:cstheme="majorBidi"/>
      <w:i/>
      <w:iCs/>
      <w:color w:val="69959F" w:themeColor="accent1" w:themeShade="BF"/>
      <w:sz w:val="24"/>
      <w:szCs w:val="24"/>
    </w:rPr>
  </w:style>
  <w:style w:type="character" w:customStyle="1" w:styleId="Heading5Char">
    <w:name w:val="Heading 5 Char"/>
    <w:basedOn w:val="DefaultParagraphFont"/>
    <w:link w:val="Heading5"/>
    <w:uiPriority w:val="9"/>
    <w:rsid w:val="005E79AA"/>
    <w:rPr>
      <w:rFonts w:asciiTheme="majorHAnsi" w:eastAsiaTheme="majorEastAsia" w:hAnsiTheme="majorHAnsi" w:cstheme="majorBidi"/>
      <w:color w:val="69959F" w:themeColor="accent1" w:themeShade="BF"/>
      <w:sz w:val="24"/>
      <w:szCs w:val="24"/>
    </w:rPr>
  </w:style>
  <w:style w:type="character" w:styleId="Hyperlink">
    <w:name w:val="Hyperlink"/>
    <w:basedOn w:val="DefaultParagraphFont"/>
    <w:uiPriority w:val="99"/>
    <w:unhideWhenUsed/>
    <w:rsid w:val="002A01FB"/>
    <w:rPr>
      <w:color w:val="983283" w:themeColor="hyperlink"/>
      <w:u w:val="single"/>
    </w:rPr>
  </w:style>
  <w:style w:type="character" w:customStyle="1" w:styleId="1">
    <w:name w:val="אזכור לא מזוהה1"/>
    <w:basedOn w:val="DefaultParagraphFont"/>
    <w:uiPriority w:val="99"/>
    <w:semiHidden/>
    <w:unhideWhenUsed/>
    <w:rsid w:val="002A01FB"/>
    <w:rPr>
      <w:color w:val="605E5C"/>
      <w:shd w:val="clear" w:color="auto" w:fill="E1DFDD"/>
    </w:rPr>
  </w:style>
  <w:style w:type="table" w:styleId="TableGrid">
    <w:name w:val="Table Grid"/>
    <w:basedOn w:val="TableNormal"/>
    <w:uiPriority w:val="39"/>
    <w:rsid w:val="00E9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54B10"/>
  </w:style>
  <w:style w:type="character" w:customStyle="1" w:styleId="FootnoteTextChar">
    <w:name w:val="Footnote Text Char"/>
    <w:basedOn w:val="DefaultParagraphFont"/>
    <w:link w:val="FootnoteText"/>
    <w:uiPriority w:val="99"/>
    <w:rsid w:val="00554B10"/>
    <w:rPr>
      <w:rFonts w:ascii="Arial" w:hAnsi="Arial"/>
      <w:color w:val="000000"/>
      <w:sz w:val="20"/>
      <w:szCs w:val="20"/>
    </w:rPr>
  </w:style>
  <w:style w:type="character" w:styleId="FootnoteReference">
    <w:name w:val="footnote reference"/>
    <w:basedOn w:val="DefaultParagraphFont"/>
    <w:uiPriority w:val="99"/>
    <w:semiHidden/>
    <w:unhideWhenUsed/>
    <w:rsid w:val="00554B10"/>
    <w:rPr>
      <w:vertAlign w:val="superscript"/>
    </w:rPr>
  </w:style>
  <w:style w:type="character" w:styleId="CommentReference">
    <w:name w:val="annotation reference"/>
    <w:basedOn w:val="DefaultParagraphFont"/>
    <w:uiPriority w:val="99"/>
    <w:semiHidden/>
    <w:unhideWhenUsed/>
    <w:rsid w:val="00376367"/>
    <w:rPr>
      <w:sz w:val="16"/>
      <w:szCs w:val="16"/>
    </w:rPr>
  </w:style>
  <w:style w:type="paragraph" w:styleId="CommentText">
    <w:name w:val="annotation text"/>
    <w:basedOn w:val="Normal"/>
    <w:link w:val="CommentTextChar"/>
    <w:uiPriority w:val="99"/>
    <w:semiHidden/>
    <w:unhideWhenUsed/>
    <w:rsid w:val="00376367"/>
  </w:style>
  <w:style w:type="character" w:customStyle="1" w:styleId="CommentTextChar">
    <w:name w:val="Comment Text Char"/>
    <w:basedOn w:val="DefaultParagraphFont"/>
    <w:link w:val="CommentText"/>
    <w:uiPriority w:val="99"/>
    <w:semiHidden/>
    <w:rsid w:val="00376367"/>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376367"/>
    <w:rPr>
      <w:b/>
      <w:bCs/>
    </w:rPr>
  </w:style>
  <w:style w:type="character" w:customStyle="1" w:styleId="CommentSubjectChar">
    <w:name w:val="Comment Subject Char"/>
    <w:basedOn w:val="CommentTextChar"/>
    <w:link w:val="CommentSubject"/>
    <w:uiPriority w:val="99"/>
    <w:semiHidden/>
    <w:rsid w:val="00376367"/>
    <w:rPr>
      <w:rFonts w:ascii="Arial" w:hAnsi="Arial"/>
      <w:b/>
      <w:bCs/>
      <w:color w:val="000000"/>
      <w:sz w:val="20"/>
      <w:szCs w:val="20"/>
    </w:rPr>
  </w:style>
  <w:style w:type="paragraph" w:styleId="HTMLPreformatted">
    <w:name w:val="HTML Preformatted"/>
    <w:basedOn w:val="Normal"/>
    <w:link w:val="HTMLPreformattedChar"/>
    <w:uiPriority w:val="99"/>
    <w:unhideWhenUsed/>
    <w:rsid w:val="00376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character" w:customStyle="1" w:styleId="HTMLPreformattedChar">
    <w:name w:val="HTML Preformatted Char"/>
    <w:basedOn w:val="DefaultParagraphFont"/>
    <w:link w:val="HTMLPreformatted"/>
    <w:uiPriority w:val="99"/>
    <w:rsid w:val="00376367"/>
    <w:rPr>
      <w:rFonts w:ascii="Courier New" w:eastAsia="Times New Roman" w:hAnsi="Courier New" w:cs="Courier New"/>
      <w:sz w:val="20"/>
      <w:szCs w:val="20"/>
    </w:rPr>
  </w:style>
  <w:style w:type="character" w:customStyle="1" w:styleId="gd15mcfceub">
    <w:name w:val="gd15mcfceub"/>
    <w:basedOn w:val="DefaultParagraphFont"/>
    <w:rsid w:val="00376367"/>
  </w:style>
  <w:style w:type="character" w:customStyle="1" w:styleId="gd15mcfckub">
    <w:name w:val="gd15mcfckub"/>
    <w:basedOn w:val="DefaultParagraphFont"/>
    <w:rsid w:val="00376367"/>
  </w:style>
  <w:style w:type="character" w:customStyle="1" w:styleId="gd15mcfcktb">
    <w:name w:val="gd15mcfcktb"/>
    <w:basedOn w:val="DefaultParagraphFont"/>
    <w:rsid w:val="00376367"/>
  </w:style>
  <w:style w:type="paragraph" w:styleId="BalloonText">
    <w:name w:val="Balloon Text"/>
    <w:basedOn w:val="Normal"/>
    <w:link w:val="BalloonTextChar"/>
    <w:uiPriority w:val="99"/>
    <w:semiHidden/>
    <w:unhideWhenUsed/>
    <w:rsid w:val="00D15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53"/>
    <w:rPr>
      <w:rFonts w:ascii="Segoe UI" w:hAnsi="Segoe UI" w:cs="Segoe UI"/>
      <w:color w:val="000000"/>
      <w:sz w:val="18"/>
      <w:szCs w:val="18"/>
    </w:rPr>
  </w:style>
  <w:style w:type="character" w:customStyle="1" w:styleId="2">
    <w:name w:val="אזכור לא מזוהה2"/>
    <w:basedOn w:val="DefaultParagraphFont"/>
    <w:uiPriority w:val="99"/>
    <w:semiHidden/>
    <w:unhideWhenUsed/>
    <w:rsid w:val="00067BFC"/>
    <w:rPr>
      <w:color w:val="605E5C"/>
      <w:shd w:val="clear" w:color="auto" w:fill="E1DFDD"/>
    </w:rPr>
  </w:style>
  <w:style w:type="character" w:styleId="FollowedHyperlink">
    <w:name w:val="FollowedHyperlink"/>
    <w:basedOn w:val="DefaultParagraphFont"/>
    <w:uiPriority w:val="99"/>
    <w:semiHidden/>
    <w:unhideWhenUsed/>
    <w:rsid w:val="006E52C6"/>
    <w:rPr>
      <w:color w:val="5D4B8B" w:themeColor="followedHyperlink"/>
      <w:u w:val="single"/>
    </w:rPr>
  </w:style>
  <w:style w:type="character" w:customStyle="1" w:styleId="apple-converted-space">
    <w:name w:val="apple-converted-space"/>
    <w:rsid w:val="005B1A33"/>
  </w:style>
  <w:style w:type="character" w:customStyle="1" w:styleId="3">
    <w:name w:val="אזכור לא מזוהה3"/>
    <w:basedOn w:val="DefaultParagraphFont"/>
    <w:uiPriority w:val="99"/>
    <w:semiHidden/>
    <w:unhideWhenUsed/>
    <w:rsid w:val="00557208"/>
    <w:rPr>
      <w:color w:val="605E5C"/>
      <w:shd w:val="clear" w:color="auto" w:fill="E1DFDD"/>
    </w:rPr>
  </w:style>
  <w:style w:type="character" w:styleId="Strong">
    <w:name w:val="Strong"/>
    <w:basedOn w:val="DefaultParagraphFont"/>
    <w:uiPriority w:val="22"/>
    <w:qFormat/>
    <w:rsid w:val="004B02FD"/>
    <w:rPr>
      <w:b/>
      <w:bCs/>
    </w:rPr>
  </w:style>
  <w:style w:type="paragraph" w:styleId="NormalWeb">
    <w:name w:val="Normal (Web)"/>
    <w:basedOn w:val="Normal"/>
    <w:uiPriority w:val="99"/>
    <w:semiHidden/>
    <w:unhideWhenUsed/>
    <w:rsid w:val="004D7DFE"/>
    <w:pPr>
      <w:spacing w:before="100" w:beforeAutospacing="1" w:after="100" w:afterAutospacing="1"/>
      <w:ind w:firstLine="0"/>
      <w:jc w:val="left"/>
    </w:pPr>
    <w:rPr>
      <w:rFonts w:ascii="Times New Roman" w:eastAsia="Times New Roman" w:hAnsi="Times New Roman" w:cs="Times New Roman"/>
      <w:color w:val="auto"/>
      <w:szCs w:val="24"/>
    </w:rPr>
  </w:style>
  <w:style w:type="paragraph" w:styleId="Revision">
    <w:name w:val="Revision"/>
    <w:hidden/>
    <w:uiPriority w:val="99"/>
    <w:semiHidden/>
    <w:rsid w:val="0073569B"/>
    <w:pPr>
      <w:spacing w:after="0" w:line="240" w:lineRule="auto"/>
    </w:pPr>
    <w:rPr>
      <w:rFonts w:ascii="Gisha" w:hAnsi="Gisha" w:cs="Calibri"/>
      <w:color w:val="000000"/>
      <w:sz w:val="24"/>
      <w:szCs w:val="20"/>
    </w:rPr>
  </w:style>
  <w:style w:type="character" w:styleId="Emphasis">
    <w:name w:val="Emphasis"/>
    <w:basedOn w:val="DefaultParagraphFont"/>
    <w:uiPriority w:val="20"/>
    <w:qFormat/>
    <w:rsid w:val="00AC42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50">
      <w:bodyDiv w:val="1"/>
      <w:marLeft w:val="0"/>
      <w:marRight w:val="0"/>
      <w:marTop w:val="0"/>
      <w:marBottom w:val="0"/>
      <w:divBdr>
        <w:top w:val="none" w:sz="0" w:space="0" w:color="auto"/>
        <w:left w:val="none" w:sz="0" w:space="0" w:color="auto"/>
        <w:bottom w:val="none" w:sz="0" w:space="0" w:color="auto"/>
        <w:right w:val="none" w:sz="0" w:space="0" w:color="auto"/>
      </w:divBdr>
    </w:div>
    <w:div w:id="13969368">
      <w:bodyDiv w:val="1"/>
      <w:marLeft w:val="0"/>
      <w:marRight w:val="0"/>
      <w:marTop w:val="0"/>
      <w:marBottom w:val="0"/>
      <w:divBdr>
        <w:top w:val="none" w:sz="0" w:space="0" w:color="auto"/>
        <w:left w:val="none" w:sz="0" w:space="0" w:color="auto"/>
        <w:bottom w:val="none" w:sz="0" w:space="0" w:color="auto"/>
        <w:right w:val="none" w:sz="0" w:space="0" w:color="auto"/>
      </w:divBdr>
    </w:div>
    <w:div w:id="45032043">
      <w:bodyDiv w:val="1"/>
      <w:marLeft w:val="0"/>
      <w:marRight w:val="0"/>
      <w:marTop w:val="0"/>
      <w:marBottom w:val="0"/>
      <w:divBdr>
        <w:top w:val="none" w:sz="0" w:space="0" w:color="auto"/>
        <w:left w:val="none" w:sz="0" w:space="0" w:color="auto"/>
        <w:bottom w:val="none" w:sz="0" w:space="0" w:color="auto"/>
        <w:right w:val="none" w:sz="0" w:space="0" w:color="auto"/>
      </w:divBdr>
    </w:div>
    <w:div w:id="54013452">
      <w:bodyDiv w:val="1"/>
      <w:marLeft w:val="0"/>
      <w:marRight w:val="0"/>
      <w:marTop w:val="0"/>
      <w:marBottom w:val="0"/>
      <w:divBdr>
        <w:top w:val="none" w:sz="0" w:space="0" w:color="auto"/>
        <w:left w:val="none" w:sz="0" w:space="0" w:color="auto"/>
        <w:bottom w:val="none" w:sz="0" w:space="0" w:color="auto"/>
        <w:right w:val="none" w:sz="0" w:space="0" w:color="auto"/>
      </w:divBdr>
    </w:div>
    <w:div w:id="143475603">
      <w:bodyDiv w:val="1"/>
      <w:marLeft w:val="0"/>
      <w:marRight w:val="0"/>
      <w:marTop w:val="0"/>
      <w:marBottom w:val="0"/>
      <w:divBdr>
        <w:top w:val="none" w:sz="0" w:space="0" w:color="auto"/>
        <w:left w:val="none" w:sz="0" w:space="0" w:color="auto"/>
        <w:bottom w:val="none" w:sz="0" w:space="0" w:color="auto"/>
        <w:right w:val="none" w:sz="0" w:space="0" w:color="auto"/>
      </w:divBdr>
    </w:div>
    <w:div w:id="272828806">
      <w:bodyDiv w:val="1"/>
      <w:marLeft w:val="0"/>
      <w:marRight w:val="0"/>
      <w:marTop w:val="0"/>
      <w:marBottom w:val="0"/>
      <w:divBdr>
        <w:top w:val="none" w:sz="0" w:space="0" w:color="auto"/>
        <w:left w:val="none" w:sz="0" w:space="0" w:color="auto"/>
        <w:bottom w:val="none" w:sz="0" w:space="0" w:color="auto"/>
        <w:right w:val="none" w:sz="0" w:space="0" w:color="auto"/>
      </w:divBdr>
    </w:div>
    <w:div w:id="276567145">
      <w:bodyDiv w:val="1"/>
      <w:marLeft w:val="0"/>
      <w:marRight w:val="0"/>
      <w:marTop w:val="0"/>
      <w:marBottom w:val="0"/>
      <w:divBdr>
        <w:top w:val="none" w:sz="0" w:space="0" w:color="auto"/>
        <w:left w:val="none" w:sz="0" w:space="0" w:color="auto"/>
        <w:bottom w:val="none" w:sz="0" w:space="0" w:color="auto"/>
        <w:right w:val="none" w:sz="0" w:space="0" w:color="auto"/>
      </w:divBdr>
    </w:div>
    <w:div w:id="414205539">
      <w:bodyDiv w:val="1"/>
      <w:marLeft w:val="0"/>
      <w:marRight w:val="0"/>
      <w:marTop w:val="0"/>
      <w:marBottom w:val="0"/>
      <w:divBdr>
        <w:top w:val="none" w:sz="0" w:space="0" w:color="auto"/>
        <w:left w:val="none" w:sz="0" w:space="0" w:color="auto"/>
        <w:bottom w:val="none" w:sz="0" w:space="0" w:color="auto"/>
        <w:right w:val="none" w:sz="0" w:space="0" w:color="auto"/>
      </w:divBdr>
    </w:div>
    <w:div w:id="469639580">
      <w:bodyDiv w:val="1"/>
      <w:marLeft w:val="0"/>
      <w:marRight w:val="0"/>
      <w:marTop w:val="0"/>
      <w:marBottom w:val="0"/>
      <w:divBdr>
        <w:top w:val="none" w:sz="0" w:space="0" w:color="auto"/>
        <w:left w:val="none" w:sz="0" w:space="0" w:color="auto"/>
        <w:bottom w:val="none" w:sz="0" w:space="0" w:color="auto"/>
        <w:right w:val="none" w:sz="0" w:space="0" w:color="auto"/>
      </w:divBdr>
    </w:div>
    <w:div w:id="614214391">
      <w:bodyDiv w:val="1"/>
      <w:marLeft w:val="0"/>
      <w:marRight w:val="0"/>
      <w:marTop w:val="0"/>
      <w:marBottom w:val="0"/>
      <w:divBdr>
        <w:top w:val="none" w:sz="0" w:space="0" w:color="auto"/>
        <w:left w:val="none" w:sz="0" w:space="0" w:color="auto"/>
        <w:bottom w:val="none" w:sz="0" w:space="0" w:color="auto"/>
        <w:right w:val="none" w:sz="0" w:space="0" w:color="auto"/>
      </w:divBdr>
    </w:div>
    <w:div w:id="629045848">
      <w:bodyDiv w:val="1"/>
      <w:marLeft w:val="0"/>
      <w:marRight w:val="0"/>
      <w:marTop w:val="0"/>
      <w:marBottom w:val="0"/>
      <w:divBdr>
        <w:top w:val="none" w:sz="0" w:space="0" w:color="auto"/>
        <w:left w:val="none" w:sz="0" w:space="0" w:color="auto"/>
        <w:bottom w:val="none" w:sz="0" w:space="0" w:color="auto"/>
        <w:right w:val="none" w:sz="0" w:space="0" w:color="auto"/>
      </w:divBdr>
    </w:div>
    <w:div w:id="780808614">
      <w:bodyDiv w:val="1"/>
      <w:marLeft w:val="0"/>
      <w:marRight w:val="0"/>
      <w:marTop w:val="0"/>
      <w:marBottom w:val="0"/>
      <w:divBdr>
        <w:top w:val="none" w:sz="0" w:space="0" w:color="auto"/>
        <w:left w:val="none" w:sz="0" w:space="0" w:color="auto"/>
        <w:bottom w:val="none" w:sz="0" w:space="0" w:color="auto"/>
        <w:right w:val="none" w:sz="0" w:space="0" w:color="auto"/>
      </w:divBdr>
    </w:div>
    <w:div w:id="804853535">
      <w:bodyDiv w:val="1"/>
      <w:marLeft w:val="0"/>
      <w:marRight w:val="0"/>
      <w:marTop w:val="0"/>
      <w:marBottom w:val="0"/>
      <w:divBdr>
        <w:top w:val="none" w:sz="0" w:space="0" w:color="auto"/>
        <w:left w:val="none" w:sz="0" w:space="0" w:color="auto"/>
        <w:bottom w:val="none" w:sz="0" w:space="0" w:color="auto"/>
        <w:right w:val="none" w:sz="0" w:space="0" w:color="auto"/>
      </w:divBdr>
    </w:div>
    <w:div w:id="814949116">
      <w:bodyDiv w:val="1"/>
      <w:marLeft w:val="0"/>
      <w:marRight w:val="0"/>
      <w:marTop w:val="0"/>
      <w:marBottom w:val="0"/>
      <w:divBdr>
        <w:top w:val="none" w:sz="0" w:space="0" w:color="auto"/>
        <w:left w:val="none" w:sz="0" w:space="0" w:color="auto"/>
        <w:bottom w:val="none" w:sz="0" w:space="0" w:color="auto"/>
        <w:right w:val="none" w:sz="0" w:space="0" w:color="auto"/>
      </w:divBdr>
    </w:div>
    <w:div w:id="904411760">
      <w:bodyDiv w:val="1"/>
      <w:marLeft w:val="0"/>
      <w:marRight w:val="0"/>
      <w:marTop w:val="0"/>
      <w:marBottom w:val="0"/>
      <w:divBdr>
        <w:top w:val="none" w:sz="0" w:space="0" w:color="auto"/>
        <w:left w:val="none" w:sz="0" w:space="0" w:color="auto"/>
        <w:bottom w:val="none" w:sz="0" w:space="0" w:color="auto"/>
        <w:right w:val="none" w:sz="0" w:space="0" w:color="auto"/>
      </w:divBdr>
    </w:div>
    <w:div w:id="920942810">
      <w:bodyDiv w:val="1"/>
      <w:marLeft w:val="0"/>
      <w:marRight w:val="0"/>
      <w:marTop w:val="0"/>
      <w:marBottom w:val="0"/>
      <w:divBdr>
        <w:top w:val="none" w:sz="0" w:space="0" w:color="auto"/>
        <w:left w:val="none" w:sz="0" w:space="0" w:color="auto"/>
        <w:bottom w:val="none" w:sz="0" w:space="0" w:color="auto"/>
        <w:right w:val="none" w:sz="0" w:space="0" w:color="auto"/>
      </w:divBdr>
    </w:div>
    <w:div w:id="986664586">
      <w:bodyDiv w:val="1"/>
      <w:marLeft w:val="0"/>
      <w:marRight w:val="0"/>
      <w:marTop w:val="0"/>
      <w:marBottom w:val="0"/>
      <w:divBdr>
        <w:top w:val="none" w:sz="0" w:space="0" w:color="auto"/>
        <w:left w:val="none" w:sz="0" w:space="0" w:color="auto"/>
        <w:bottom w:val="none" w:sz="0" w:space="0" w:color="auto"/>
        <w:right w:val="none" w:sz="0" w:space="0" w:color="auto"/>
      </w:divBdr>
    </w:div>
    <w:div w:id="1005520638">
      <w:bodyDiv w:val="1"/>
      <w:marLeft w:val="0"/>
      <w:marRight w:val="0"/>
      <w:marTop w:val="0"/>
      <w:marBottom w:val="0"/>
      <w:divBdr>
        <w:top w:val="none" w:sz="0" w:space="0" w:color="auto"/>
        <w:left w:val="none" w:sz="0" w:space="0" w:color="auto"/>
        <w:bottom w:val="none" w:sz="0" w:space="0" w:color="auto"/>
        <w:right w:val="none" w:sz="0" w:space="0" w:color="auto"/>
      </w:divBdr>
    </w:div>
    <w:div w:id="1042244432">
      <w:bodyDiv w:val="1"/>
      <w:marLeft w:val="0"/>
      <w:marRight w:val="0"/>
      <w:marTop w:val="0"/>
      <w:marBottom w:val="0"/>
      <w:divBdr>
        <w:top w:val="none" w:sz="0" w:space="0" w:color="auto"/>
        <w:left w:val="none" w:sz="0" w:space="0" w:color="auto"/>
        <w:bottom w:val="none" w:sz="0" w:space="0" w:color="auto"/>
        <w:right w:val="none" w:sz="0" w:space="0" w:color="auto"/>
      </w:divBdr>
    </w:div>
    <w:div w:id="1108428163">
      <w:bodyDiv w:val="1"/>
      <w:marLeft w:val="0"/>
      <w:marRight w:val="0"/>
      <w:marTop w:val="0"/>
      <w:marBottom w:val="0"/>
      <w:divBdr>
        <w:top w:val="none" w:sz="0" w:space="0" w:color="auto"/>
        <w:left w:val="none" w:sz="0" w:space="0" w:color="auto"/>
        <w:bottom w:val="none" w:sz="0" w:space="0" w:color="auto"/>
        <w:right w:val="none" w:sz="0" w:space="0" w:color="auto"/>
      </w:divBdr>
    </w:div>
    <w:div w:id="1265920405">
      <w:bodyDiv w:val="1"/>
      <w:marLeft w:val="0"/>
      <w:marRight w:val="0"/>
      <w:marTop w:val="0"/>
      <w:marBottom w:val="0"/>
      <w:divBdr>
        <w:top w:val="none" w:sz="0" w:space="0" w:color="auto"/>
        <w:left w:val="none" w:sz="0" w:space="0" w:color="auto"/>
        <w:bottom w:val="none" w:sz="0" w:space="0" w:color="auto"/>
        <w:right w:val="none" w:sz="0" w:space="0" w:color="auto"/>
      </w:divBdr>
    </w:div>
    <w:div w:id="1294481233">
      <w:bodyDiv w:val="1"/>
      <w:marLeft w:val="0"/>
      <w:marRight w:val="0"/>
      <w:marTop w:val="0"/>
      <w:marBottom w:val="0"/>
      <w:divBdr>
        <w:top w:val="none" w:sz="0" w:space="0" w:color="auto"/>
        <w:left w:val="none" w:sz="0" w:space="0" w:color="auto"/>
        <w:bottom w:val="none" w:sz="0" w:space="0" w:color="auto"/>
        <w:right w:val="none" w:sz="0" w:space="0" w:color="auto"/>
      </w:divBdr>
    </w:div>
    <w:div w:id="1409696756">
      <w:bodyDiv w:val="1"/>
      <w:marLeft w:val="0"/>
      <w:marRight w:val="0"/>
      <w:marTop w:val="0"/>
      <w:marBottom w:val="0"/>
      <w:divBdr>
        <w:top w:val="none" w:sz="0" w:space="0" w:color="auto"/>
        <w:left w:val="none" w:sz="0" w:space="0" w:color="auto"/>
        <w:bottom w:val="none" w:sz="0" w:space="0" w:color="auto"/>
        <w:right w:val="none" w:sz="0" w:space="0" w:color="auto"/>
      </w:divBdr>
    </w:div>
    <w:div w:id="1457140546">
      <w:bodyDiv w:val="1"/>
      <w:marLeft w:val="0"/>
      <w:marRight w:val="0"/>
      <w:marTop w:val="0"/>
      <w:marBottom w:val="0"/>
      <w:divBdr>
        <w:top w:val="none" w:sz="0" w:space="0" w:color="auto"/>
        <w:left w:val="none" w:sz="0" w:space="0" w:color="auto"/>
        <w:bottom w:val="none" w:sz="0" w:space="0" w:color="auto"/>
        <w:right w:val="none" w:sz="0" w:space="0" w:color="auto"/>
      </w:divBdr>
    </w:div>
    <w:div w:id="1519154884">
      <w:bodyDiv w:val="1"/>
      <w:marLeft w:val="0"/>
      <w:marRight w:val="0"/>
      <w:marTop w:val="0"/>
      <w:marBottom w:val="0"/>
      <w:divBdr>
        <w:top w:val="none" w:sz="0" w:space="0" w:color="auto"/>
        <w:left w:val="none" w:sz="0" w:space="0" w:color="auto"/>
        <w:bottom w:val="none" w:sz="0" w:space="0" w:color="auto"/>
        <w:right w:val="none" w:sz="0" w:space="0" w:color="auto"/>
      </w:divBdr>
    </w:div>
    <w:div w:id="1531071493">
      <w:bodyDiv w:val="1"/>
      <w:marLeft w:val="0"/>
      <w:marRight w:val="0"/>
      <w:marTop w:val="0"/>
      <w:marBottom w:val="0"/>
      <w:divBdr>
        <w:top w:val="none" w:sz="0" w:space="0" w:color="auto"/>
        <w:left w:val="none" w:sz="0" w:space="0" w:color="auto"/>
        <w:bottom w:val="none" w:sz="0" w:space="0" w:color="auto"/>
        <w:right w:val="none" w:sz="0" w:space="0" w:color="auto"/>
      </w:divBdr>
    </w:div>
    <w:div w:id="1596400617">
      <w:bodyDiv w:val="1"/>
      <w:marLeft w:val="0"/>
      <w:marRight w:val="0"/>
      <w:marTop w:val="0"/>
      <w:marBottom w:val="0"/>
      <w:divBdr>
        <w:top w:val="none" w:sz="0" w:space="0" w:color="auto"/>
        <w:left w:val="none" w:sz="0" w:space="0" w:color="auto"/>
        <w:bottom w:val="none" w:sz="0" w:space="0" w:color="auto"/>
        <w:right w:val="none" w:sz="0" w:space="0" w:color="auto"/>
      </w:divBdr>
    </w:div>
    <w:div w:id="1642926942">
      <w:bodyDiv w:val="1"/>
      <w:marLeft w:val="0"/>
      <w:marRight w:val="0"/>
      <w:marTop w:val="0"/>
      <w:marBottom w:val="0"/>
      <w:divBdr>
        <w:top w:val="none" w:sz="0" w:space="0" w:color="auto"/>
        <w:left w:val="none" w:sz="0" w:space="0" w:color="auto"/>
        <w:bottom w:val="none" w:sz="0" w:space="0" w:color="auto"/>
        <w:right w:val="none" w:sz="0" w:space="0" w:color="auto"/>
      </w:divBdr>
    </w:div>
    <w:div w:id="1736470471">
      <w:bodyDiv w:val="1"/>
      <w:marLeft w:val="0"/>
      <w:marRight w:val="0"/>
      <w:marTop w:val="0"/>
      <w:marBottom w:val="0"/>
      <w:divBdr>
        <w:top w:val="none" w:sz="0" w:space="0" w:color="auto"/>
        <w:left w:val="none" w:sz="0" w:space="0" w:color="auto"/>
        <w:bottom w:val="none" w:sz="0" w:space="0" w:color="auto"/>
        <w:right w:val="none" w:sz="0" w:space="0" w:color="auto"/>
      </w:divBdr>
    </w:div>
    <w:div w:id="1906986781">
      <w:bodyDiv w:val="1"/>
      <w:marLeft w:val="0"/>
      <w:marRight w:val="0"/>
      <w:marTop w:val="0"/>
      <w:marBottom w:val="0"/>
      <w:divBdr>
        <w:top w:val="none" w:sz="0" w:space="0" w:color="auto"/>
        <w:left w:val="none" w:sz="0" w:space="0" w:color="auto"/>
        <w:bottom w:val="none" w:sz="0" w:space="0" w:color="auto"/>
        <w:right w:val="none" w:sz="0" w:space="0" w:color="auto"/>
      </w:divBdr>
    </w:div>
    <w:div w:id="1907642630">
      <w:bodyDiv w:val="1"/>
      <w:marLeft w:val="0"/>
      <w:marRight w:val="0"/>
      <w:marTop w:val="0"/>
      <w:marBottom w:val="0"/>
      <w:divBdr>
        <w:top w:val="none" w:sz="0" w:space="0" w:color="auto"/>
        <w:left w:val="none" w:sz="0" w:space="0" w:color="auto"/>
        <w:bottom w:val="none" w:sz="0" w:space="0" w:color="auto"/>
        <w:right w:val="none" w:sz="0" w:space="0" w:color="auto"/>
      </w:divBdr>
    </w:div>
    <w:div w:id="20254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s.gov.il/en/subjects/Pages/Social-Survey.aspx" TargetMode="External"/><Relationship Id="rId18" Type="http://schemas.openxmlformats.org/officeDocument/2006/relationships/hyperlink" Target="C://Users/Osnat/Downloads/IU2022GPEIGlobalReport.pdf" TargetMode="External"/><Relationship Id="rId26" Type="http://schemas.openxmlformats.org/officeDocument/2006/relationships/hyperlink" Target="https://www.irs.gov/statistics/soi-tax-stats-individual-statistical-tables-by-size-of-adjusted-gross-income" TargetMode="External"/><Relationship Id="rId3" Type="http://schemas.openxmlformats.org/officeDocument/2006/relationships/styles" Target="styles.xml"/><Relationship Id="rId21" Type="http://schemas.openxmlformats.org/officeDocument/2006/relationships/hyperlink" Target="https://scholarworks.iupui.edu/bitstream/handle/1805/26290/giving-environment210727.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canada.ca/en/revenue-agency/programs/about-canada-revenue-agency-cra/income-statistics-gst-hst-statistics/t1-final-statistics/2017-tax-year.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oecd.org/ctp/taxation-and-philanthropy-df434a77-en.htm" TargetMode="External"/><Relationship Id="rId29" Type="http://schemas.openxmlformats.org/officeDocument/2006/relationships/hyperlink" Target="https://www.gov.il/he/departments/guides/state-revenues-report?chapterIndex=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fs.knesset.gov.il/24/Committees/24_cs_bg_599823.pdf" TargetMode="External"/><Relationship Id="rId32" Type="http://schemas.openxmlformats.org/officeDocument/2006/relationships/hyperlink" Target="https://www.mevaker.gov.il/sites/DigitalLibrary/Documents/2021/72A-2/2021-72A-Part2-306-Hatavot-Mas.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taxpolicycenter.org/briefing-book" TargetMode="External"/><Relationship Id="rId28" Type="http://schemas.openxmlformats.org/officeDocument/2006/relationships/hyperlink" Target="https://www.gov.il/he/departments/guides/state-revenues-report?chapterIndex=9"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cholarworks.iupui.edu/bitstream/handle/1805/28273/2022GPEIIsrael.pdf" TargetMode="External"/><Relationship Id="rId31" Type="http://schemas.openxmlformats.org/officeDocument/2006/relationships/hyperlink" Target="C://Users/Osnat/Downloads/IU2022GPEIGlobalReport.pdf" TargetMode="External"/><Relationship Id="rId4" Type="http://schemas.openxmlformats.org/officeDocument/2006/relationships/settings" Target="settings.xml"/><Relationship Id="rId9" Type="http://schemas.openxmlformats.org/officeDocument/2006/relationships/hyperlink" Target="https://www.oecd-ilibrary.org/sites/df434a77-en/index.html?itemId=/content/publication/df434a77-en" TargetMode="External"/><Relationship Id="rId14" Type="http://schemas.openxmlformats.org/officeDocument/2006/relationships/image" Target="media/image4.png"/><Relationship Id="rId22" Type="http://schemas.openxmlformats.org/officeDocument/2006/relationships/hyperlink" Target="https://policycommons.net/artifacts/1847696/rules-to-give-by/2593908/fragments/?page=3" TargetMode="External"/><Relationship Id="rId27" Type="http://schemas.openxmlformats.org/officeDocument/2006/relationships/hyperlink" Target="https://www.gov.il/he/departments/guides/state-revenues-report?chapterIndex=11" TargetMode="External"/><Relationship Id="rId30" Type="http://schemas.openxmlformats.org/officeDocument/2006/relationships/hyperlink" Target="https://www.gov.il/he/departments/guides/state-revenues-report?chapterIndex=3" TargetMode="External"/><Relationship Id="rId35" Type="http://schemas.openxmlformats.org/officeDocument/2006/relationships/fontTable" Target="fontTable.xml"/><Relationship Id="rId8" Type="http://schemas.openxmlformats.org/officeDocument/2006/relationships/hyperlink" Target="mailto:osnati@tauex.tau.a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s.knesset.gov.il/24/Committees/24_cs_bg_599823.pdf" TargetMode="External"/></Relationships>
</file>

<file path=word/theme/theme1.xml><?xml version="1.0" encoding="utf-8"?>
<a:theme xmlns:a="http://schemas.openxmlformats.org/drawingml/2006/main" name="ערכת נושא Office">
  <a:themeElements>
    <a:clrScheme name="מכון">
      <a:dk1>
        <a:sysClr val="windowText" lastClr="000000"/>
      </a:dk1>
      <a:lt1>
        <a:sysClr val="window" lastClr="FFFFFF"/>
      </a:lt1>
      <a:dk2>
        <a:srgbClr val="7BA3AB"/>
      </a:dk2>
      <a:lt2>
        <a:srgbClr val="60848C"/>
      </a:lt2>
      <a:accent1>
        <a:srgbClr val="A0BCC2"/>
      </a:accent1>
      <a:accent2>
        <a:srgbClr val="E6EDEE"/>
      </a:accent2>
      <a:accent3>
        <a:srgbClr val="F37443"/>
      </a:accent3>
      <a:accent4>
        <a:srgbClr val="4B0C62"/>
      </a:accent4>
      <a:accent5>
        <a:srgbClr val="66BFF1"/>
      </a:accent5>
      <a:accent6>
        <a:srgbClr val="1B75BC"/>
      </a:accent6>
      <a:hlink>
        <a:srgbClr val="983283"/>
      </a:hlink>
      <a:folHlink>
        <a:srgbClr val="5D4B8B"/>
      </a:folHlink>
    </a:clrScheme>
    <a:fontScheme name="התאמה אישית 9">
      <a:majorFont>
        <a:latin typeface="Calibri"/>
        <a:ea typeface=""/>
        <a:cs typeface="Calibri"/>
      </a:majorFont>
      <a:minorFont>
        <a:latin typeface="Calibri"/>
        <a:ea typeface=""/>
        <a:cs typeface="Gish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28506-5D7F-42E5-8762-1B882914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14</Pages>
  <Words>7717</Words>
  <Characters>43987</Characters>
  <Application>Microsoft Office Word</Application>
  <DocSecurity>0</DocSecurity>
  <Lines>366</Lines>
  <Paragraphs>103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אסנת חזן</dc:creator>
  <cp:keywords/>
  <dc:description/>
  <cp:lastModifiedBy>Mats Heemskerk</cp:lastModifiedBy>
  <cp:revision>30</cp:revision>
  <cp:lastPrinted>2022-12-12T15:08:00Z</cp:lastPrinted>
  <dcterms:created xsi:type="dcterms:W3CDTF">2023-05-31T16:18:00Z</dcterms:created>
  <dcterms:modified xsi:type="dcterms:W3CDTF">2023-06-06T11:11:00Z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07159a8b49d8902c91dc2947700203fad5adc7f8b8885a3a45a55576f9807e8d</vt:lpwstr>
  </property>
</Properties>
</file>