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CBD69" w14:textId="5A11131F" w:rsidR="0077286B" w:rsidRPr="00406342" w:rsidRDefault="0077286B" w:rsidP="0077286B">
      <w:pPr>
        <w:rPr>
          <w:b/>
          <w:sz w:val="20"/>
          <w:szCs w:val="20"/>
          <w:lang w:val="en-US"/>
        </w:rPr>
      </w:pPr>
      <w:r w:rsidRPr="00406342">
        <w:rPr>
          <w:b/>
          <w:sz w:val="20"/>
          <w:szCs w:val="20"/>
          <w:lang w:val="en-US"/>
        </w:rPr>
        <w:t>European Philanthropy: social indispensable but politically invisible. Lessons from the EUFORISTUDY</w:t>
      </w:r>
      <w:r w:rsidR="0019640C" w:rsidRPr="00406342">
        <w:rPr>
          <w:rStyle w:val="FootnoteReference"/>
          <w:b/>
          <w:sz w:val="20"/>
          <w:szCs w:val="20"/>
          <w:lang w:val="en-US"/>
        </w:rPr>
        <w:footnoteReference w:id="1"/>
      </w:r>
      <w:r w:rsidRPr="00406342">
        <w:rPr>
          <w:b/>
          <w:sz w:val="20"/>
          <w:szCs w:val="20"/>
          <w:lang w:val="en-US"/>
        </w:rPr>
        <w:t xml:space="preserve"> </w:t>
      </w:r>
    </w:p>
    <w:p w14:paraId="355B4A26" w14:textId="77777777" w:rsidR="0077286B" w:rsidRPr="00406342" w:rsidRDefault="0077286B" w:rsidP="0077286B">
      <w:pPr>
        <w:rPr>
          <w:b/>
          <w:sz w:val="20"/>
          <w:szCs w:val="20"/>
          <w:lang w:val="en-US"/>
        </w:rPr>
      </w:pPr>
      <w:r w:rsidRPr="00406342">
        <w:rPr>
          <w:b/>
          <w:sz w:val="20"/>
          <w:szCs w:val="20"/>
          <w:lang w:val="en-US"/>
        </w:rPr>
        <w:t>Paper to be presented at the ERNOP 2023 conference in Zagreb</w:t>
      </w:r>
    </w:p>
    <w:p w14:paraId="5B91FDDF" w14:textId="5A5C357A" w:rsidR="007F7078" w:rsidRPr="00406342" w:rsidRDefault="007F7078" w:rsidP="0077286B">
      <w:pPr>
        <w:rPr>
          <w:bCs/>
          <w:sz w:val="20"/>
          <w:szCs w:val="20"/>
          <w:lang w:val="en-US"/>
        </w:rPr>
      </w:pPr>
      <w:r w:rsidRPr="00406342">
        <w:rPr>
          <w:bCs/>
          <w:sz w:val="20"/>
          <w:szCs w:val="20"/>
          <w:lang w:val="en-US"/>
        </w:rPr>
        <w:t>Theo Schuyt</w:t>
      </w:r>
    </w:p>
    <w:p w14:paraId="267BDBFB" w14:textId="79CA2B6E" w:rsidR="00563736" w:rsidRPr="00406342" w:rsidRDefault="00563736" w:rsidP="0077286B">
      <w:pPr>
        <w:rPr>
          <w:bCs/>
          <w:sz w:val="20"/>
          <w:szCs w:val="20"/>
          <w:lang w:val="en-US"/>
        </w:rPr>
      </w:pPr>
      <w:r w:rsidRPr="00406342">
        <w:rPr>
          <w:bCs/>
          <w:sz w:val="20"/>
          <w:szCs w:val="20"/>
          <w:lang w:val="en-US"/>
        </w:rPr>
        <w:t>Professor Philanthropic Studies</w:t>
      </w:r>
    </w:p>
    <w:p w14:paraId="47C678CE" w14:textId="69447D92" w:rsidR="00563736" w:rsidRPr="00406342" w:rsidRDefault="00563736" w:rsidP="0077286B">
      <w:pPr>
        <w:rPr>
          <w:bCs/>
          <w:sz w:val="20"/>
          <w:szCs w:val="20"/>
          <w:lang w:val="en-US"/>
        </w:rPr>
      </w:pPr>
      <w:r w:rsidRPr="00406342">
        <w:rPr>
          <w:bCs/>
          <w:sz w:val="20"/>
          <w:szCs w:val="20"/>
          <w:lang w:val="en-US"/>
        </w:rPr>
        <w:t xml:space="preserve">Center for </w:t>
      </w:r>
      <w:r w:rsidR="00877C33" w:rsidRPr="00406342">
        <w:rPr>
          <w:bCs/>
          <w:sz w:val="20"/>
          <w:szCs w:val="20"/>
          <w:lang w:val="en-US"/>
        </w:rPr>
        <w:t>Philanthropic Studies, Vrije Universiteit Amsterdam</w:t>
      </w:r>
      <w:r w:rsidR="00AE34B8" w:rsidRPr="00406342">
        <w:rPr>
          <w:bCs/>
          <w:sz w:val="20"/>
          <w:szCs w:val="20"/>
          <w:lang w:val="en-US"/>
        </w:rPr>
        <w:t xml:space="preserve"> (www.giving.nl)</w:t>
      </w:r>
    </w:p>
    <w:p w14:paraId="55BE5368" w14:textId="5B4046FA" w:rsidR="00877C33" w:rsidRPr="00406342" w:rsidRDefault="00000000" w:rsidP="0077286B">
      <w:pPr>
        <w:rPr>
          <w:bCs/>
          <w:sz w:val="20"/>
          <w:szCs w:val="20"/>
          <w:lang w:val="en-US"/>
        </w:rPr>
      </w:pPr>
      <w:hyperlink r:id="rId8" w:history="1">
        <w:r w:rsidR="00AE34B8" w:rsidRPr="00406342">
          <w:rPr>
            <w:rStyle w:val="Hyperlink"/>
            <w:bCs/>
            <w:sz w:val="20"/>
            <w:szCs w:val="20"/>
            <w:lang w:val="en-US"/>
          </w:rPr>
          <w:t>t.schuyt@vu.nl</w:t>
        </w:r>
      </w:hyperlink>
      <w:r w:rsidR="00AE34B8" w:rsidRPr="00406342">
        <w:rPr>
          <w:bCs/>
          <w:sz w:val="20"/>
          <w:szCs w:val="20"/>
          <w:lang w:val="en-US"/>
        </w:rPr>
        <w:t xml:space="preserve"> </w:t>
      </w:r>
    </w:p>
    <w:p w14:paraId="71387F2B" w14:textId="77777777" w:rsidR="00AE34B8" w:rsidRPr="00406342" w:rsidRDefault="00AE34B8" w:rsidP="0077286B">
      <w:pPr>
        <w:rPr>
          <w:bCs/>
          <w:sz w:val="20"/>
          <w:szCs w:val="20"/>
          <w:lang w:val="en-US"/>
        </w:rPr>
      </w:pPr>
    </w:p>
    <w:p w14:paraId="519E1656" w14:textId="4257A525" w:rsidR="0029783D" w:rsidRPr="00406342" w:rsidRDefault="0029783D" w:rsidP="0077286B">
      <w:pPr>
        <w:rPr>
          <w:b/>
          <w:sz w:val="20"/>
          <w:szCs w:val="20"/>
          <w:lang w:val="en-US"/>
        </w:rPr>
      </w:pPr>
      <w:r w:rsidRPr="00406342">
        <w:rPr>
          <w:b/>
          <w:sz w:val="20"/>
          <w:szCs w:val="20"/>
          <w:lang w:val="en-US"/>
        </w:rPr>
        <w:t>Summary</w:t>
      </w:r>
    </w:p>
    <w:p w14:paraId="0A3867F4" w14:textId="2F3D0842" w:rsidR="0077286B" w:rsidRPr="00406342" w:rsidRDefault="0077286B" w:rsidP="00A44379">
      <w:pPr>
        <w:spacing w:line="276" w:lineRule="auto"/>
        <w:rPr>
          <w:sz w:val="20"/>
          <w:szCs w:val="20"/>
          <w:lang w:val="en" w:eastAsia="nl-NL"/>
        </w:rPr>
      </w:pPr>
      <w:r w:rsidRPr="00406342">
        <w:rPr>
          <w:sz w:val="20"/>
          <w:szCs w:val="20"/>
          <w:lang w:val="en" w:eastAsia="nl-NL"/>
        </w:rPr>
        <w:t xml:space="preserve">What is the problem this paper aims to answer? Despite intensive lobbying by the European Association of Foundations,  </w:t>
      </w:r>
      <w:proofErr w:type="spellStart"/>
      <w:r w:rsidRPr="00406342">
        <w:rPr>
          <w:sz w:val="20"/>
          <w:szCs w:val="20"/>
          <w:lang w:val="en" w:eastAsia="nl-NL"/>
        </w:rPr>
        <w:t>Philea</w:t>
      </w:r>
      <w:proofErr w:type="spellEnd"/>
      <w:r w:rsidRPr="00406342">
        <w:rPr>
          <w:sz w:val="20"/>
          <w:szCs w:val="20"/>
          <w:lang w:val="en" w:eastAsia="nl-NL"/>
        </w:rPr>
        <w:t>,  and other European Branche organizations towards the European Parliament, EU-politicians pay little attention to European philanthropy. The recently published Social Economy Action Plan also hardly shows any interest</w:t>
      </w:r>
      <w:r w:rsidRPr="00406342">
        <w:rPr>
          <w:rStyle w:val="FootnoteReference"/>
          <w:bCs/>
          <w:sz w:val="20"/>
          <w:szCs w:val="20"/>
        </w:rPr>
        <w:footnoteReference w:id="2"/>
      </w:r>
      <w:r w:rsidRPr="00406342">
        <w:rPr>
          <w:bCs/>
          <w:sz w:val="20"/>
          <w:szCs w:val="20"/>
          <w:lang w:val="en-US"/>
        </w:rPr>
        <w:t>.</w:t>
      </w:r>
      <w:r w:rsidRPr="00406342">
        <w:rPr>
          <w:sz w:val="20"/>
          <w:szCs w:val="20"/>
          <w:lang w:val="en" w:eastAsia="nl-NL"/>
        </w:rPr>
        <w:t xml:space="preserve"> While at the same time civil society, societal engagement, citizen-initiatives, philanthropic donations, bequests and volunteering flourish due to the social, political and economic problems Europe faces. </w:t>
      </w:r>
      <w:r w:rsidR="007103EE" w:rsidRPr="00406342">
        <w:rPr>
          <w:sz w:val="20"/>
          <w:szCs w:val="20"/>
          <w:lang w:val="en" w:eastAsia="nl-NL"/>
        </w:rPr>
        <w:t>A</w:t>
      </w:r>
      <w:r w:rsidR="007B765E" w:rsidRPr="00406342">
        <w:rPr>
          <w:sz w:val="20"/>
          <w:szCs w:val="20"/>
          <w:lang w:val="en" w:eastAsia="nl-NL"/>
        </w:rPr>
        <w:t xml:space="preserve">t the same time </w:t>
      </w:r>
      <w:r w:rsidR="00FC61BB" w:rsidRPr="00406342">
        <w:rPr>
          <w:sz w:val="20"/>
          <w:szCs w:val="20"/>
          <w:lang w:val="en" w:eastAsia="nl-NL"/>
        </w:rPr>
        <w:t xml:space="preserve">national </w:t>
      </w:r>
      <w:r w:rsidRPr="00406342">
        <w:rPr>
          <w:sz w:val="20"/>
          <w:szCs w:val="20"/>
          <w:lang w:val="en" w:eastAsia="nl-NL"/>
        </w:rPr>
        <w:t>governments</w:t>
      </w:r>
      <w:r w:rsidR="00FC61BB" w:rsidRPr="00406342">
        <w:rPr>
          <w:sz w:val="20"/>
          <w:szCs w:val="20"/>
          <w:lang w:val="en" w:eastAsia="nl-NL"/>
        </w:rPr>
        <w:t xml:space="preserve"> in Europe </w:t>
      </w:r>
      <w:r w:rsidRPr="00406342">
        <w:rPr>
          <w:sz w:val="20"/>
          <w:szCs w:val="20"/>
          <w:lang w:val="en" w:eastAsia="nl-NL"/>
        </w:rPr>
        <w:t>reach the limits of their financial and policy capacities.</w:t>
      </w:r>
    </w:p>
    <w:p w14:paraId="30F8AE71" w14:textId="2BD0197B" w:rsidR="0077286B" w:rsidRPr="00406342" w:rsidRDefault="0077286B" w:rsidP="0077286B">
      <w:pPr>
        <w:rPr>
          <w:sz w:val="20"/>
          <w:szCs w:val="20"/>
          <w:lang w:val="en-US" w:eastAsia="nl-NL"/>
        </w:rPr>
      </w:pPr>
      <w:r w:rsidRPr="00406342">
        <w:rPr>
          <w:sz w:val="20"/>
          <w:szCs w:val="20"/>
          <w:lang w:val="en" w:eastAsia="nl-NL"/>
        </w:rPr>
        <w:t>This paper first examines reasons for the disinterest</w:t>
      </w:r>
      <w:r w:rsidR="00C64898" w:rsidRPr="00406342">
        <w:rPr>
          <w:sz w:val="20"/>
          <w:szCs w:val="20"/>
          <w:lang w:val="en" w:eastAsia="nl-NL"/>
        </w:rPr>
        <w:t xml:space="preserve">, ignorance </w:t>
      </w:r>
      <w:r w:rsidR="006F580E" w:rsidRPr="00406342">
        <w:rPr>
          <w:sz w:val="20"/>
          <w:szCs w:val="20"/>
          <w:lang w:val="en" w:eastAsia="nl-NL"/>
        </w:rPr>
        <w:t xml:space="preserve">or uneasiness </w:t>
      </w:r>
      <w:r w:rsidRPr="00406342">
        <w:rPr>
          <w:sz w:val="20"/>
          <w:szCs w:val="20"/>
          <w:lang w:val="en" w:eastAsia="nl-NL"/>
        </w:rPr>
        <w:t>among European politicians</w:t>
      </w:r>
      <w:r w:rsidRPr="00406342">
        <w:rPr>
          <w:rStyle w:val="FootnoteReference"/>
          <w:sz w:val="20"/>
          <w:szCs w:val="20"/>
          <w:lang w:val="en" w:eastAsia="nl-NL"/>
        </w:rPr>
        <w:footnoteReference w:id="3"/>
      </w:r>
      <w:r w:rsidRPr="00406342">
        <w:rPr>
          <w:sz w:val="20"/>
          <w:szCs w:val="20"/>
          <w:lang w:val="en-US"/>
        </w:rPr>
        <w:t xml:space="preserve">. </w:t>
      </w:r>
      <w:r w:rsidRPr="00406342">
        <w:rPr>
          <w:sz w:val="20"/>
          <w:szCs w:val="20"/>
          <w:lang w:val="en" w:eastAsia="nl-NL"/>
        </w:rPr>
        <w:t>Secondly, insights from organization</w:t>
      </w:r>
      <w:r w:rsidR="006F580E" w:rsidRPr="00406342">
        <w:rPr>
          <w:sz w:val="20"/>
          <w:szCs w:val="20"/>
          <w:lang w:val="en" w:eastAsia="nl-NL"/>
        </w:rPr>
        <w:t xml:space="preserve"> – and political </w:t>
      </w:r>
      <w:r w:rsidRPr="00406342">
        <w:rPr>
          <w:sz w:val="20"/>
          <w:szCs w:val="20"/>
          <w:lang w:val="en" w:eastAsia="nl-NL"/>
        </w:rPr>
        <w:t>sciences are used to analyze how - and under what conditions - this may change</w:t>
      </w:r>
      <w:r w:rsidRPr="00406342">
        <w:rPr>
          <w:rStyle w:val="FootnoteReference"/>
          <w:sz w:val="20"/>
          <w:szCs w:val="20"/>
          <w:lang w:val="en" w:eastAsia="nl-NL"/>
        </w:rPr>
        <w:footnoteReference w:id="4"/>
      </w:r>
      <w:r w:rsidRPr="00406342">
        <w:rPr>
          <w:sz w:val="20"/>
          <w:szCs w:val="20"/>
          <w:lang w:val="en" w:eastAsia="nl-NL"/>
        </w:rPr>
        <w:t xml:space="preserve">. What may – according to these theories - European philanthropy expect from EU-politicians with regard to recognition, acknowledgement and collaboration in the years ahead? As proof or test the policy of the EC Dept. R&amp;I towards European philanthropy is examined over the period 2006 – 2019. </w:t>
      </w:r>
    </w:p>
    <w:p w14:paraId="49153A37" w14:textId="77777777" w:rsidR="006F580E" w:rsidRPr="00406342" w:rsidRDefault="006F580E">
      <w:pPr>
        <w:rPr>
          <w:sz w:val="20"/>
          <w:szCs w:val="20"/>
          <w:lang w:val="en" w:eastAsia="nl-NL"/>
        </w:rPr>
      </w:pPr>
    </w:p>
    <w:p w14:paraId="298F485D" w14:textId="696E573A" w:rsidR="008611FC" w:rsidRPr="00406342" w:rsidRDefault="008756FB">
      <w:pPr>
        <w:rPr>
          <w:b/>
          <w:bCs/>
          <w:sz w:val="20"/>
          <w:szCs w:val="20"/>
          <w:lang w:val="en" w:eastAsia="nl-NL"/>
        </w:rPr>
      </w:pPr>
      <w:r w:rsidRPr="00406342">
        <w:rPr>
          <w:b/>
          <w:bCs/>
          <w:sz w:val="20"/>
          <w:szCs w:val="20"/>
          <w:lang w:val="en" w:eastAsia="nl-NL"/>
        </w:rPr>
        <w:t>Reasons for the disinterest among European politicians</w:t>
      </w:r>
    </w:p>
    <w:p w14:paraId="4F223FCD" w14:textId="1BE9EF59" w:rsidR="009B18D5" w:rsidRPr="00406342" w:rsidRDefault="009B18D5" w:rsidP="00A44379">
      <w:pPr>
        <w:spacing w:line="276" w:lineRule="auto"/>
        <w:rPr>
          <w:rFonts w:cstheme="minorHAnsi"/>
          <w:sz w:val="20"/>
          <w:szCs w:val="20"/>
          <w:lang w:val="en-US"/>
        </w:rPr>
      </w:pPr>
      <w:r w:rsidRPr="00406342">
        <w:rPr>
          <w:rFonts w:cstheme="minorHAnsi"/>
          <w:sz w:val="20"/>
          <w:szCs w:val="20"/>
          <w:lang w:val="en-US"/>
        </w:rPr>
        <w:t xml:space="preserve">In </w:t>
      </w:r>
      <w:r w:rsidRPr="00406342">
        <w:rPr>
          <w:rFonts w:cstheme="minorHAnsi"/>
          <w:spacing w:val="-3"/>
          <w:sz w:val="20"/>
          <w:szCs w:val="20"/>
          <w:lang w:val="en-US"/>
        </w:rPr>
        <w:t>twentieth</w:t>
      </w:r>
      <w:r w:rsidRPr="00406342">
        <w:rPr>
          <w:rFonts w:cstheme="minorHAnsi"/>
          <w:sz w:val="20"/>
          <w:szCs w:val="20"/>
          <w:lang w:val="en-US"/>
        </w:rPr>
        <w:t>-century Western Europe, responsibilities in matters relating to social security, healthcare and education were taken over by welfare-state regimes. Philanthropy did not disappear – it remained active in health, religion, welfare, culture and education – but it was sidelined by the expansion of the welfare state.</w:t>
      </w:r>
    </w:p>
    <w:p w14:paraId="265DBD18" w14:textId="4CE2233A" w:rsidR="00BD7022" w:rsidRPr="00406342" w:rsidRDefault="009B18D5" w:rsidP="00A44379">
      <w:pPr>
        <w:pStyle w:val="Normaa"/>
        <w:spacing w:line="276" w:lineRule="auto"/>
        <w:jc w:val="left"/>
        <w:rPr>
          <w:rStyle w:val="tlid-translation"/>
          <w:rFonts w:asciiTheme="minorHAnsi" w:hAnsiTheme="minorHAnsi" w:cstheme="minorHAnsi"/>
          <w:sz w:val="20"/>
          <w:szCs w:val="20"/>
          <w:lang w:val="en-GB"/>
        </w:rPr>
      </w:pPr>
      <w:r w:rsidRPr="00406342">
        <w:rPr>
          <w:rStyle w:val="tlid-translation"/>
          <w:rFonts w:asciiTheme="minorHAnsi" w:hAnsiTheme="minorHAnsi" w:cstheme="minorHAnsi"/>
          <w:sz w:val="20"/>
          <w:szCs w:val="20"/>
          <w:lang w:val="en-GB"/>
        </w:rPr>
        <w:t xml:space="preserve">Once the financial boundaries of the welfare state were reached, however, the market was embraced as a remedy. </w:t>
      </w:r>
      <w:r w:rsidR="000839B4" w:rsidRPr="00406342">
        <w:rPr>
          <w:rStyle w:val="tlid-translation"/>
          <w:rFonts w:asciiTheme="minorHAnsi" w:hAnsiTheme="minorHAnsi" w:cstheme="minorHAnsi"/>
          <w:sz w:val="20"/>
          <w:szCs w:val="20"/>
          <w:lang w:val="en-GB"/>
        </w:rPr>
        <w:t xml:space="preserve">Driven by </w:t>
      </w:r>
      <w:r w:rsidR="00717DEC" w:rsidRPr="00406342">
        <w:rPr>
          <w:rStyle w:val="tlid-translation"/>
          <w:rFonts w:asciiTheme="minorHAnsi" w:hAnsiTheme="minorHAnsi" w:cstheme="minorHAnsi"/>
          <w:sz w:val="20"/>
          <w:szCs w:val="20"/>
          <w:lang w:val="en-GB"/>
        </w:rPr>
        <w:t xml:space="preserve">a </w:t>
      </w:r>
      <w:r w:rsidR="00CC2B50" w:rsidRPr="00406342">
        <w:rPr>
          <w:rStyle w:val="tlid-translation"/>
          <w:rFonts w:asciiTheme="minorHAnsi" w:hAnsiTheme="minorHAnsi" w:cstheme="minorHAnsi"/>
          <w:sz w:val="20"/>
          <w:szCs w:val="20"/>
          <w:lang w:val="en-GB"/>
        </w:rPr>
        <w:t>neo-liberal political philosophy d</w:t>
      </w:r>
      <w:r w:rsidRPr="00406342">
        <w:rPr>
          <w:rStyle w:val="tlid-translation"/>
          <w:rFonts w:asciiTheme="minorHAnsi" w:hAnsiTheme="minorHAnsi" w:cstheme="minorHAnsi"/>
          <w:sz w:val="20"/>
          <w:szCs w:val="20"/>
          <w:lang w:val="en-GB"/>
        </w:rPr>
        <w:t>eep cuts in social services occurred in the late 1980s, coupled with deregulation. Public utilities were “sold</w:t>
      </w:r>
      <w:r w:rsidR="00EC7D45" w:rsidRPr="00406342">
        <w:rPr>
          <w:rStyle w:val="tlid-translation"/>
          <w:rFonts w:asciiTheme="minorHAnsi" w:hAnsiTheme="minorHAnsi" w:cstheme="minorHAnsi"/>
          <w:sz w:val="20"/>
          <w:szCs w:val="20"/>
          <w:lang w:val="en-GB"/>
        </w:rPr>
        <w:t xml:space="preserve"> out</w:t>
      </w:r>
      <w:r w:rsidRPr="00406342">
        <w:rPr>
          <w:rStyle w:val="tlid-translation"/>
          <w:rFonts w:asciiTheme="minorHAnsi" w:hAnsiTheme="minorHAnsi" w:cstheme="minorHAnsi"/>
          <w:sz w:val="20"/>
          <w:szCs w:val="20"/>
          <w:lang w:val="en-GB"/>
        </w:rPr>
        <w:t>” into the private</w:t>
      </w:r>
      <w:r w:rsidR="003377AD" w:rsidRPr="00406342">
        <w:rPr>
          <w:rStyle w:val="tlid-translation"/>
          <w:rFonts w:asciiTheme="minorHAnsi" w:hAnsiTheme="minorHAnsi" w:cstheme="minorHAnsi"/>
          <w:sz w:val="20"/>
          <w:szCs w:val="20"/>
          <w:lang w:val="en-GB"/>
        </w:rPr>
        <w:t xml:space="preserve"> market </w:t>
      </w:r>
      <w:r w:rsidRPr="00406342">
        <w:rPr>
          <w:rStyle w:val="tlid-translation"/>
          <w:rFonts w:asciiTheme="minorHAnsi" w:hAnsiTheme="minorHAnsi" w:cstheme="minorHAnsi"/>
          <w:sz w:val="20"/>
          <w:szCs w:val="20"/>
          <w:lang w:val="en-GB"/>
        </w:rPr>
        <w:t xml:space="preserve">sector. But now the market’s own shortcomings become all too apparent, </w:t>
      </w:r>
      <w:r w:rsidR="004813B0" w:rsidRPr="00406342">
        <w:rPr>
          <w:rStyle w:val="tlid-translation"/>
          <w:rFonts w:asciiTheme="minorHAnsi" w:hAnsiTheme="minorHAnsi" w:cstheme="minorHAnsi"/>
          <w:sz w:val="20"/>
          <w:szCs w:val="20"/>
          <w:lang w:val="en-GB"/>
        </w:rPr>
        <w:t xml:space="preserve">one </w:t>
      </w:r>
      <w:r w:rsidR="0061334E" w:rsidRPr="00406342">
        <w:rPr>
          <w:rStyle w:val="tlid-translation"/>
          <w:rFonts w:asciiTheme="minorHAnsi" w:hAnsiTheme="minorHAnsi" w:cstheme="minorHAnsi"/>
          <w:sz w:val="20"/>
          <w:szCs w:val="20"/>
          <w:lang w:val="en-GB"/>
        </w:rPr>
        <w:t>should</w:t>
      </w:r>
      <w:r w:rsidR="004813B0" w:rsidRPr="00406342">
        <w:rPr>
          <w:rStyle w:val="tlid-translation"/>
          <w:rFonts w:asciiTheme="minorHAnsi" w:hAnsiTheme="minorHAnsi" w:cstheme="minorHAnsi"/>
          <w:sz w:val="20"/>
          <w:szCs w:val="20"/>
          <w:lang w:val="en-GB"/>
        </w:rPr>
        <w:t xml:space="preserve"> expect </w:t>
      </w:r>
      <w:r w:rsidR="003C381B" w:rsidRPr="00406342">
        <w:rPr>
          <w:rStyle w:val="tlid-translation"/>
          <w:rFonts w:asciiTheme="minorHAnsi" w:hAnsiTheme="minorHAnsi" w:cstheme="minorHAnsi"/>
          <w:sz w:val="20"/>
          <w:szCs w:val="20"/>
          <w:lang w:val="en-GB"/>
        </w:rPr>
        <w:t xml:space="preserve">a new fresh look at </w:t>
      </w:r>
      <w:r w:rsidRPr="00406342">
        <w:rPr>
          <w:rStyle w:val="tlid-translation"/>
          <w:rFonts w:asciiTheme="minorHAnsi" w:hAnsiTheme="minorHAnsi" w:cstheme="minorHAnsi"/>
          <w:sz w:val="20"/>
          <w:szCs w:val="20"/>
          <w:lang w:val="en-GB"/>
        </w:rPr>
        <w:t xml:space="preserve"> philanthropy and the role it might play. </w:t>
      </w:r>
      <w:r w:rsidR="003C381B" w:rsidRPr="00406342">
        <w:rPr>
          <w:rStyle w:val="tlid-translation"/>
          <w:rFonts w:asciiTheme="minorHAnsi" w:hAnsiTheme="minorHAnsi" w:cstheme="minorHAnsi"/>
          <w:sz w:val="20"/>
          <w:szCs w:val="20"/>
          <w:lang w:val="en-GB"/>
        </w:rPr>
        <w:t xml:space="preserve">With some </w:t>
      </w:r>
      <w:r w:rsidR="00420986" w:rsidRPr="00406342">
        <w:rPr>
          <w:rStyle w:val="tlid-translation"/>
          <w:rFonts w:asciiTheme="minorHAnsi" w:hAnsiTheme="minorHAnsi" w:cstheme="minorHAnsi"/>
          <w:sz w:val="20"/>
          <w:szCs w:val="20"/>
          <w:lang w:val="en-GB"/>
        </w:rPr>
        <w:t>exceptions</w:t>
      </w:r>
      <w:r w:rsidRPr="00406342">
        <w:rPr>
          <w:rStyle w:val="tlid-translation"/>
          <w:rFonts w:asciiTheme="minorHAnsi" w:hAnsiTheme="minorHAnsi" w:cstheme="minorHAnsi"/>
          <w:sz w:val="20"/>
          <w:szCs w:val="20"/>
          <w:lang w:val="en-GB"/>
        </w:rPr>
        <w:t xml:space="preserve">, however, </w:t>
      </w:r>
      <w:r w:rsidR="00420986" w:rsidRPr="00406342">
        <w:rPr>
          <w:rStyle w:val="tlid-translation"/>
          <w:rFonts w:asciiTheme="minorHAnsi" w:hAnsiTheme="minorHAnsi" w:cstheme="minorHAnsi"/>
          <w:sz w:val="20"/>
          <w:szCs w:val="20"/>
          <w:lang w:val="en-GB"/>
        </w:rPr>
        <w:t xml:space="preserve">this </w:t>
      </w:r>
      <w:r w:rsidR="00A56BAD" w:rsidRPr="00406342">
        <w:rPr>
          <w:rStyle w:val="tlid-translation"/>
          <w:rFonts w:asciiTheme="minorHAnsi" w:hAnsiTheme="minorHAnsi" w:cstheme="minorHAnsi"/>
          <w:sz w:val="20"/>
          <w:szCs w:val="20"/>
          <w:lang w:val="en-GB"/>
        </w:rPr>
        <w:t xml:space="preserve">is not happening. </w:t>
      </w:r>
    </w:p>
    <w:p w14:paraId="5E81AA24" w14:textId="77777777" w:rsidR="007C790A" w:rsidRPr="00406342" w:rsidRDefault="007C790A" w:rsidP="00A44379">
      <w:pPr>
        <w:pStyle w:val="Normaa"/>
        <w:spacing w:line="276" w:lineRule="auto"/>
        <w:jc w:val="left"/>
        <w:rPr>
          <w:rStyle w:val="tlid-translation"/>
          <w:rFonts w:asciiTheme="minorHAnsi" w:hAnsiTheme="minorHAnsi" w:cstheme="minorHAnsi"/>
          <w:sz w:val="20"/>
          <w:szCs w:val="20"/>
          <w:lang w:val="en-GB"/>
        </w:rPr>
      </w:pPr>
    </w:p>
    <w:p w14:paraId="532F4B99" w14:textId="3FC0B236" w:rsidR="00AC4ED1" w:rsidRPr="00406342" w:rsidRDefault="00F3672D" w:rsidP="00A44379">
      <w:pPr>
        <w:pStyle w:val="Normaa"/>
        <w:spacing w:line="276" w:lineRule="auto"/>
        <w:jc w:val="left"/>
        <w:rPr>
          <w:rStyle w:val="tlid-translation"/>
          <w:rFonts w:asciiTheme="minorHAnsi" w:hAnsiTheme="minorHAnsi" w:cstheme="minorHAnsi"/>
          <w:sz w:val="20"/>
          <w:szCs w:val="20"/>
          <w:lang w:val="en-GB"/>
        </w:rPr>
      </w:pPr>
      <w:r w:rsidRPr="00406342">
        <w:rPr>
          <w:rStyle w:val="tlid-translation"/>
          <w:rFonts w:asciiTheme="minorHAnsi" w:hAnsiTheme="minorHAnsi" w:cstheme="minorHAnsi"/>
          <w:sz w:val="20"/>
          <w:szCs w:val="20"/>
          <w:lang w:val="en-GB"/>
        </w:rPr>
        <w:lastRenderedPageBreak/>
        <w:t>To under</w:t>
      </w:r>
      <w:r w:rsidR="0077575C" w:rsidRPr="00406342">
        <w:rPr>
          <w:rStyle w:val="tlid-translation"/>
          <w:rFonts w:asciiTheme="minorHAnsi" w:hAnsiTheme="minorHAnsi" w:cstheme="minorHAnsi"/>
          <w:sz w:val="20"/>
          <w:szCs w:val="20"/>
          <w:lang w:val="en-GB"/>
        </w:rPr>
        <w:t xml:space="preserve">stand this political disinterest </w:t>
      </w:r>
      <w:r w:rsidR="000B4501" w:rsidRPr="00406342">
        <w:rPr>
          <w:rStyle w:val="tlid-translation"/>
          <w:rFonts w:asciiTheme="minorHAnsi" w:hAnsiTheme="minorHAnsi" w:cstheme="minorHAnsi"/>
          <w:sz w:val="20"/>
          <w:szCs w:val="20"/>
          <w:lang w:val="en-GB"/>
        </w:rPr>
        <w:t xml:space="preserve">several </w:t>
      </w:r>
      <w:r w:rsidR="009B18D5" w:rsidRPr="00406342">
        <w:rPr>
          <w:rStyle w:val="tlid-translation"/>
          <w:rFonts w:asciiTheme="minorHAnsi" w:hAnsiTheme="minorHAnsi" w:cstheme="minorHAnsi"/>
          <w:sz w:val="20"/>
          <w:szCs w:val="20"/>
          <w:lang w:val="en-GB"/>
        </w:rPr>
        <w:t>cultural and “institutional” barriers</w:t>
      </w:r>
      <w:r w:rsidR="00A56BAD" w:rsidRPr="00406342">
        <w:rPr>
          <w:rStyle w:val="tlid-translation"/>
          <w:rFonts w:asciiTheme="minorHAnsi" w:hAnsiTheme="minorHAnsi" w:cstheme="minorHAnsi"/>
          <w:sz w:val="20"/>
          <w:szCs w:val="20"/>
          <w:lang w:val="en-GB"/>
        </w:rPr>
        <w:t xml:space="preserve"> </w:t>
      </w:r>
      <w:r w:rsidR="006F0F19" w:rsidRPr="00406342">
        <w:rPr>
          <w:rStyle w:val="tlid-translation"/>
          <w:rFonts w:asciiTheme="minorHAnsi" w:hAnsiTheme="minorHAnsi" w:cstheme="minorHAnsi"/>
          <w:sz w:val="20"/>
          <w:szCs w:val="20"/>
          <w:lang w:val="en-GB"/>
        </w:rPr>
        <w:t xml:space="preserve">can be found. </w:t>
      </w:r>
      <w:r w:rsidR="009B18D5" w:rsidRPr="00406342">
        <w:rPr>
          <w:rStyle w:val="tlid-translation"/>
          <w:rFonts w:asciiTheme="minorHAnsi" w:hAnsiTheme="minorHAnsi" w:cstheme="minorHAnsi"/>
          <w:sz w:val="20"/>
          <w:szCs w:val="20"/>
          <w:lang w:val="en-GB"/>
        </w:rPr>
        <w:t xml:space="preserve">We now examine </w:t>
      </w:r>
      <w:r w:rsidR="004A1271" w:rsidRPr="00406342">
        <w:rPr>
          <w:rStyle w:val="tlid-translation"/>
          <w:rFonts w:asciiTheme="minorHAnsi" w:hAnsiTheme="minorHAnsi" w:cstheme="minorHAnsi"/>
          <w:sz w:val="20"/>
          <w:szCs w:val="20"/>
          <w:lang w:val="en-GB"/>
        </w:rPr>
        <w:t xml:space="preserve">some </w:t>
      </w:r>
      <w:r w:rsidR="009B18D5" w:rsidRPr="00406342">
        <w:rPr>
          <w:rStyle w:val="tlid-translation"/>
          <w:rFonts w:asciiTheme="minorHAnsi" w:hAnsiTheme="minorHAnsi" w:cstheme="minorHAnsi"/>
          <w:sz w:val="20"/>
          <w:szCs w:val="20"/>
          <w:lang w:val="en-GB"/>
        </w:rPr>
        <w:t>of these in particular</w:t>
      </w:r>
      <w:r w:rsidR="00AC4ED1" w:rsidRPr="00406342">
        <w:rPr>
          <w:rStyle w:val="tlid-translation"/>
          <w:rFonts w:asciiTheme="minorHAnsi" w:hAnsiTheme="minorHAnsi" w:cstheme="minorHAnsi"/>
          <w:sz w:val="20"/>
          <w:szCs w:val="20"/>
          <w:lang w:val="en-GB"/>
        </w:rPr>
        <w:t xml:space="preserve"> as potential explanations why a </w:t>
      </w:r>
      <w:r w:rsidR="003615AE" w:rsidRPr="00406342">
        <w:rPr>
          <w:rStyle w:val="tlid-translation"/>
          <w:rFonts w:asciiTheme="minorHAnsi" w:hAnsiTheme="minorHAnsi" w:cstheme="minorHAnsi"/>
          <w:sz w:val="20"/>
          <w:szCs w:val="20"/>
          <w:lang w:val="en-GB"/>
        </w:rPr>
        <w:t xml:space="preserve">Brussels </w:t>
      </w:r>
      <w:r w:rsidR="00AC4ED1" w:rsidRPr="00406342">
        <w:rPr>
          <w:rStyle w:val="tlid-translation"/>
          <w:rFonts w:asciiTheme="minorHAnsi" w:hAnsiTheme="minorHAnsi" w:cstheme="minorHAnsi"/>
          <w:sz w:val="20"/>
          <w:szCs w:val="20"/>
          <w:lang w:val="en-GB"/>
        </w:rPr>
        <w:t xml:space="preserve">shift towards greater prominence for philanthropy may not be that easy, after all. </w:t>
      </w:r>
    </w:p>
    <w:p w14:paraId="65A79821" w14:textId="587407C5" w:rsidR="0094797F" w:rsidRPr="00406342" w:rsidRDefault="006F0F19" w:rsidP="009B18D5">
      <w:pPr>
        <w:pStyle w:val="Normaa"/>
        <w:jc w:val="left"/>
        <w:rPr>
          <w:rStyle w:val="tlid-translation"/>
          <w:rFonts w:asciiTheme="minorHAnsi" w:hAnsiTheme="minorHAnsi" w:cstheme="minorHAnsi"/>
          <w:sz w:val="20"/>
          <w:szCs w:val="20"/>
          <w:lang w:val="en-GB"/>
        </w:rPr>
      </w:pPr>
      <w:r w:rsidRPr="00406342">
        <w:rPr>
          <w:rStyle w:val="tlid-translation"/>
          <w:rFonts w:asciiTheme="minorHAnsi" w:hAnsiTheme="minorHAnsi" w:cstheme="minorHAnsi"/>
          <w:sz w:val="20"/>
          <w:szCs w:val="20"/>
          <w:lang w:val="en-GB"/>
        </w:rPr>
        <w:t xml:space="preserve">: </w:t>
      </w:r>
    </w:p>
    <w:p w14:paraId="478BF30C" w14:textId="77777777" w:rsidR="0094797F" w:rsidRPr="00406342" w:rsidRDefault="009B18D5" w:rsidP="0094797F">
      <w:pPr>
        <w:pStyle w:val="Normaa"/>
        <w:numPr>
          <w:ilvl w:val="0"/>
          <w:numId w:val="4"/>
        </w:numPr>
        <w:jc w:val="left"/>
        <w:rPr>
          <w:rStyle w:val="tlid-translation"/>
          <w:rFonts w:asciiTheme="minorHAnsi" w:hAnsiTheme="minorHAnsi" w:cstheme="minorHAnsi"/>
          <w:sz w:val="20"/>
          <w:szCs w:val="20"/>
          <w:lang w:val="en-GB"/>
        </w:rPr>
      </w:pPr>
      <w:r w:rsidRPr="00406342">
        <w:rPr>
          <w:rStyle w:val="tlid-translation"/>
          <w:rFonts w:asciiTheme="minorHAnsi" w:hAnsiTheme="minorHAnsi"/>
          <w:sz w:val="20"/>
          <w:szCs w:val="20"/>
          <w:lang w:val="en-US"/>
        </w:rPr>
        <w:t>the welfare-state</w:t>
      </w:r>
      <w:r w:rsidRPr="00406342">
        <w:rPr>
          <w:rFonts w:asciiTheme="minorHAnsi" w:hAnsiTheme="minorHAnsi" w:cstheme="minorHAnsi"/>
          <w:sz w:val="20"/>
          <w:szCs w:val="20"/>
          <w:lang w:val="en-GB"/>
        </w:rPr>
        <w:t xml:space="preserve"> </w:t>
      </w:r>
      <w:r w:rsidRPr="00406342">
        <w:rPr>
          <w:rStyle w:val="tlid-translation"/>
          <w:rFonts w:asciiTheme="minorHAnsi" w:hAnsiTheme="minorHAnsi" w:cstheme="minorHAnsi"/>
          <w:sz w:val="20"/>
          <w:szCs w:val="20"/>
          <w:lang w:val="en-GB"/>
        </w:rPr>
        <w:t xml:space="preserve">paradigm, </w:t>
      </w:r>
    </w:p>
    <w:p w14:paraId="6B616C05" w14:textId="2AB65E56" w:rsidR="0094797F" w:rsidRPr="00406342" w:rsidRDefault="009B18D5" w:rsidP="0094797F">
      <w:pPr>
        <w:pStyle w:val="Normaa"/>
        <w:numPr>
          <w:ilvl w:val="0"/>
          <w:numId w:val="4"/>
        </w:numPr>
        <w:jc w:val="left"/>
        <w:rPr>
          <w:rStyle w:val="tlid-translation"/>
          <w:rFonts w:asciiTheme="minorHAnsi" w:hAnsiTheme="minorHAnsi" w:cstheme="minorHAnsi"/>
          <w:sz w:val="20"/>
          <w:szCs w:val="20"/>
          <w:lang w:val="en-GB"/>
        </w:rPr>
      </w:pPr>
      <w:r w:rsidRPr="00406342">
        <w:rPr>
          <w:rStyle w:val="tlid-translation"/>
          <w:rFonts w:asciiTheme="minorHAnsi" w:hAnsiTheme="minorHAnsi" w:cstheme="minorHAnsi"/>
          <w:sz w:val="20"/>
          <w:szCs w:val="20"/>
          <w:lang w:val="en-GB"/>
        </w:rPr>
        <w:t xml:space="preserve">path dependence </w:t>
      </w:r>
    </w:p>
    <w:p w14:paraId="5D278DEC" w14:textId="3FD4CF02" w:rsidR="009B18D5" w:rsidRPr="00406342" w:rsidRDefault="009B18D5" w:rsidP="00AC4ED1">
      <w:pPr>
        <w:pStyle w:val="Normaa"/>
        <w:numPr>
          <w:ilvl w:val="0"/>
          <w:numId w:val="4"/>
        </w:numPr>
        <w:jc w:val="left"/>
        <w:rPr>
          <w:rStyle w:val="tlid-translation"/>
          <w:rFonts w:asciiTheme="minorHAnsi" w:hAnsiTheme="minorHAnsi" w:cstheme="minorHAnsi"/>
          <w:sz w:val="20"/>
          <w:szCs w:val="20"/>
          <w:lang w:val="en-GB"/>
        </w:rPr>
      </w:pPr>
      <w:r w:rsidRPr="00406342">
        <w:rPr>
          <w:rStyle w:val="tlid-translation"/>
          <w:rFonts w:asciiTheme="minorHAnsi" w:hAnsiTheme="minorHAnsi" w:cstheme="minorHAnsi"/>
          <w:sz w:val="20"/>
          <w:szCs w:val="20"/>
          <w:lang w:val="en-GB"/>
        </w:rPr>
        <w:t>power</w:t>
      </w:r>
    </w:p>
    <w:p w14:paraId="3ABC46B6" w14:textId="46D6A7FD" w:rsidR="004A1271" w:rsidRPr="00406342" w:rsidRDefault="004A1271" w:rsidP="00AC4ED1">
      <w:pPr>
        <w:pStyle w:val="Normaa"/>
        <w:numPr>
          <w:ilvl w:val="0"/>
          <w:numId w:val="4"/>
        </w:numPr>
        <w:jc w:val="left"/>
        <w:rPr>
          <w:rFonts w:asciiTheme="minorHAnsi" w:hAnsiTheme="minorHAnsi" w:cstheme="minorHAnsi"/>
          <w:sz w:val="20"/>
          <w:szCs w:val="20"/>
          <w:lang w:val="en-GB"/>
        </w:rPr>
      </w:pPr>
      <w:r w:rsidRPr="00406342">
        <w:rPr>
          <w:rStyle w:val="tlid-translation"/>
          <w:rFonts w:asciiTheme="minorHAnsi" w:hAnsiTheme="minorHAnsi" w:cstheme="minorHAnsi"/>
          <w:sz w:val="20"/>
          <w:szCs w:val="20"/>
          <w:lang w:val="en-GB"/>
        </w:rPr>
        <w:t xml:space="preserve">image </w:t>
      </w:r>
    </w:p>
    <w:p w14:paraId="106DEAB8" w14:textId="77777777" w:rsidR="000B6CDE" w:rsidRPr="00406342" w:rsidRDefault="000B6CDE" w:rsidP="009B18D5">
      <w:pPr>
        <w:spacing w:line="240" w:lineRule="auto"/>
        <w:rPr>
          <w:rFonts w:cstheme="minorHAnsi"/>
          <w:sz w:val="20"/>
          <w:szCs w:val="20"/>
          <w:lang w:val="en-US"/>
        </w:rPr>
      </w:pPr>
    </w:p>
    <w:p w14:paraId="517C8328" w14:textId="08307542" w:rsidR="009B18D5" w:rsidRPr="00406342" w:rsidRDefault="009B18D5" w:rsidP="00A44379">
      <w:pPr>
        <w:spacing w:line="276" w:lineRule="auto"/>
        <w:rPr>
          <w:rFonts w:cstheme="minorHAnsi"/>
          <w:sz w:val="20"/>
          <w:szCs w:val="20"/>
          <w:lang w:val="en-US"/>
        </w:rPr>
      </w:pPr>
      <w:r w:rsidRPr="00406342">
        <w:rPr>
          <w:rFonts w:cstheme="minorHAnsi"/>
          <w:sz w:val="20"/>
          <w:szCs w:val="20"/>
          <w:lang w:val="en-US"/>
        </w:rPr>
        <w:t>The first and perhaps the most plausible possible explanation is intertwined with the welfare-state paradigm itself. Politicians</w:t>
      </w:r>
      <w:r w:rsidR="00392F4F" w:rsidRPr="00406342">
        <w:rPr>
          <w:rFonts w:cstheme="minorHAnsi"/>
          <w:sz w:val="20"/>
          <w:szCs w:val="20"/>
          <w:lang w:val="en-US"/>
        </w:rPr>
        <w:t xml:space="preserve">, administrators </w:t>
      </w:r>
      <w:r w:rsidRPr="00406342">
        <w:rPr>
          <w:rFonts w:cstheme="minorHAnsi"/>
          <w:sz w:val="20"/>
          <w:szCs w:val="20"/>
          <w:lang w:val="en-US"/>
        </w:rPr>
        <w:t>and social policy researchers may see philanthropy as a stage in European social development that is passé, a concept which belongs in an era long before the welfare state. It has a mediaeval ring to it and clear associations with patronage, Christian values and charity. The welfare state and its facilities represent civil and social rights, the opposite of the inequality, paternalism and arbitrariness associated with philanthropy.</w:t>
      </w:r>
    </w:p>
    <w:p w14:paraId="30C06901" w14:textId="7FCB4DB2" w:rsidR="009B18D5" w:rsidRPr="00406342" w:rsidRDefault="009B18D5" w:rsidP="00A44379">
      <w:pPr>
        <w:spacing w:line="276" w:lineRule="auto"/>
        <w:rPr>
          <w:rFonts w:cstheme="minorHAnsi"/>
          <w:sz w:val="20"/>
          <w:szCs w:val="20"/>
          <w:lang w:val="en-US"/>
        </w:rPr>
      </w:pPr>
      <w:r w:rsidRPr="00406342">
        <w:rPr>
          <w:rFonts w:cstheme="minorHAnsi"/>
          <w:sz w:val="20"/>
          <w:szCs w:val="20"/>
          <w:lang w:val="en-US"/>
        </w:rPr>
        <w:t>Secondly, one could suggest a “politico-cultural” or “politico-institutional” explanation in the form of path dependence. At root, the ultimate question facing European politics and policymakers is: which services should be provided by the state and which should be left to the market? And, derived from that: how does one regulate the relationship between the state and the market? Philanthropy plays no role in this bipartite scenario.</w:t>
      </w:r>
    </w:p>
    <w:p w14:paraId="543E96A1" w14:textId="77777777" w:rsidR="004A1271" w:rsidRPr="00406342" w:rsidRDefault="009B18D5" w:rsidP="00A44379">
      <w:pPr>
        <w:spacing w:line="276" w:lineRule="auto"/>
        <w:rPr>
          <w:rFonts w:cstheme="minorHAnsi"/>
          <w:sz w:val="20"/>
          <w:szCs w:val="20"/>
          <w:lang w:val="en-US"/>
        </w:rPr>
      </w:pPr>
      <w:r w:rsidRPr="00406342">
        <w:rPr>
          <w:rFonts w:cstheme="minorHAnsi"/>
          <w:sz w:val="20"/>
          <w:szCs w:val="20"/>
          <w:lang w:val="en-US"/>
        </w:rPr>
        <w:t>The third explanation originates from a theory of power. Politicians are unlikely to be amused when philanthropic foundations, wealthy philanthropists or leading businesses increase their influence in the public domain. Of course they are welcome to fund government policies in a supplementary way, but pursuing their own private agendas could be perceived as a threat: “Philanthropy always has something to do with power and the shaping of the future of society”.</w:t>
      </w:r>
      <w:r w:rsidRPr="00406342">
        <w:rPr>
          <w:rStyle w:val="FootnoteReference"/>
          <w:rFonts w:cstheme="minorHAnsi"/>
          <w:sz w:val="20"/>
          <w:szCs w:val="20"/>
        </w:rPr>
        <w:footnoteReference w:id="5"/>
      </w:r>
      <w:r w:rsidRPr="00406342">
        <w:rPr>
          <w:rFonts w:cstheme="minorHAnsi"/>
          <w:sz w:val="20"/>
          <w:szCs w:val="20"/>
          <w:lang w:val="en-US"/>
        </w:rPr>
        <w:t xml:space="preserve"> </w:t>
      </w:r>
    </w:p>
    <w:p w14:paraId="7E46D4F6" w14:textId="5DC440E4" w:rsidR="002B2AD7" w:rsidRPr="00406342" w:rsidRDefault="004A1271" w:rsidP="00A44379">
      <w:pPr>
        <w:spacing w:line="276" w:lineRule="auto"/>
        <w:rPr>
          <w:rFonts w:cstheme="minorHAnsi"/>
          <w:sz w:val="20"/>
          <w:szCs w:val="20"/>
          <w:lang w:val="en-US"/>
        </w:rPr>
      </w:pPr>
      <w:r w:rsidRPr="00406342">
        <w:rPr>
          <w:rFonts w:cstheme="minorHAnsi"/>
          <w:sz w:val="20"/>
          <w:szCs w:val="20"/>
          <w:lang w:val="en-US"/>
        </w:rPr>
        <w:t xml:space="preserve">A fourth explanation </w:t>
      </w:r>
      <w:r w:rsidR="00D04747" w:rsidRPr="00406342">
        <w:rPr>
          <w:rFonts w:cstheme="minorHAnsi"/>
          <w:sz w:val="20"/>
          <w:szCs w:val="20"/>
          <w:lang w:val="en-US"/>
        </w:rPr>
        <w:t xml:space="preserve">refers to the </w:t>
      </w:r>
      <w:r w:rsidR="00D76575" w:rsidRPr="00406342">
        <w:rPr>
          <w:rFonts w:cstheme="minorHAnsi"/>
          <w:sz w:val="20"/>
          <w:szCs w:val="20"/>
          <w:lang w:val="en-US"/>
        </w:rPr>
        <w:t xml:space="preserve">distorted </w:t>
      </w:r>
      <w:r w:rsidR="00D04747" w:rsidRPr="00406342">
        <w:rPr>
          <w:rFonts w:cstheme="minorHAnsi"/>
          <w:sz w:val="20"/>
          <w:szCs w:val="20"/>
          <w:lang w:val="en-US"/>
        </w:rPr>
        <w:t>image of philanthropy</w:t>
      </w:r>
      <w:r w:rsidR="009E5F62" w:rsidRPr="00406342">
        <w:rPr>
          <w:rFonts w:cstheme="minorHAnsi"/>
          <w:sz w:val="20"/>
          <w:szCs w:val="20"/>
          <w:lang w:val="en-US"/>
        </w:rPr>
        <w:t xml:space="preserve">, dominated by </w:t>
      </w:r>
      <w:r w:rsidR="00506B67" w:rsidRPr="00406342">
        <w:rPr>
          <w:rFonts w:cstheme="minorHAnsi"/>
          <w:sz w:val="20"/>
          <w:szCs w:val="20"/>
          <w:lang w:val="en-US"/>
        </w:rPr>
        <w:t>media</w:t>
      </w:r>
      <w:r w:rsidR="00EC38D9" w:rsidRPr="00406342">
        <w:rPr>
          <w:rFonts w:cstheme="minorHAnsi"/>
          <w:sz w:val="20"/>
          <w:szCs w:val="20"/>
          <w:lang w:val="en-US"/>
        </w:rPr>
        <w:t xml:space="preserve">. </w:t>
      </w:r>
      <w:r w:rsidR="00897578" w:rsidRPr="00406342">
        <w:rPr>
          <w:rFonts w:cstheme="minorHAnsi"/>
          <w:sz w:val="20"/>
          <w:szCs w:val="20"/>
          <w:lang w:val="en-US"/>
        </w:rPr>
        <w:t>“</w:t>
      </w:r>
      <w:r w:rsidR="00EC38D9" w:rsidRPr="00406342">
        <w:rPr>
          <w:rFonts w:cstheme="minorHAnsi"/>
          <w:sz w:val="20"/>
          <w:szCs w:val="20"/>
          <w:lang w:val="en-US"/>
        </w:rPr>
        <w:t>T</w:t>
      </w:r>
      <w:r w:rsidR="002B3A5F" w:rsidRPr="00406342">
        <w:rPr>
          <w:rFonts w:cstheme="minorHAnsi"/>
          <w:sz w:val="20"/>
          <w:szCs w:val="20"/>
          <w:lang w:val="en-US"/>
        </w:rPr>
        <w:t>hose are the rich</w:t>
      </w:r>
      <w:r w:rsidR="00EC38D9" w:rsidRPr="00406342">
        <w:rPr>
          <w:rFonts w:cstheme="minorHAnsi"/>
          <w:sz w:val="20"/>
          <w:szCs w:val="20"/>
          <w:lang w:val="en-US"/>
        </w:rPr>
        <w:t>, and wealthy</w:t>
      </w:r>
      <w:r w:rsidR="002B3A5F" w:rsidRPr="00406342">
        <w:rPr>
          <w:rFonts w:cstheme="minorHAnsi"/>
          <w:sz w:val="20"/>
          <w:szCs w:val="20"/>
          <w:lang w:val="en-US"/>
        </w:rPr>
        <w:t>”, forgetting that ordinary households make the largest share of philanthropic contributions in Europe</w:t>
      </w:r>
      <w:r w:rsidR="00182698" w:rsidRPr="00406342">
        <w:rPr>
          <w:rStyle w:val="FootnoteReference"/>
          <w:rFonts w:ascii="Calibri" w:hAnsi="Calibri"/>
          <w:sz w:val="20"/>
          <w:szCs w:val="20"/>
        </w:rPr>
        <w:footnoteReference w:id="6"/>
      </w:r>
      <w:r w:rsidR="002B3A5F" w:rsidRPr="00406342">
        <w:rPr>
          <w:rFonts w:cstheme="minorHAnsi"/>
          <w:sz w:val="20"/>
          <w:szCs w:val="20"/>
          <w:lang w:val="en-US"/>
        </w:rPr>
        <w:t xml:space="preserve">. </w:t>
      </w:r>
      <w:r w:rsidR="00E97633" w:rsidRPr="00406342">
        <w:rPr>
          <w:rFonts w:cstheme="minorHAnsi"/>
          <w:sz w:val="20"/>
          <w:szCs w:val="20"/>
          <w:lang w:val="en-US"/>
        </w:rPr>
        <w:t xml:space="preserve">Philanthropy </w:t>
      </w:r>
      <w:r w:rsidR="00F40E0E" w:rsidRPr="00406342">
        <w:rPr>
          <w:rFonts w:cstheme="minorHAnsi"/>
          <w:sz w:val="20"/>
          <w:szCs w:val="20"/>
          <w:lang w:val="en-US"/>
        </w:rPr>
        <w:t xml:space="preserve">shortly includes all kinds </w:t>
      </w:r>
      <w:r w:rsidR="008C2654" w:rsidRPr="00406342">
        <w:rPr>
          <w:rFonts w:cstheme="minorHAnsi"/>
          <w:sz w:val="20"/>
          <w:szCs w:val="20"/>
          <w:lang w:val="en-US"/>
        </w:rPr>
        <w:t>of voluntary action for the common good</w:t>
      </w:r>
      <w:r w:rsidR="00691C33" w:rsidRPr="00406342">
        <w:rPr>
          <w:rFonts w:cstheme="minorHAnsi"/>
          <w:sz w:val="20"/>
          <w:szCs w:val="20"/>
          <w:lang w:val="en-US"/>
        </w:rPr>
        <w:t>: from volunteering</w:t>
      </w:r>
      <w:r w:rsidR="00E2240C" w:rsidRPr="00406342">
        <w:rPr>
          <w:rFonts w:cstheme="minorHAnsi"/>
          <w:sz w:val="20"/>
          <w:szCs w:val="20"/>
          <w:lang w:val="en-US"/>
        </w:rPr>
        <w:t xml:space="preserve"> time and expertise to giving </w:t>
      </w:r>
      <w:r w:rsidR="00E07B86" w:rsidRPr="00406342">
        <w:rPr>
          <w:rFonts w:cstheme="minorHAnsi"/>
          <w:sz w:val="20"/>
          <w:szCs w:val="20"/>
          <w:lang w:val="en-US"/>
        </w:rPr>
        <w:t xml:space="preserve"> money, legacies</w:t>
      </w:r>
      <w:r w:rsidR="00D93A0B" w:rsidRPr="00406342">
        <w:rPr>
          <w:rFonts w:cstheme="minorHAnsi"/>
          <w:sz w:val="20"/>
          <w:szCs w:val="20"/>
          <w:lang w:val="en-US"/>
        </w:rPr>
        <w:t xml:space="preserve">, </w:t>
      </w:r>
      <w:r w:rsidR="00C8369B" w:rsidRPr="00406342">
        <w:rPr>
          <w:rFonts w:cstheme="minorHAnsi"/>
          <w:sz w:val="20"/>
          <w:szCs w:val="20"/>
          <w:lang w:val="en-US"/>
        </w:rPr>
        <w:t xml:space="preserve">social investments and even </w:t>
      </w:r>
      <w:r w:rsidR="00182698" w:rsidRPr="00406342">
        <w:rPr>
          <w:rFonts w:cstheme="minorHAnsi"/>
          <w:sz w:val="20"/>
          <w:szCs w:val="20"/>
          <w:lang w:val="en-US"/>
        </w:rPr>
        <w:t>blood /organ donations</w:t>
      </w:r>
      <w:r w:rsidR="00B71863" w:rsidRPr="00406342">
        <w:rPr>
          <w:rFonts w:cstheme="minorHAnsi"/>
          <w:sz w:val="20"/>
          <w:szCs w:val="20"/>
          <w:lang w:val="en-US"/>
        </w:rPr>
        <w:t xml:space="preserve">. </w:t>
      </w:r>
      <w:r w:rsidR="00446EAE" w:rsidRPr="00406342">
        <w:rPr>
          <w:rFonts w:cstheme="minorHAnsi"/>
          <w:sz w:val="20"/>
          <w:szCs w:val="20"/>
          <w:lang w:val="en-US"/>
        </w:rPr>
        <w:t xml:space="preserve">To reframe </w:t>
      </w:r>
      <w:r w:rsidR="004640DD" w:rsidRPr="00406342">
        <w:rPr>
          <w:rFonts w:cstheme="minorHAnsi"/>
          <w:sz w:val="20"/>
          <w:szCs w:val="20"/>
          <w:lang w:val="en-US"/>
        </w:rPr>
        <w:t xml:space="preserve">properly the distorted image of </w:t>
      </w:r>
      <w:r w:rsidR="004C4D4B" w:rsidRPr="00406342">
        <w:rPr>
          <w:rFonts w:cstheme="minorHAnsi"/>
          <w:sz w:val="20"/>
          <w:szCs w:val="20"/>
          <w:lang w:val="en-US"/>
        </w:rPr>
        <w:t xml:space="preserve">philanthropy will take time. </w:t>
      </w:r>
    </w:p>
    <w:p w14:paraId="091BBAFC" w14:textId="3872C5C7" w:rsidR="007E2844" w:rsidRPr="00406342" w:rsidRDefault="003B11A5" w:rsidP="00A44379">
      <w:pPr>
        <w:spacing w:line="276" w:lineRule="auto"/>
        <w:rPr>
          <w:rFonts w:cstheme="minorHAnsi"/>
          <w:b/>
          <w:bCs/>
          <w:sz w:val="20"/>
          <w:szCs w:val="20"/>
          <w:lang w:val="en-US"/>
        </w:rPr>
      </w:pPr>
      <w:r w:rsidRPr="00406342">
        <w:rPr>
          <w:rFonts w:cstheme="minorHAnsi"/>
          <w:b/>
          <w:bCs/>
          <w:sz w:val="20"/>
          <w:szCs w:val="20"/>
          <w:lang w:val="en-US"/>
        </w:rPr>
        <w:t>I</w:t>
      </w:r>
      <w:r w:rsidR="002E7433" w:rsidRPr="00406342">
        <w:rPr>
          <w:rFonts w:cstheme="minorHAnsi"/>
          <w:b/>
          <w:bCs/>
          <w:sz w:val="20"/>
          <w:szCs w:val="20"/>
          <w:lang w:val="en-US"/>
        </w:rPr>
        <w:t>nput from organization</w:t>
      </w:r>
      <w:r w:rsidR="007B435F" w:rsidRPr="00406342">
        <w:rPr>
          <w:rFonts w:cstheme="minorHAnsi"/>
          <w:b/>
          <w:bCs/>
          <w:sz w:val="20"/>
          <w:szCs w:val="20"/>
          <w:lang w:val="en-US"/>
        </w:rPr>
        <w:t xml:space="preserve"> - </w:t>
      </w:r>
      <w:r w:rsidR="00706B33" w:rsidRPr="00406342">
        <w:rPr>
          <w:rFonts w:cstheme="minorHAnsi"/>
          <w:b/>
          <w:bCs/>
          <w:sz w:val="20"/>
          <w:szCs w:val="20"/>
          <w:lang w:val="en-US"/>
        </w:rPr>
        <w:t xml:space="preserve"> and polit</w:t>
      </w:r>
      <w:r w:rsidR="00EA2B26" w:rsidRPr="00406342">
        <w:rPr>
          <w:rFonts w:cstheme="minorHAnsi"/>
          <w:b/>
          <w:bCs/>
          <w:sz w:val="20"/>
          <w:szCs w:val="20"/>
          <w:lang w:val="en-US"/>
        </w:rPr>
        <w:t>i</w:t>
      </w:r>
      <w:r w:rsidR="00706B33" w:rsidRPr="00406342">
        <w:rPr>
          <w:rFonts w:cstheme="minorHAnsi"/>
          <w:b/>
          <w:bCs/>
          <w:sz w:val="20"/>
          <w:szCs w:val="20"/>
          <w:lang w:val="en-US"/>
        </w:rPr>
        <w:t>c</w:t>
      </w:r>
      <w:r w:rsidR="00EA2B26" w:rsidRPr="00406342">
        <w:rPr>
          <w:rFonts w:cstheme="minorHAnsi"/>
          <w:b/>
          <w:bCs/>
          <w:sz w:val="20"/>
          <w:szCs w:val="20"/>
          <w:lang w:val="en-US"/>
        </w:rPr>
        <w:t>al</w:t>
      </w:r>
      <w:r w:rsidR="002E7433" w:rsidRPr="00406342">
        <w:rPr>
          <w:rFonts w:cstheme="minorHAnsi"/>
          <w:b/>
          <w:bCs/>
          <w:sz w:val="20"/>
          <w:szCs w:val="20"/>
          <w:lang w:val="en-US"/>
        </w:rPr>
        <w:t xml:space="preserve"> sciences  </w:t>
      </w:r>
    </w:p>
    <w:p w14:paraId="1608E21A" w14:textId="0A0FAC79" w:rsidR="00795582" w:rsidRPr="00406342" w:rsidRDefault="004C4D4B" w:rsidP="00A44379">
      <w:pPr>
        <w:spacing w:line="276" w:lineRule="auto"/>
        <w:rPr>
          <w:rFonts w:cstheme="minorHAnsi"/>
          <w:sz w:val="20"/>
          <w:szCs w:val="20"/>
          <w:lang w:val="en-US"/>
        </w:rPr>
      </w:pPr>
      <w:r w:rsidRPr="00406342">
        <w:rPr>
          <w:rFonts w:cstheme="minorHAnsi"/>
          <w:sz w:val="20"/>
          <w:szCs w:val="20"/>
          <w:lang w:val="en-US"/>
        </w:rPr>
        <w:t>To overcome the gap caused by ignorance, misunderstanding or unwillingness</w:t>
      </w:r>
      <w:r w:rsidR="002B7BDA" w:rsidRPr="00406342">
        <w:rPr>
          <w:rFonts w:cstheme="minorHAnsi"/>
          <w:sz w:val="20"/>
          <w:szCs w:val="20"/>
          <w:lang w:val="en-US"/>
        </w:rPr>
        <w:t xml:space="preserve">, </w:t>
      </w:r>
      <w:r w:rsidR="00214F8C" w:rsidRPr="00406342">
        <w:rPr>
          <w:rFonts w:cstheme="minorHAnsi"/>
          <w:sz w:val="20"/>
          <w:szCs w:val="20"/>
          <w:lang w:val="en-US"/>
        </w:rPr>
        <w:t xml:space="preserve">an </w:t>
      </w:r>
      <w:r w:rsidR="00DD67CF" w:rsidRPr="00406342">
        <w:rPr>
          <w:rFonts w:cstheme="minorHAnsi"/>
          <w:sz w:val="20"/>
          <w:szCs w:val="20"/>
          <w:lang w:val="en-US"/>
        </w:rPr>
        <w:t>organization</w:t>
      </w:r>
      <w:r w:rsidR="00EA2B26" w:rsidRPr="00406342">
        <w:rPr>
          <w:rFonts w:cstheme="minorHAnsi"/>
          <w:sz w:val="20"/>
          <w:szCs w:val="20"/>
          <w:lang w:val="en-US"/>
        </w:rPr>
        <w:t xml:space="preserve"> – and political </w:t>
      </w:r>
      <w:r w:rsidR="00DD67CF" w:rsidRPr="00406342">
        <w:rPr>
          <w:rFonts w:cstheme="minorHAnsi"/>
          <w:sz w:val="20"/>
          <w:szCs w:val="20"/>
          <w:lang w:val="en-US"/>
        </w:rPr>
        <w:t xml:space="preserve">sciences </w:t>
      </w:r>
      <w:r w:rsidR="009045EA" w:rsidRPr="00406342">
        <w:rPr>
          <w:rFonts w:cstheme="minorHAnsi"/>
          <w:sz w:val="20"/>
          <w:szCs w:val="20"/>
          <w:lang w:val="en-US"/>
        </w:rPr>
        <w:t>be of help</w:t>
      </w:r>
      <w:r w:rsidR="006F12FF" w:rsidRPr="00406342">
        <w:rPr>
          <w:rFonts w:cstheme="minorHAnsi"/>
          <w:sz w:val="20"/>
          <w:szCs w:val="20"/>
          <w:lang w:val="en-US"/>
        </w:rPr>
        <w:t>?</w:t>
      </w:r>
      <w:r w:rsidR="007B435F" w:rsidRPr="00406342">
        <w:rPr>
          <w:rFonts w:cstheme="minorHAnsi"/>
          <w:sz w:val="20"/>
          <w:szCs w:val="20"/>
          <w:lang w:val="en-US"/>
        </w:rPr>
        <w:t xml:space="preserve">  </w:t>
      </w:r>
      <w:r w:rsidR="006F12FF" w:rsidRPr="00406342">
        <w:rPr>
          <w:rFonts w:cstheme="minorHAnsi"/>
          <w:sz w:val="20"/>
          <w:szCs w:val="20"/>
          <w:lang w:val="en-US"/>
        </w:rPr>
        <w:t xml:space="preserve">Can they </w:t>
      </w:r>
      <w:r w:rsidR="00814BA6" w:rsidRPr="00406342">
        <w:rPr>
          <w:rFonts w:cstheme="minorHAnsi"/>
          <w:sz w:val="20"/>
          <w:szCs w:val="20"/>
          <w:lang w:val="en-US"/>
        </w:rPr>
        <w:t xml:space="preserve">offer </w:t>
      </w:r>
      <w:r w:rsidR="00E0157E" w:rsidRPr="00406342">
        <w:rPr>
          <w:rFonts w:cstheme="minorHAnsi"/>
          <w:sz w:val="20"/>
          <w:szCs w:val="20"/>
          <w:lang w:val="en-US"/>
        </w:rPr>
        <w:t>theoretical options</w:t>
      </w:r>
      <w:r w:rsidR="009045EA" w:rsidRPr="00406342">
        <w:rPr>
          <w:rFonts w:cstheme="minorHAnsi"/>
          <w:sz w:val="20"/>
          <w:szCs w:val="20"/>
          <w:lang w:val="en-US"/>
        </w:rPr>
        <w:t xml:space="preserve"> </w:t>
      </w:r>
      <w:r w:rsidR="001055F7" w:rsidRPr="00406342">
        <w:rPr>
          <w:rFonts w:cstheme="minorHAnsi"/>
          <w:sz w:val="20"/>
          <w:szCs w:val="20"/>
          <w:lang w:val="en-US"/>
        </w:rPr>
        <w:t xml:space="preserve">to </w:t>
      </w:r>
      <w:r w:rsidR="00340ABD" w:rsidRPr="00406342">
        <w:rPr>
          <w:rFonts w:cstheme="minorHAnsi"/>
          <w:sz w:val="20"/>
          <w:szCs w:val="20"/>
          <w:lang w:val="en-US"/>
        </w:rPr>
        <w:t>understand</w:t>
      </w:r>
      <w:r w:rsidR="00B12B70" w:rsidRPr="00406342">
        <w:rPr>
          <w:rFonts w:cstheme="minorHAnsi"/>
          <w:sz w:val="20"/>
          <w:szCs w:val="20"/>
          <w:lang w:val="en-US"/>
        </w:rPr>
        <w:t xml:space="preserve"> </w:t>
      </w:r>
      <w:r w:rsidR="007B435F" w:rsidRPr="00406342">
        <w:rPr>
          <w:rFonts w:cstheme="minorHAnsi"/>
          <w:sz w:val="20"/>
          <w:szCs w:val="20"/>
          <w:lang w:val="en-US"/>
        </w:rPr>
        <w:t xml:space="preserve">if, </w:t>
      </w:r>
      <w:r w:rsidR="00911C1D" w:rsidRPr="00406342">
        <w:rPr>
          <w:rFonts w:cstheme="minorHAnsi"/>
          <w:sz w:val="20"/>
          <w:szCs w:val="20"/>
          <w:lang w:val="en-US"/>
        </w:rPr>
        <w:t xml:space="preserve">when and how these two worlds </w:t>
      </w:r>
      <w:r w:rsidR="00665476" w:rsidRPr="00406342">
        <w:rPr>
          <w:rFonts w:cstheme="minorHAnsi"/>
          <w:sz w:val="20"/>
          <w:szCs w:val="20"/>
          <w:lang w:val="en-US"/>
        </w:rPr>
        <w:t xml:space="preserve">could </w:t>
      </w:r>
      <w:r w:rsidR="00911C1D" w:rsidRPr="00406342">
        <w:rPr>
          <w:rFonts w:cstheme="minorHAnsi"/>
          <w:sz w:val="20"/>
          <w:szCs w:val="20"/>
          <w:lang w:val="en-US"/>
        </w:rPr>
        <w:t xml:space="preserve">meet? </w:t>
      </w:r>
      <w:r w:rsidR="00340ABD" w:rsidRPr="00406342">
        <w:rPr>
          <w:rFonts w:cstheme="minorHAnsi"/>
          <w:sz w:val="20"/>
          <w:szCs w:val="20"/>
          <w:lang w:val="en-US"/>
        </w:rPr>
        <w:t xml:space="preserve"> </w:t>
      </w:r>
    </w:p>
    <w:p w14:paraId="0BB72321" w14:textId="05854F5A" w:rsidR="008B1C9F" w:rsidRPr="00406342" w:rsidRDefault="00F14E6A" w:rsidP="00A44379">
      <w:pPr>
        <w:spacing w:line="276" w:lineRule="auto"/>
        <w:rPr>
          <w:rFonts w:cstheme="minorHAnsi"/>
          <w:sz w:val="20"/>
          <w:szCs w:val="20"/>
          <w:lang w:val="en-US"/>
        </w:rPr>
      </w:pPr>
      <w:r w:rsidRPr="00406342">
        <w:rPr>
          <w:rFonts w:cstheme="minorHAnsi"/>
          <w:sz w:val="20"/>
          <w:szCs w:val="20"/>
          <w:lang w:val="en-US"/>
        </w:rPr>
        <w:t xml:space="preserve">Central </w:t>
      </w:r>
      <w:r w:rsidR="00C90596" w:rsidRPr="00406342">
        <w:rPr>
          <w:rFonts w:cstheme="minorHAnsi"/>
          <w:sz w:val="20"/>
          <w:szCs w:val="20"/>
          <w:lang w:val="en-US"/>
        </w:rPr>
        <w:t>in proce</w:t>
      </w:r>
      <w:r w:rsidR="008F599A" w:rsidRPr="00406342">
        <w:rPr>
          <w:rFonts w:cstheme="minorHAnsi"/>
          <w:sz w:val="20"/>
          <w:szCs w:val="20"/>
          <w:lang w:val="en-US"/>
        </w:rPr>
        <w:t xml:space="preserve">sses of rapprochement </w:t>
      </w:r>
      <w:r w:rsidR="00C35367" w:rsidRPr="00406342">
        <w:rPr>
          <w:rFonts w:cstheme="minorHAnsi"/>
          <w:sz w:val="20"/>
          <w:szCs w:val="20"/>
          <w:lang w:val="en-US"/>
        </w:rPr>
        <w:t xml:space="preserve">among different </w:t>
      </w:r>
      <w:r w:rsidR="00405A4B" w:rsidRPr="00406342">
        <w:rPr>
          <w:rFonts w:cstheme="minorHAnsi"/>
          <w:sz w:val="20"/>
          <w:szCs w:val="20"/>
          <w:lang w:val="en-US"/>
        </w:rPr>
        <w:t xml:space="preserve">parties </w:t>
      </w:r>
      <w:r w:rsidR="00ED15BC" w:rsidRPr="00406342">
        <w:rPr>
          <w:rFonts w:cstheme="minorHAnsi"/>
          <w:sz w:val="20"/>
          <w:szCs w:val="20"/>
          <w:lang w:val="en-US"/>
        </w:rPr>
        <w:t>is the concept of interdependency</w:t>
      </w:r>
      <w:r w:rsidR="005B2FB4" w:rsidRPr="00406342">
        <w:rPr>
          <w:rFonts w:cstheme="minorHAnsi"/>
          <w:sz w:val="20"/>
          <w:szCs w:val="20"/>
          <w:lang w:val="en-US"/>
        </w:rPr>
        <w:t xml:space="preserve">. </w:t>
      </w:r>
      <w:r w:rsidR="00E13BFD" w:rsidRPr="00406342">
        <w:rPr>
          <w:rFonts w:cstheme="minorHAnsi"/>
          <w:sz w:val="20"/>
          <w:szCs w:val="20"/>
          <w:lang w:val="en-US"/>
        </w:rPr>
        <w:t xml:space="preserve">Interdependency and awareness of interdependency </w:t>
      </w:r>
      <w:r w:rsidR="00525389" w:rsidRPr="00406342">
        <w:rPr>
          <w:rFonts w:cstheme="minorHAnsi"/>
          <w:sz w:val="20"/>
          <w:szCs w:val="20"/>
          <w:lang w:val="en-US"/>
        </w:rPr>
        <w:t xml:space="preserve">arises </w:t>
      </w:r>
      <w:r w:rsidR="00B55A15" w:rsidRPr="00406342">
        <w:rPr>
          <w:rFonts w:cstheme="minorHAnsi"/>
          <w:sz w:val="20"/>
          <w:szCs w:val="20"/>
          <w:lang w:val="en-US"/>
        </w:rPr>
        <w:t xml:space="preserve">if parties realize and experience that </w:t>
      </w:r>
      <w:r w:rsidR="00C33A2C" w:rsidRPr="00406342">
        <w:rPr>
          <w:rFonts w:cstheme="minorHAnsi"/>
          <w:sz w:val="20"/>
          <w:szCs w:val="20"/>
          <w:lang w:val="en-US"/>
        </w:rPr>
        <w:t xml:space="preserve">they </w:t>
      </w:r>
      <w:r w:rsidR="005B2FB4" w:rsidRPr="00406342">
        <w:rPr>
          <w:rFonts w:cstheme="minorHAnsi"/>
          <w:sz w:val="20"/>
          <w:szCs w:val="20"/>
          <w:lang w:val="en-US"/>
        </w:rPr>
        <w:t>influence each other’s goal achievement</w:t>
      </w:r>
      <w:r w:rsidR="00D51148" w:rsidRPr="00406342">
        <w:rPr>
          <w:rFonts w:cstheme="minorHAnsi"/>
          <w:sz w:val="20"/>
          <w:szCs w:val="20"/>
          <w:lang w:val="en-US"/>
        </w:rPr>
        <w:t>. M</w:t>
      </w:r>
      <w:r w:rsidR="00C2675A" w:rsidRPr="00406342">
        <w:rPr>
          <w:rFonts w:cstheme="minorHAnsi"/>
          <w:sz w:val="20"/>
          <w:szCs w:val="20"/>
          <w:lang w:val="en-US"/>
        </w:rPr>
        <w:t>utual dependency</w:t>
      </w:r>
      <w:r w:rsidR="00216C25" w:rsidRPr="00406342">
        <w:rPr>
          <w:rFonts w:cstheme="minorHAnsi"/>
          <w:sz w:val="20"/>
          <w:szCs w:val="20"/>
          <w:lang w:val="en-US"/>
        </w:rPr>
        <w:t xml:space="preserve"> of parties </w:t>
      </w:r>
      <w:r w:rsidR="00D51148" w:rsidRPr="00406342">
        <w:rPr>
          <w:rFonts w:cstheme="minorHAnsi"/>
          <w:sz w:val="20"/>
          <w:szCs w:val="20"/>
          <w:lang w:val="en-US"/>
        </w:rPr>
        <w:t>are fueled by</w:t>
      </w:r>
      <w:r w:rsidR="008B1C9F" w:rsidRPr="00406342">
        <w:rPr>
          <w:rFonts w:cstheme="minorHAnsi"/>
          <w:sz w:val="20"/>
          <w:szCs w:val="20"/>
          <w:lang w:val="en-US"/>
        </w:rPr>
        <w:t xml:space="preserve">: </w:t>
      </w:r>
    </w:p>
    <w:p w14:paraId="116C665B" w14:textId="336068AE" w:rsidR="008B1C9F" w:rsidRPr="00406342" w:rsidRDefault="00141AF1" w:rsidP="00A44379">
      <w:pPr>
        <w:pStyle w:val="ListParagraph"/>
        <w:numPr>
          <w:ilvl w:val="0"/>
          <w:numId w:val="5"/>
        </w:numPr>
        <w:spacing w:line="276" w:lineRule="auto"/>
        <w:rPr>
          <w:rFonts w:cstheme="minorHAnsi"/>
          <w:sz w:val="20"/>
          <w:szCs w:val="20"/>
          <w:lang w:val="en-US"/>
        </w:rPr>
      </w:pPr>
      <w:r w:rsidRPr="00406342">
        <w:rPr>
          <w:rFonts w:cstheme="minorHAnsi"/>
          <w:sz w:val="20"/>
          <w:szCs w:val="20"/>
          <w:lang w:val="en-US"/>
        </w:rPr>
        <w:t xml:space="preserve">external </w:t>
      </w:r>
      <w:r w:rsidR="00625B8C" w:rsidRPr="00406342">
        <w:rPr>
          <w:rFonts w:cstheme="minorHAnsi"/>
          <w:sz w:val="20"/>
          <w:szCs w:val="20"/>
          <w:lang w:val="en-US"/>
        </w:rPr>
        <w:t xml:space="preserve">pressures; </w:t>
      </w:r>
      <w:r w:rsidRPr="00406342">
        <w:rPr>
          <w:rFonts w:cstheme="minorHAnsi"/>
          <w:sz w:val="20"/>
          <w:szCs w:val="20"/>
          <w:lang w:val="en-US"/>
        </w:rPr>
        <w:t xml:space="preserve">challenges/ </w:t>
      </w:r>
      <w:r w:rsidR="00625B8C" w:rsidRPr="00406342">
        <w:rPr>
          <w:rFonts w:cstheme="minorHAnsi"/>
          <w:sz w:val="20"/>
          <w:szCs w:val="20"/>
          <w:lang w:val="en-US"/>
        </w:rPr>
        <w:t xml:space="preserve">urgent </w:t>
      </w:r>
      <w:r w:rsidRPr="00406342">
        <w:rPr>
          <w:rFonts w:cstheme="minorHAnsi"/>
          <w:sz w:val="20"/>
          <w:szCs w:val="20"/>
          <w:lang w:val="en-US"/>
        </w:rPr>
        <w:t>problems</w:t>
      </w:r>
    </w:p>
    <w:p w14:paraId="31EC3479" w14:textId="17574C30" w:rsidR="008272E4" w:rsidRPr="00406342" w:rsidRDefault="000C1BE8" w:rsidP="00A44379">
      <w:pPr>
        <w:pStyle w:val="ListParagraph"/>
        <w:numPr>
          <w:ilvl w:val="0"/>
          <w:numId w:val="5"/>
        </w:numPr>
        <w:spacing w:line="276" w:lineRule="auto"/>
        <w:rPr>
          <w:rFonts w:cstheme="minorHAnsi"/>
          <w:sz w:val="20"/>
          <w:szCs w:val="20"/>
          <w:lang w:val="en-US"/>
        </w:rPr>
      </w:pPr>
      <w:r w:rsidRPr="00406342">
        <w:rPr>
          <w:rFonts w:cstheme="minorHAnsi"/>
          <w:sz w:val="20"/>
          <w:szCs w:val="20"/>
          <w:lang w:val="en-US"/>
        </w:rPr>
        <w:t>internal pressures</w:t>
      </w:r>
      <w:r w:rsidR="008272E4" w:rsidRPr="00406342">
        <w:rPr>
          <w:rFonts w:cstheme="minorHAnsi"/>
          <w:sz w:val="20"/>
          <w:szCs w:val="20"/>
          <w:lang w:val="en-US"/>
        </w:rPr>
        <w:t>; l</w:t>
      </w:r>
      <w:r w:rsidRPr="00406342">
        <w:rPr>
          <w:rFonts w:cstheme="minorHAnsi"/>
          <w:sz w:val="20"/>
          <w:szCs w:val="20"/>
          <w:lang w:val="en-US"/>
        </w:rPr>
        <w:t>ack of expertise, legitimacy or sources</w:t>
      </w:r>
      <w:r w:rsidR="00F94B51" w:rsidRPr="00406342">
        <w:rPr>
          <w:rFonts w:cstheme="minorHAnsi"/>
          <w:sz w:val="20"/>
          <w:szCs w:val="20"/>
          <w:lang w:val="en-US"/>
        </w:rPr>
        <w:t xml:space="preserve"> </w:t>
      </w:r>
    </w:p>
    <w:p w14:paraId="7C5B36EF" w14:textId="529D5595" w:rsidR="009C597B" w:rsidRPr="00406342" w:rsidRDefault="00216C25" w:rsidP="00A44379">
      <w:pPr>
        <w:spacing w:line="276" w:lineRule="auto"/>
        <w:rPr>
          <w:rFonts w:cstheme="minorHAnsi"/>
          <w:sz w:val="20"/>
          <w:szCs w:val="20"/>
          <w:lang w:val="en-US"/>
        </w:rPr>
      </w:pPr>
      <w:r w:rsidRPr="00406342">
        <w:rPr>
          <w:rFonts w:cstheme="minorHAnsi"/>
          <w:sz w:val="20"/>
          <w:szCs w:val="20"/>
          <w:lang w:val="en-US"/>
        </w:rPr>
        <w:t xml:space="preserve">If </w:t>
      </w:r>
      <w:r w:rsidR="00DE10E4" w:rsidRPr="00406342">
        <w:rPr>
          <w:rFonts w:cstheme="minorHAnsi"/>
          <w:sz w:val="20"/>
          <w:szCs w:val="20"/>
          <w:lang w:val="en-US"/>
        </w:rPr>
        <w:t xml:space="preserve">parties </w:t>
      </w:r>
      <w:r w:rsidR="009D4134" w:rsidRPr="00406342">
        <w:rPr>
          <w:rFonts w:cstheme="minorHAnsi"/>
          <w:sz w:val="20"/>
          <w:szCs w:val="20"/>
          <w:lang w:val="en-US"/>
        </w:rPr>
        <w:t>transform their mutual depende</w:t>
      </w:r>
      <w:r w:rsidR="00903704" w:rsidRPr="00406342">
        <w:rPr>
          <w:rFonts w:cstheme="minorHAnsi"/>
          <w:sz w:val="20"/>
          <w:szCs w:val="20"/>
          <w:lang w:val="en-US"/>
        </w:rPr>
        <w:t xml:space="preserve">ncy into </w:t>
      </w:r>
      <w:r w:rsidR="00A91349" w:rsidRPr="00406342">
        <w:rPr>
          <w:rFonts w:cstheme="minorHAnsi"/>
          <w:sz w:val="20"/>
          <w:szCs w:val="20"/>
          <w:lang w:val="en-US"/>
        </w:rPr>
        <w:t xml:space="preserve">readiness to take steps </w:t>
      </w:r>
      <w:r w:rsidR="009C597B" w:rsidRPr="00406342">
        <w:rPr>
          <w:rFonts w:cstheme="minorHAnsi"/>
          <w:sz w:val="20"/>
          <w:szCs w:val="20"/>
          <w:lang w:val="en-US"/>
        </w:rPr>
        <w:t>to encounter</w:t>
      </w:r>
      <w:r w:rsidR="006552E1" w:rsidRPr="00406342">
        <w:rPr>
          <w:rFonts w:cstheme="minorHAnsi"/>
          <w:sz w:val="20"/>
          <w:szCs w:val="20"/>
          <w:lang w:val="en-US"/>
        </w:rPr>
        <w:t xml:space="preserve"> de</w:t>
      </w:r>
      <w:r w:rsidR="00611B63" w:rsidRPr="00406342">
        <w:rPr>
          <w:rFonts w:cstheme="minorHAnsi"/>
          <w:sz w:val="20"/>
          <w:szCs w:val="20"/>
          <w:lang w:val="en-US"/>
        </w:rPr>
        <w:t xml:space="preserve">pends on: </w:t>
      </w:r>
    </w:p>
    <w:p w14:paraId="22B611D3" w14:textId="1B1B5F2C" w:rsidR="00611B63" w:rsidRPr="00406342" w:rsidRDefault="00611B63" w:rsidP="00A44379">
      <w:pPr>
        <w:pStyle w:val="ListParagraph"/>
        <w:numPr>
          <w:ilvl w:val="0"/>
          <w:numId w:val="5"/>
        </w:numPr>
        <w:spacing w:line="276" w:lineRule="auto"/>
        <w:rPr>
          <w:rFonts w:cstheme="minorHAnsi"/>
          <w:sz w:val="20"/>
          <w:szCs w:val="20"/>
          <w:lang w:val="en-US"/>
        </w:rPr>
      </w:pPr>
      <w:r w:rsidRPr="00406342">
        <w:rPr>
          <w:rFonts w:cstheme="minorHAnsi"/>
          <w:sz w:val="20"/>
          <w:szCs w:val="20"/>
          <w:lang w:val="en-US"/>
        </w:rPr>
        <w:t xml:space="preserve">availability of brokerage </w:t>
      </w:r>
    </w:p>
    <w:p w14:paraId="72B2C451" w14:textId="310137D9" w:rsidR="009B18D5" w:rsidRPr="00406342" w:rsidRDefault="00F9785F">
      <w:pPr>
        <w:rPr>
          <w:sz w:val="20"/>
          <w:szCs w:val="20"/>
          <w:u w:val="single"/>
          <w:lang w:val="en-US"/>
        </w:rPr>
      </w:pPr>
      <w:r w:rsidRPr="00406342">
        <w:rPr>
          <w:sz w:val="20"/>
          <w:szCs w:val="20"/>
          <w:u w:val="single"/>
          <w:lang w:val="en-US"/>
        </w:rPr>
        <w:lastRenderedPageBreak/>
        <w:t xml:space="preserve">Ad 1. </w:t>
      </w:r>
      <w:r w:rsidR="00121638" w:rsidRPr="00406342">
        <w:rPr>
          <w:sz w:val="20"/>
          <w:szCs w:val="20"/>
          <w:u w:val="single"/>
          <w:lang w:val="en-US"/>
        </w:rPr>
        <w:t xml:space="preserve">External pressures: </w:t>
      </w:r>
      <w:r w:rsidRPr="00406342">
        <w:rPr>
          <w:sz w:val="20"/>
          <w:szCs w:val="20"/>
          <w:u w:val="single"/>
          <w:lang w:val="en-US"/>
        </w:rPr>
        <w:t xml:space="preserve">Urgent problems </w:t>
      </w:r>
    </w:p>
    <w:p w14:paraId="5A41A0EC" w14:textId="77777777" w:rsidR="00837F88" w:rsidRPr="00406342" w:rsidRDefault="00E47CF8" w:rsidP="00A44379">
      <w:pPr>
        <w:spacing w:line="276" w:lineRule="auto"/>
        <w:rPr>
          <w:sz w:val="20"/>
          <w:szCs w:val="20"/>
          <w:lang w:val="en-US"/>
        </w:rPr>
      </w:pPr>
      <w:r w:rsidRPr="00406342">
        <w:rPr>
          <w:sz w:val="20"/>
          <w:szCs w:val="20"/>
          <w:lang w:val="en-US"/>
        </w:rPr>
        <w:t xml:space="preserve">If we look at </w:t>
      </w:r>
      <w:r w:rsidR="000C55D1" w:rsidRPr="00406342">
        <w:rPr>
          <w:sz w:val="20"/>
          <w:szCs w:val="20"/>
          <w:lang w:val="en-US"/>
        </w:rPr>
        <w:t xml:space="preserve">what </w:t>
      </w:r>
      <w:r w:rsidR="00643FF5" w:rsidRPr="00406342">
        <w:rPr>
          <w:sz w:val="20"/>
          <w:szCs w:val="20"/>
          <w:lang w:val="en-US"/>
        </w:rPr>
        <w:t xml:space="preserve">happened during the Covid pandemic, </w:t>
      </w:r>
      <w:r w:rsidR="00B6484F" w:rsidRPr="00406342">
        <w:rPr>
          <w:sz w:val="20"/>
          <w:szCs w:val="20"/>
          <w:lang w:val="en-US"/>
        </w:rPr>
        <w:t xml:space="preserve">if we look at </w:t>
      </w:r>
      <w:r w:rsidR="00C46A86" w:rsidRPr="00406342">
        <w:rPr>
          <w:sz w:val="20"/>
          <w:szCs w:val="20"/>
          <w:lang w:val="en-US"/>
        </w:rPr>
        <w:t>c</w:t>
      </w:r>
      <w:r w:rsidR="000E2CF6" w:rsidRPr="00406342">
        <w:rPr>
          <w:sz w:val="20"/>
          <w:szCs w:val="20"/>
          <w:lang w:val="en-US"/>
        </w:rPr>
        <w:t>limate change</w:t>
      </w:r>
      <w:r w:rsidR="00027E87" w:rsidRPr="00406342">
        <w:rPr>
          <w:sz w:val="20"/>
          <w:szCs w:val="20"/>
          <w:lang w:val="en-US"/>
        </w:rPr>
        <w:t xml:space="preserve"> (</w:t>
      </w:r>
      <w:r w:rsidR="006E0056" w:rsidRPr="00406342">
        <w:rPr>
          <w:sz w:val="20"/>
          <w:szCs w:val="20"/>
          <w:lang w:val="en-US"/>
        </w:rPr>
        <w:t>the</w:t>
      </w:r>
      <w:r w:rsidR="00027E87" w:rsidRPr="00406342">
        <w:rPr>
          <w:sz w:val="20"/>
          <w:szCs w:val="20"/>
          <w:lang w:val="en-US"/>
        </w:rPr>
        <w:t xml:space="preserve"> </w:t>
      </w:r>
      <w:r w:rsidR="006E0056" w:rsidRPr="00406342">
        <w:rPr>
          <w:sz w:val="20"/>
          <w:szCs w:val="20"/>
          <w:lang w:val="en-US"/>
        </w:rPr>
        <w:t xml:space="preserve"> </w:t>
      </w:r>
      <w:r w:rsidR="004E29A5" w:rsidRPr="00406342">
        <w:rPr>
          <w:sz w:val="20"/>
          <w:szCs w:val="20"/>
          <w:lang w:val="en-US"/>
        </w:rPr>
        <w:t xml:space="preserve">EU </w:t>
      </w:r>
      <w:r w:rsidR="006E0056" w:rsidRPr="00406342">
        <w:rPr>
          <w:sz w:val="20"/>
          <w:szCs w:val="20"/>
          <w:lang w:val="en-US"/>
        </w:rPr>
        <w:t>Green Deal</w:t>
      </w:r>
      <w:r w:rsidR="004E29A5" w:rsidRPr="00406342">
        <w:rPr>
          <w:sz w:val="20"/>
          <w:szCs w:val="20"/>
          <w:lang w:val="en-US"/>
        </w:rPr>
        <w:t xml:space="preserve"> policy)</w:t>
      </w:r>
      <w:r w:rsidR="006E0056" w:rsidRPr="00406342">
        <w:rPr>
          <w:sz w:val="20"/>
          <w:szCs w:val="20"/>
          <w:lang w:val="en-US"/>
        </w:rPr>
        <w:t xml:space="preserve">, </w:t>
      </w:r>
      <w:r w:rsidR="00760CBE" w:rsidRPr="00406342">
        <w:rPr>
          <w:sz w:val="20"/>
          <w:szCs w:val="20"/>
          <w:lang w:val="en-US"/>
        </w:rPr>
        <w:t xml:space="preserve">(war) </w:t>
      </w:r>
      <w:r w:rsidR="00317D92" w:rsidRPr="00406342">
        <w:rPr>
          <w:sz w:val="20"/>
          <w:szCs w:val="20"/>
          <w:lang w:val="en-US"/>
        </w:rPr>
        <w:t>migration</w:t>
      </w:r>
      <w:r w:rsidR="001631C1" w:rsidRPr="00406342">
        <w:rPr>
          <w:sz w:val="20"/>
          <w:szCs w:val="20"/>
          <w:lang w:val="en-US"/>
        </w:rPr>
        <w:t>, EU -</w:t>
      </w:r>
      <w:r w:rsidR="00C80740" w:rsidRPr="00406342">
        <w:rPr>
          <w:sz w:val="20"/>
          <w:szCs w:val="20"/>
          <w:lang w:val="en-US"/>
        </w:rPr>
        <w:t xml:space="preserve">economy </w:t>
      </w:r>
      <w:r w:rsidR="001631C1" w:rsidRPr="00406342">
        <w:rPr>
          <w:sz w:val="20"/>
          <w:szCs w:val="20"/>
          <w:lang w:val="en-US"/>
        </w:rPr>
        <w:t>comp</w:t>
      </w:r>
      <w:r w:rsidR="00723A50" w:rsidRPr="00406342">
        <w:rPr>
          <w:sz w:val="20"/>
          <w:szCs w:val="20"/>
          <w:lang w:val="en-US"/>
        </w:rPr>
        <w:t xml:space="preserve">etitiveness in relation to the USA </w:t>
      </w:r>
      <w:r w:rsidR="007100C5" w:rsidRPr="00406342">
        <w:rPr>
          <w:sz w:val="20"/>
          <w:szCs w:val="20"/>
          <w:lang w:val="en-US"/>
        </w:rPr>
        <w:t>- China</w:t>
      </w:r>
      <w:r w:rsidR="00317D92" w:rsidRPr="00406342">
        <w:rPr>
          <w:sz w:val="20"/>
          <w:szCs w:val="20"/>
          <w:lang w:val="en-US"/>
        </w:rPr>
        <w:t xml:space="preserve"> and loss of </w:t>
      </w:r>
      <w:r w:rsidR="00B316EC" w:rsidRPr="00406342">
        <w:rPr>
          <w:sz w:val="20"/>
          <w:szCs w:val="20"/>
          <w:lang w:val="en-US"/>
        </w:rPr>
        <w:t>democratic political legit</w:t>
      </w:r>
      <w:r w:rsidR="00CC406B" w:rsidRPr="00406342">
        <w:rPr>
          <w:sz w:val="20"/>
          <w:szCs w:val="20"/>
          <w:lang w:val="en-US"/>
        </w:rPr>
        <w:t xml:space="preserve">imacy, </w:t>
      </w:r>
      <w:r w:rsidR="007100C5" w:rsidRPr="00406342">
        <w:rPr>
          <w:sz w:val="20"/>
          <w:szCs w:val="20"/>
          <w:lang w:val="en-US"/>
        </w:rPr>
        <w:t xml:space="preserve">then </w:t>
      </w:r>
      <w:r w:rsidR="001C42AE" w:rsidRPr="00406342">
        <w:rPr>
          <w:sz w:val="20"/>
          <w:szCs w:val="20"/>
          <w:lang w:val="en-US"/>
        </w:rPr>
        <w:t xml:space="preserve">we </w:t>
      </w:r>
      <w:r w:rsidR="00B6484F" w:rsidRPr="00406342">
        <w:rPr>
          <w:sz w:val="20"/>
          <w:szCs w:val="20"/>
          <w:lang w:val="en-US"/>
        </w:rPr>
        <w:t xml:space="preserve">may </w:t>
      </w:r>
      <w:r w:rsidR="001C42AE" w:rsidRPr="00406342">
        <w:rPr>
          <w:sz w:val="20"/>
          <w:szCs w:val="20"/>
          <w:lang w:val="en-US"/>
        </w:rPr>
        <w:t xml:space="preserve">conclude </w:t>
      </w:r>
      <w:r w:rsidR="003746BE" w:rsidRPr="00406342">
        <w:rPr>
          <w:sz w:val="20"/>
          <w:szCs w:val="20"/>
          <w:lang w:val="en-US"/>
        </w:rPr>
        <w:t xml:space="preserve">that these issues are “urgent common </w:t>
      </w:r>
      <w:r w:rsidR="00444639" w:rsidRPr="00406342">
        <w:rPr>
          <w:sz w:val="20"/>
          <w:szCs w:val="20"/>
          <w:lang w:val="en-US"/>
        </w:rPr>
        <w:t>problems”</w:t>
      </w:r>
      <w:r w:rsidR="00B9055F" w:rsidRPr="00406342">
        <w:rPr>
          <w:sz w:val="20"/>
          <w:szCs w:val="20"/>
          <w:lang w:val="en-US"/>
        </w:rPr>
        <w:t>, shared th</w:t>
      </w:r>
      <w:r w:rsidR="00512DAF" w:rsidRPr="00406342">
        <w:rPr>
          <w:sz w:val="20"/>
          <w:szCs w:val="20"/>
          <w:lang w:val="en-US"/>
        </w:rPr>
        <w:t>reats so to say</w:t>
      </w:r>
      <w:r w:rsidR="00281060" w:rsidRPr="00406342">
        <w:rPr>
          <w:sz w:val="20"/>
          <w:szCs w:val="20"/>
          <w:lang w:val="en-US"/>
        </w:rPr>
        <w:t xml:space="preserve">, </w:t>
      </w:r>
      <w:r w:rsidR="002F50AA" w:rsidRPr="00406342">
        <w:rPr>
          <w:sz w:val="20"/>
          <w:szCs w:val="20"/>
          <w:lang w:val="en-US"/>
        </w:rPr>
        <w:t>that</w:t>
      </w:r>
      <w:r w:rsidR="00444639" w:rsidRPr="00406342">
        <w:rPr>
          <w:sz w:val="20"/>
          <w:szCs w:val="20"/>
          <w:lang w:val="en-US"/>
        </w:rPr>
        <w:t xml:space="preserve"> </w:t>
      </w:r>
      <w:r w:rsidR="006322C0" w:rsidRPr="00406342">
        <w:rPr>
          <w:sz w:val="20"/>
          <w:szCs w:val="20"/>
          <w:lang w:val="en-US"/>
        </w:rPr>
        <w:t xml:space="preserve">touch </w:t>
      </w:r>
      <w:r w:rsidR="00275164" w:rsidRPr="00406342">
        <w:rPr>
          <w:sz w:val="20"/>
          <w:szCs w:val="20"/>
          <w:lang w:val="en-US"/>
        </w:rPr>
        <w:t xml:space="preserve">parties involved. </w:t>
      </w:r>
      <w:r w:rsidR="00555DC0" w:rsidRPr="00406342">
        <w:rPr>
          <w:sz w:val="20"/>
          <w:szCs w:val="20"/>
          <w:lang w:val="en-US"/>
        </w:rPr>
        <w:t xml:space="preserve"> </w:t>
      </w:r>
      <w:r w:rsidR="00E453A2" w:rsidRPr="00406342">
        <w:rPr>
          <w:sz w:val="20"/>
          <w:szCs w:val="20"/>
          <w:lang w:val="en-US"/>
        </w:rPr>
        <w:t>Indeed</w:t>
      </w:r>
      <w:r w:rsidR="0090350E" w:rsidRPr="00406342">
        <w:rPr>
          <w:sz w:val="20"/>
          <w:szCs w:val="20"/>
          <w:lang w:val="en-US"/>
        </w:rPr>
        <w:t>, Philant</w:t>
      </w:r>
      <w:r w:rsidR="00AC3330" w:rsidRPr="00406342">
        <w:rPr>
          <w:sz w:val="20"/>
          <w:szCs w:val="20"/>
          <w:lang w:val="en-US"/>
        </w:rPr>
        <w:t>h</w:t>
      </w:r>
      <w:r w:rsidR="0090350E" w:rsidRPr="00406342">
        <w:rPr>
          <w:sz w:val="20"/>
          <w:szCs w:val="20"/>
          <w:lang w:val="en-US"/>
        </w:rPr>
        <w:t>ropic</w:t>
      </w:r>
      <w:r w:rsidR="00AC3330" w:rsidRPr="00406342">
        <w:rPr>
          <w:sz w:val="20"/>
          <w:szCs w:val="20"/>
          <w:lang w:val="en-US"/>
        </w:rPr>
        <w:t xml:space="preserve"> foundations</w:t>
      </w:r>
      <w:r w:rsidR="00FC485A" w:rsidRPr="00406342">
        <w:rPr>
          <w:sz w:val="20"/>
          <w:szCs w:val="20"/>
          <w:lang w:val="en-US"/>
        </w:rPr>
        <w:t xml:space="preserve">, like the </w:t>
      </w:r>
      <w:proofErr w:type="spellStart"/>
      <w:r w:rsidR="00FC485A" w:rsidRPr="00406342">
        <w:rPr>
          <w:sz w:val="20"/>
          <w:szCs w:val="20"/>
          <w:lang w:val="en-US"/>
        </w:rPr>
        <w:t>Wel</w:t>
      </w:r>
      <w:r w:rsidR="000D06D8" w:rsidRPr="00406342">
        <w:rPr>
          <w:sz w:val="20"/>
          <w:szCs w:val="20"/>
          <w:lang w:val="en-US"/>
        </w:rPr>
        <w:t>l</w:t>
      </w:r>
      <w:r w:rsidR="00FC485A" w:rsidRPr="00406342">
        <w:rPr>
          <w:sz w:val="20"/>
          <w:szCs w:val="20"/>
          <w:lang w:val="en-US"/>
        </w:rPr>
        <w:t>come</w:t>
      </w:r>
      <w:proofErr w:type="spellEnd"/>
      <w:r w:rsidR="00FC485A" w:rsidRPr="00406342">
        <w:rPr>
          <w:sz w:val="20"/>
          <w:szCs w:val="20"/>
          <w:lang w:val="en-US"/>
        </w:rPr>
        <w:t xml:space="preserve"> </w:t>
      </w:r>
      <w:r w:rsidR="008E3861" w:rsidRPr="00406342">
        <w:rPr>
          <w:sz w:val="20"/>
          <w:szCs w:val="20"/>
          <w:lang w:val="en-US"/>
        </w:rPr>
        <w:t>Trust</w:t>
      </w:r>
      <w:r w:rsidR="00C421DA" w:rsidRPr="00406342">
        <w:rPr>
          <w:sz w:val="20"/>
          <w:szCs w:val="20"/>
          <w:lang w:val="en-US"/>
        </w:rPr>
        <w:t xml:space="preserve"> – and many </w:t>
      </w:r>
      <w:r w:rsidR="002E5B73" w:rsidRPr="00406342">
        <w:rPr>
          <w:sz w:val="20"/>
          <w:szCs w:val="20"/>
          <w:lang w:val="en-US"/>
        </w:rPr>
        <w:t xml:space="preserve">other </w:t>
      </w:r>
      <w:r w:rsidR="00C421DA" w:rsidRPr="00406342">
        <w:rPr>
          <w:sz w:val="20"/>
          <w:szCs w:val="20"/>
          <w:lang w:val="en-US"/>
        </w:rPr>
        <w:t xml:space="preserve">EU foundations </w:t>
      </w:r>
      <w:r w:rsidR="003A1A9B" w:rsidRPr="00406342">
        <w:rPr>
          <w:sz w:val="20"/>
          <w:szCs w:val="20"/>
          <w:lang w:val="en-US"/>
        </w:rPr>
        <w:t xml:space="preserve">invested </w:t>
      </w:r>
      <w:r w:rsidR="00FC485A" w:rsidRPr="00406342">
        <w:rPr>
          <w:sz w:val="20"/>
          <w:szCs w:val="20"/>
          <w:lang w:val="en-US"/>
        </w:rPr>
        <w:t xml:space="preserve">seriously </w:t>
      </w:r>
      <w:r w:rsidR="000D06D8" w:rsidRPr="00406342">
        <w:rPr>
          <w:sz w:val="20"/>
          <w:szCs w:val="20"/>
          <w:lang w:val="en-US"/>
        </w:rPr>
        <w:t xml:space="preserve">in research </w:t>
      </w:r>
      <w:r w:rsidR="00FC485A" w:rsidRPr="00406342">
        <w:rPr>
          <w:sz w:val="20"/>
          <w:szCs w:val="20"/>
          <w:lang w:val="en-US"/>
        </w:rPr>
        <w:t>to combat Co</w:t>
      </w:r>
      <w:r w:rsidR="008E3861" w:rsidRPr="00406342">
        <w:rPr>
          <w:sz w:val="20"/>
          <w:szCs w:val="20"/>
          <w:lang w:val="en-US"/>
        </w:rPr>
        <w:t xml:space="preserve">vid. </w:t>
      </w:r>
    </w:p>
    <w:p w14:paraId="6BC9DEA5" w14:textId="4E244081" w:rsidR="00D665F1" w:rsidRPr="00406342" w:rsidRDefault="001238BB" w:rsidP="00F00311">
      <w:pPr>
        <w:spacing w:line="276" w:lineRule="auto"/>
        <w:rPr>
          <w:sz w:val="20"/>
          <w:szCs w:val="20"/>
          <w:lang w:val="en-US"/>
        </w:rPr>
      </w:pPr>
      <w:r w:rsidRPr="00406342">
        <w:rPr>
          <w:sz w:val="20"/>
          <w:szCs w:val="20"/>
          <w:lang w:val="en-US"/>
        </w:rPr>
        <w:t>L</w:t>
      </w:r>
      <w:r w:rsidR="004C3A5F" w:rsidRPr="00406342">
        <w:rPr>
          <w:sz w:val="20"/>
          <w:szCs w:val="20"/>
          <w:lang w:val="en-US"/>
        </w:rPr>
        <w:t xml:space="preserve">arge international </w:t>
      </w:r>
      <w:r w:rsidR="009A21BC" w:rsidRPr="00406342">
        <w:rPr>
          <w:sz w:val="20"/>
          <w:szCs w:val="20"/>
          <w:lang w:val="en-US"/>
        </w:rPr>
        <w:t xml:space="preserve">nature preservation </w:t>
      </w:r>
      <w:r w:rsidR="001669D3" w:rsidRPr="00406342">
        <w:rPr>
          <w:sz w:val="20"/>
          <w:szCs w:val="20"/>
          <w:lang w:val="en-US"/>
        </w:rPr>
        <w:t xml:space="preserve">NGO’s, like World Wide </w:t>
      </w:r>
      <w:r w:rsidR="00641BC3" w:rsidRPr="00406342">
        <w:rPr>
          <w:sz w:val="20"/>
          <w:szCs w:val="20"/>
          <w:lang w:val="en-US"/>
        </w:rPr>
        <w:t>Fund, Greenpeace</w:t>
      </w:r>
      <w:r w:rsidRPr="00406342">
        <w:rPr>
          <w:sz w:val="20"/>
          <w:szCs w:val="20"/>
          <w:lang w:val="en-US"/>
        </w:rPr>
        <w:t xml:space="preserve"> </w:t>
      </w:r>
      <w:r w:rsidR="00DD5D99" w:rsidRPr="00406342">
        <w:rPr>
          <w:sz w:val="20"/>
          <w:szCs w:val="20"/>
          <w:lang w:val="en-US"/>
        </w:rPr>
        <w:t xml:space="preserve">and others </w:t>
      </w:r>
      <w:r w:rsidR="00483431" w:rsidRPr="00406342">
        <w:rPr>
          <w:sz w:val="20"/>
          <w:szCs w:val="20"/>
          <w:lang w:val="en-US"/>
        </w:rPr>
        <w:t xml:space="preserve">take </w:t>
      </w:r>
      <w:r w:rsidRPr="00406342">
        <w:rPr>
          <w:sz w:val="20"/>
          <w:szCs w:val="20"/>
          <w:lang w:val="en-US"/>
        </w:rPr>
        <w:t xml:space="preserve">action, </w:t>
      </w:r>
      <w:r w:rsidR="00483431" w:rsidRPr="00406342">
        <w:rPr>
          <w:sz w:val="20"/>
          <w:szCs w:val="20"/>
          <w:lang w:val="en-US"/>
        </w:rPr>
        <w:t xml:space="preserve">run </w:t>
      </w:r>
      <w:r w:rsidRPr="00406342">
        <w:rPr>
          <w:sz w:val="20"/>
          <w:szCs w:val="20"/>
          <w:lang w:val="en-US"/>
        </w:rPr>
        <w:t>projects and invest</w:t>
      </w:r>
      <w:r w:rsidR="006D3C4F" w:rsidRPr="00406342">
        <w:rPr>
          <w:sz w:val="20"/>
          <w:szCs w:val="20"/>
          <w:lang w:val="en-US"/>
        </w:rPr>
        <w:t xml:space="preserve"> in new </w:t>
      </w:r>
      <w:r w:rsidR="006E3D37" w:rsidRPr="00406342">
        <w:rPr>
          <w:sz w:val="20"/>
          <w:szCs w:val="20"/>
          <w:lang w:val="en-US"/>
        </w:rPr>
        <w:t xml:space="preserve">energy solutions; </w:t>
      </w:r>
      <w:r w:rsidR="0058302D" w:rsidRPr="00406342">
        <w:rPr>
          <w:sz w:val="20"/>
          <w:szCs w:val="20"/>
          <w:lang w:val="en-US"/>
        </w:rPr>
        <w:t xml:space="preserve">they are </w:t>
      </w:r>
      <w:r w:rsidR="00274AA3" w:rsidRPr="00406342">
        <w:rPr>
          <w:sz w:val="20"/>
          <w:szCs w:val="20"/>
          <w:lang w:val="en-US"/>
        </w:rPr>
        <w:t xml:space="preserve">supported by </w:t>
      </w:r>
      <w:r w:rsidR="0058302D" w:rsidRPr="00406342">
        <w:rPr>
          <w:sz w:val="20"/>
          <w:szCs w:val="20"/>
          <w:lang w:val="en-US"/>
        </w:rPr>
        <w:t xml:space="preserve">a </w:t>
      </w:r>
      <w:r w:rsidR="00BE35E9" w:rsidRPr="00406342">
        <w:rPr>
          <w:sz w:val="20"/>
          <w:szCs w:val="20"/>
          <w:lang w:val="en-US"/>
        </w:rPr>
        <w:t xml:space="preserve"> growing number of foundations</w:t>
      </w:r>
      <w:r w:rsidR="000A5E70" w:rsidRPr="00406342">
        <w:rPr>
          <w:sz w:val="20"/>
          <w:szCs w:val="20"/>
          <w:lang w:val="en-US"/>
        </w:rPr>
        <w:t xml:space="preserve"> focusing on eco-issues </w:t>
      </w:r>
      <w:r w:rsidR="002E5B73" w:rsidRPr="00406342">
        <w:rPr>
          <w:sz w:val="20"/>
          <w:szCs w:val="20"/>
          <w:lang w:val="en-US"/>
        </w:rPr>
        <w:t xml:space="preserve">and </w:t>
      </w:r>
      <w:r w:rsidR="000A5E70" w:rsidRPr="00406342">
        <w:rPr>
          <w:sz w:val="20"/>
          <w:szCs w:val="20"/>
          <w:lang w:val="en-US"/>
        </w:rPr>
        <w:t xml:space="preserve">numerous </w:t>
      </w:r>
      <w:r w:rsidR="002E5B73" w:rsidRPr="00406342">
        <w:rPr>
          <w:sz w:val="20"/>
          <w:szCs w:val="20"/>
          <w:lang w:val="en-US"/>
        </w:rPr>
        <w:t xml:space="preserve">occurring </w:t>
      </w:r>
      <w:r w:rsidR="00077931" w:rsidRPr="00406342">
        <w:rPr>
          <w:sz w:val="20"/>
          <w:szCs w:val="20"/>
          <w:lang w:val="en-US"/>
        </w:rPr>
        <w:t xml:space="preserve">local </w:t>
      </w:r>
      <w:r w:rsidR="00827D72" w:rsidRPr="00406342">
        <w:rPr>
          <w:sz w:val="20"/>
          <w:szCs w:val="20"/>
          <w:lang w:val="en-US"/>
        </w:rPr>
        <w:t>energy collectives</w:t>
      </w:r>
      <w:r w:rsidR="00077931" w:rsidRPr="00406342">
        <w:rPr>
          <w:sz w:val="20"/>
          <w:szCs w:val="20"/>
          <w:lang w:val="en-US"/>
        </w:rPr>
        <w:t xml:space="preserve">. </w:t>
      </w:r>
      <w:r w:rsidR="00DA0D83" w:rsidRPr="00406342">
        <w:rPr>
          <w:sz w:val="20"/>
          <w:szCs w:val="20"/>
          <w:lang w:val="en-US"/>
        </w:rPr>
        <w:t xml:space="preserve">Volunteer </w:t>
      </w:r>
      <w:r w:rsidR="00D26364" w:rsidRPr="00406342">
        <w:rPr>
          <w:sz w:val="20"/>
          <w:szCs w:val="20"/>
          <w:lang w:val="en-US"/>
        </w:rPr>
        <w:t xml:space="preserve">organizations and citizen initiatives </w:t>
      </w:r>
      <w:r w:rsidR="00D9594C" w:rsidRPr="00406342">
        <w:rPr>
          <w:sz w:val="20"/>
          <w:szCs w:val="20"/>
          <w:lang w:val="en-US"/>
        </w:rPr>
        <w:t>in ma</w:t>
      </w:r>
      <w:r w:rsidR="00D26364" w:rsidRPr="00406342">
        <w:rPr>
          <w:sz w:val="20"/>
          <w:szCs w:val="20"/>
          <w:lang w:val="en-US"/>
        </w:rPr>
        <w:t xml:space="preserve">ny </w:t>
      </w:r>
      <w:r w:rsidR="0076157A" w:rsidRPr="00406342">
        <w:rPr>
          <w:sz w:val="20"/>
          <w:szCs w:val="20"/>
          <w:lang w:val="en-US"/>
        </w:rPr>
        <w:t xml:space="preserve">EU member states </w:t>
      </w:r>
      <w:r w:rsidR="00DA0D83" w:rsidRPr="00406342">
        <w:rPr>
          <w:sz w:val="20"/>
          <w:szCs w:val="20"/>
          <w:lang w:val="en-US"/>
        </w:rPr>
        <w:t>contribute</w:t>
      </w:r>
      <w:r w:rsidR="005F4203" w:rsidRPr="00406342">
        <w:rPr>
          <w:sz w:val="20"/>
          <w:szCs w:val="20"/>
          <w:lang w:val="en-US"/>
        </w:rPr>
        <w:t>d effectively to support Ukra</w:t>
      </w:r>
      <w:r w:rsidR="00D9594C" w:rsidRPr="00406342">
        <w:rPr>
          <w:sz w:val="20"/>
          <w:szCs w:val="20"/>
          <w:lang w:val="en-US"/>
        </w:rPr>
        <w:t>i</w:t>
      </w:r>
      <w:r w:rsidR="005F4203" w:rsidRPr="00406342">
        <w:rPr>
          <w:sz w:val="20"/>
          <w:szCs w:val="20"/>
          <w:lang w:val="en-US"/>
        </w:rPr>
        <w:t>ni</w:t>
      </w:r>
      <w:r w:rsidR="00D9594C" w:rsidRPr="00406342">
        <w:rPr>
          <w:sz w:val="20"/>
          <w:szCs w:val="20"/>
          <w:lang w:val="en-US"/>
        </w:rPr>
        <w:t>a</w:t>
      </w:r>
      <w:r w:rsidR="005F4203" w:rsidRPr="00406342">
        <w:rPr>
          <w:sz w:val="20"/>
          <w:szCs w:val="20"/>
          <w:lang w:val="en-US"/>
        </w:rPr>
        <w:t>n</w:t>
      </w:r>
      <w:r w:rsidR="0076157A" w:rsidRPr="00406342">
        <w:rPr>
          <w:sz w:val="20"/>
          <w:szCs w:val="20"/>
          <w:lang w:val="en-US"/>
        </w:rPr>
        <w:t xml:space="preserve"> refugees. </w:t>
      </w:r>
    </w:p>
    <w:p w14:paraId="17738E40" w14:textId="00568079" w:rsidR="000130CE" w:rsidRPr="00406342" w:rsidRDefault="005C6D6B">
      <w:pPr>
        <w:rPr>
          <w:sz w:val="20"/>
          <w:szCs w:val="20"/>
          <w:lang w:val="en-US"/>
        </w:rPr>
      </w:pPr>
      <w:r w:rsidRPr="00406342">
        <w:rPr>
          <w:sz w:val="20"/>
          <w:szCs w:val="20"/>
          <w:lang w:val="en-US"/>
        </w:rPr>
        <w:t>T</w:t>
      </w:r>
      <w:r w:rsidR="00D665F1" w:rsidRPr="00406342">
        <w:rPr>
          <w:sz w:val="20"/>
          <w:szCs w:val="20"/>
          <w:lang w:val="en-US"/>
        </w:rPr>
        <w:t>hese “old” and “new”</w:t>
      </w:r>
      <w:r w:rsidR="006C5665" w:rsidRPr="00406342">
        <w:rPr>
          <w:sz w:val="20"/>
          <w:szCs w:val="20"/>
          <w:lang w:val="en-US"/>
        </w:rPr>
        <w:t xml:space="preserve"> forms of societal engagement and commitment </w:t>
      </w:r>
      <w:r w:rsidRPr="00406342">
        <w:rPr>
          <w:sz w:val="20"/>
          <w:szCs w:val="20"/>
          <w:lang w:val="en-US"/>
        </w:rPr>
        <w:t xml:space="preserve">operate in the </w:t>
      </w:r>
      <w:r w:rsidR="00837F88" w:rsidRPr="00406342">
        <w:rPr>
          <w:sz w:val="20"/>
          <w:szCs w:val="20"/>
          <w:lang w:val="en-US"/>
        </w:rPr>
        <w:t xml:space="preserve">same </w:t>
      </w:r>
      <w:r w:rsidRPr="00406342">
        <w:rPr>
          <w:sz w:val="20"/>
          <w:szCs w:val="20"/>
          <w:lang w:val="en-US"/>
        </w:rPr>
        <w:t xml:space="preserve"> domain o</w:t>
      </w:r>
      <w:r w:rsidR="00A009B6" w:rsidRPr="00406342">
        <w:rPr>
          <w:sz w:val="20"/>
          <w:szCs w:val="20"/>
          <w:lang w:val="en-US"/>
        </w:rPr>
        <w:t xml:space="preserve">f the EU </w:t>
      </w:r>
      <w:r w:rsidR="00002138" w:rsidRPr="00406342">
        <w:rPr>
          <w:sz w:val="20"/>
          <w:szCs w:val="20"/>
          <w:lang w:val="en-US"/>
        </w:rPr>
        <w:t xml:space="preserve">politicians and </w:t>
      </w:r>
      <w:r w:rsidR="007176DC" w:rsidRPr="00406342">
        <w:rPr>
          <w:sz w:val="20"/>
          <w:szCs w:val="20"/>
          <w:lang w:val="en-US"/>
        </w:rPr>
        <w:t>administration</w:t>
      </w:r>
      <w:r w:rsidR="00A009B6" w:rsidRPr="00406342">
        <w:rPr>
          <w:sz w:val="20"/>
          <w:szCs w:val="20"/>
          <w:lang w:val="en-US"/>
        </w:rPr>
        <w:t xml:space="preserve">. </w:t>
      </w:r>
      <w:r w:rsidR="00593A0C" w:rsidRPr="00406342">
        <w:rPr>
          <w:sz w:val="20"/>
          <w:szCs w:val="20"/>
          <w:lang w:val="en-US"/>
        </w:rPr>
        <w:t xml:space="preserve">If </w:t>
      </w:r>
      <w:r w:rsidR="006D4E00" w:rsidRPr="00406342">
        <w:rPr>
          <w:sz w:val="20"/>
          <w:szCs w:val="20"/>
          <w:lang w:val="en-US"/>
        </w:rPr>
        <w:t>rapprochement occurs</w:t>
      </w:r>
      <w:r w:rsidR="00176197" w:rsidRPr="00406342">
        <w:rPr>
          <w:sz w:val="20"/>
          <w:szCs w:val="20"/>
          <w:lang w:val="en-US"/>
        </w:rPr>
        <w:t xml:space="preserve">, contacts will </w:t>
      </w:r>
      <w:r w:rsidR="00745C47" w:rsidRPr="00406342">
        <w:rPr>
          <w:sz w:val="20"/>
          <w:szCs w:val="20"/>
          <w:lang w:val="en-US"/>
        </w:rPr>
        <w:t xml:space="preserve">made with opportunities for </w:t>
      </w:r>
      <w:r w:rsidR="00B051D4" w:rsidRPr="00406342">
        <w:rPr>
          <w:sz w:val="20"/>
          <w:szCs w:val="20"/>
          <w:lang w:val="en-US"/>
        </w:rPr>
        <w:t>alliances</w:t>
      </w:r>
      <w:r w:rsidR="00745C47" w:rsidRPr="00406342">
        <w:rPr>
          <w:sz w:val="20"/>
          <w:szCs w:val="20"/>
          <w:lang w:val="en-US"/>
        </w:rPr>
        <w:t xml:space="preserve"> and collaboration</w:t>
      </w:r>
      <w:r w:rsidR="00952605" w:rsidRPr="00406342">
        <w:rPr>
          <w:sz w:val="20"/>
          <w:szCs w:val="20"/>
          <w:lang w:val="en-US"/>
        </w:rPr>
        <w:t xml:space="preserve">, </w:t>
      </w:r>
      <w:r w:rsidR="00352326" w:rsidRPr="00406342">
        <w:rPr>
          <w:sz w:val="20"/>
          <w:szCs w:val="20"/>
          <w:lang w:val="en-US"/>
        </w:rPr>
        <w:t>depends o</w:t>
      </w:r>
      <w:r w:rsidR="00946F0B" w:rsidRPr="00406342">
        <w:rPr>
          <w:sz w:val="20"/>
          <w:szCs w:val="20"/>
          <w:lang w:val="en-US"/>
        </w:rPr>
        <w:t>n</w:t>
      </w:r>
      <w:r w:rsidR="00352326" w:rsidRPr="00406342">
        <w:rPr>
          <w:sz w:val="20"/>
          <w:szCs w:val="20"/>
          <w:lang w:val="en-US"/>
        </w:rPr>
        <w:t xml:space="preserve"> the </w:t>
      </w:r>
      <w:r w:rsidR="00176197" w:rsidRPr="00406342">
        <w:rPr>
          <w:sz w:val="20"/>
          <w:szCs w:val="20"/>
          <w:lang w:val="en-US"/>
        </w:rPr>
        <w:t>urgency</w:t>
      </w:r>
      <w:r w:rsidR="00946F0B" w:rsidRPr="00406342">
        <w:rPr>
          <w:sz w:val="20"/>
          <w:szCs w:val="20"/>
          <w:lang w:val="en-US"/>
        </w:rPr>
        <w:t xml:space="preserve"> of the problem</w:t>
      </w:r>
      <w:r w:rsidR="00C2048F" w:rsidRPr="00406342">
        <w:rPr>
          <w:sz w:val="20"/>
          <w:szCs w:val="20"/>
          <w:lang w:val="en-US"/>
        </w:rPr>
        <w:t>-</w:t>
      </w:r>
      <w:r w:rsidR="00946F0B" w:rsidRPr="00406342">
        <w:rPr>
          <w:sz w:val="20"/>
          <w:szCs w:val="20"/>
          <w:lang w:val="en-US"/>
        </w:rPr>
        <w:t>issues</w:t>
      </w:r>
      <w:r w:rsidR="00176197" w:rsidRPr="00406342">
        <w:rPr>
          <w:sz w:val="20"/>
          <w:szCs w:val="20"/>
          <w:lang w:val="en-US"/>
        </w:rPr>
        <w:t xml:space="preserve"> </w:t>
      </w:r>
      <w:r w:rsidR="00C2048F" w:rsidRPr="00406342">
        <w:rPr>
          <w:sz w:val="20"/>
          <w:szCs w:val="20"/>
          <w:lang w:val="en-US"/>
        </w:rPr>
        <w:t>at stake</w:t>
      </w:r>
      <w:r w:rsidR="00C2048F" w:rsidRPr="00406342">
        <w:rPr>
          <w:rStyle w:val="FootnoteReference"/>
          <w:sz w:val="20"/>
          <w:szCs w:val="20"/>
          <w:lang w:val="en-US"/>
        </w:rPr>
        <w:footnoteReference w:id="7"/>
      </w:r>
      <w:r w:rsidR="00C2048F" w:rsidRPr="00406342">
        <w:rPr>
          <w:sz w:val="20"/>
          <w:szCs w:val="20"/>
          <w:lang w:val="en-US"/>
        </w:rPr>
        <w:t xml:space="preserve"> </w:t>
      </w:r>
      <w:r w:rsidR="00734717" w:rsidRPr="00406342">
        <w:rPr>
          <w:sz w:val="20"/>
          <w:szCs w:val="20"/>
          <w:lang w:val="en-US"/>
        </w:rPr>
        <w:t xml:space="preserve">. This brings us to the second condition </w:t>
      </w:r>
      <w:r w:rsidR="000130CE" w:rsidRPr="00406342">
        <w:rPr>
          <w:sz w:val="20"/>
          <w:szCs w:val="20"/>
          <w:lang w:val="en-US"/>
        </w:rPr>
        <w:t xml:space="preserve">for mutual dependency: </w:t>
      </w:r>
    </w:p>
    <w:p w14:paraId="1BA61976" w14:textId="77777777" w:rsidR="00E33137" w:rsidRPr="00406342" w:rsidRDefault="00E33137" w:rsidP="00BB76FD">
      <w:pPr>
        <w:spacing w:line="240" w:lineRule="auto"/>
        <w:rPr>
          <w:sz w:val="20"/>
          <w:szCs w:val="20"/>
          <w:u w:val="single"/>
          <w:lang w:val="en-US"/>
        </w:rPr>
      </w:pPr>
    </w:p>
    <w:p w14:paraId="3BF6EBCE" w14:textId="489873FA" w:rsidR="00BB76FD" w:rsidRPr="00406342" w:rsidRDefault="00BB76FD" w:rsidP="00BB76FD">
      <w:pPr>
        <w:spacing w:line="240" w:lineRule="auto"/>
        <w:rPr>
          <w:rFonts w:cstheme="minorHAnsi"/>
          <w:sz w:val="20"/>
          <w:szCs w:val="20"/>
          <w:u w:val="single"/>
          <w:lang w:val="en-US"/>
        </w:rPr>
      </w:pPr>
      <w:r w:rsidRPr="00406342">
        <w:rPr>
          <w:sz w:val="20"/>
          <w:szCs w:val="20"/>
          <w:u w:val="single"/>
          <w:lang w:val="en-US"/>
        </w:rPr>
        <w:t xml:space="preserve">Ad 2. </w:t>
      </w:r>
      <w:r w:rsidRPr="00406342">
        <w:rPr>
          <w:rFonts w:cstheme="minorHAnsi"/>
          <w:sz w:val="20"/>
          <w:szCs w:val="20"/>
          <w:u w:val="single"/>
          <w:lang w:val="en-US"/>
        </w:rPr>
        <w:t xml:space="preserve">internal pressures; lack of expertise, legitimacy or sources </w:t>
      </w:r>
    </w:p>
    <w:p w14:paraId="601F9AFB" w14:textId="6C77CBA7" w:rsidR="00C80856" w:rsidRPr="00406342" w:rsidRDefault="002D507E" w:rsidP="00F00311">
      <w:pPr>
        <w:spacing w:line="276" w:lineRule="auto"/>
        <w:rPr>
          <w:sz w:val="20"/>
          <w:szCs w:val="20"/>
          <w:lang w:val="en-US"/>
        </w:rPr>
      </w:pPr>
      <w:r w:rsidRPr="00406342">
        <w:rPr>
          <w:rStyle w:val="tlid-translation"/>
          <w:rFonts w:cstheme="minorHAnsi"/>
          <w:sz w:val="20"/>
          <w:szCs w:val="20"/>
          <w:lang w:val="en-US"/>
        </w:rPr>
        <w:t xml:space="preserve">As well as succumbing to this external pressure, parties can also choose to collaborate on their own initiative. There can be good reasons to do so: </w:t>
      </w:r>
      <w:r w:rsidR="003F26A9" w:rsidRPr="00406342">
        <w:rPr>
          <w:rStyle w:val="tlid-translation"/>
          <w:rFonts w:cstheme="minorHAnsi"/>
          <w:sz w:val="20"/>
          <w:szCs w:val="20"/>
          <w:lang w:val="en-US"/>
        </w:rPr>
        <w:t>in some cases because of the lack of own e</w:t>
      </w:r>
      <w:r w:rsidR="00706815" w:rsidRPr="00406342">
        <w:rPr>
          <w:rStyle w:val="tlid-translation"/>
          <w:rFonts w:cstheme="minorHAnsi"/>
          <w:sz w:val="20"/>
          <w:szCs w:val="20"/>
          <w:lang w:val="en-US"/>
        </w:rPr>
        <w:t xml:space="preserve">xpertise or </w:t>
      </w:r>
      <w:r w:rsidR="00952605" w:rsidRPr="00406342">
        <w:rPr>
          <w:rStyle w:val="tlid-translation"/>
          <w:rFonts w:cstheme="minorHAnsi"/>
          <w:sz w:val="20"/>
          <w:szCs w:val="20"/>
          <w:lang w:val="en-US"/>
        </w:rPr>
        <w:t xml:space="preserve">(financial) </w:t>
      </w:r>
      <w:r w:rsidR="00706815" w:rsidRPr="00406342">
        <w:rPr>
          <w:rStyle w:val="tlid-translation"/>
          <w:rFonts w:cstheme="minorHAnsi"/>
          <w:sz w:val="20"/>
          <w:szCs w:val="20"/>
          <w:lang w:val="en-US"/>
        </w:rPr>
        <w:t>sources. In other cases to en</w:t>
      </w:r>
      <w:r w:rsidR="005B3E48" w:rsidRPr="00406342">
        <w:rPr>
          <w:rStyle w:val="tlid-translation"/>
          <w:rFonts w:cstheme="minorHAnsi"/>
          <w:sz w:val="20"/>
          <w:szCs w:val="20"/>
          <w:lang w:val="en-US"/>
        </w:rPr>
        <w:t>h</w:t>
      </w:r>
      <w:r w:rsidRPr="00406342">
        <w:rPr>
          <w:rStyle w:val="tlid-translation"/>
          <w:rFonts w:cstheme="minorHAnsi"/>
          <w:sz w:val="20"/>
          <w:szCs w:val="20"/>
          <w:lang w:val="en-US"/>
        </w:rPr>
        <w:t>ances effectiveness and waste caused by working separately</w:t>
      </w:r>
      <w:r w:rsidR="00E52B5C" w:rsidRPr="00406342">
        <w:rPr>
          <w:rStyle w:val="FootnoteReference"/>
          <w:rFonts w:cstheme="minorHAnsi"/>
          <w:sz w:val="20"/>
          <w:szCs w:val="20"/>
          <w:lang w:val="en-US"/>
        </w:rPr>
        <w:footnoteReference w:id="8"/>
      </w:r>
      <w:r w:rsidR="00C80856" w:rsidRPr="00406342">
        <w:rPr>
          <w:rStyle w:val="tlid-translation"/>
          <w:rFonts w:cstheme="minorHAnsi"/>
          <w:sz w:val="20"/>
          <w:szCs w:val="20"/>
          <w:lang w:val="en-US"/>
        </w:rPr>
        <w:t xml:space="preserve">. Special </w:t>
      </w:r>
      <w:r w:rsidR="00682893" w:rsidRPr="00406342">
        <w:rPr>
          <w:rStyle w:val="tlid-translation"/>
          <w:rFonts w:cstheme="minorHAnsi"/>
          <w:sz w:val="20"/>
          <w:szCs w:val="20"/>
          <w:lang w:val="en-US"/>
        </w:rPr>
        <w:t xml:space="preserve">attention will be paid now to the issue of </w:t>
      </w:r>
      <w:r w:rsidR="004E6FCA" w:rsidRPr="00406342">
        <w:rPr>
          <w:rStyle w:val="tlid-translation"/>
          <w:rFonts w:cstheme="minorHAnsi"/>
          <w:sz w:val="20"/>
          <w:szCs w:val="20"/>
          <w:lang w:val="en-US"/>
        </w:rPr>
        <w:t xml:space="preserve">democratic legitimacy </w:t>
      </w:r>
      <w:r w:rsidR="006E0BFA" w:rsidRPr="00406342">
        <w:rPr>
          <w:rStyle w:val="tlid-translation"/>
          <w:rFonts w:cstheme="minorHAnsi"/>
          <w:sz w:val="20"/>
          <w:szCs w:val="20"/>
          <w:lang w:val="en-US"/>
        </w:rPr>
        <w:t>of the EU politi</w:t>
      </w:r>
      <w:r w:rsidR="002B101D" w:rsidRPr="00406342">
        <w:rPr>
          <w:rStyle w:val="tlid-translation"/>
          <w:rFonts w:cstheme="minorHAnsi"/>
          <w:sz w:val="20"/>
          <w:szCs w:val="20"/>
          <w:lang w:val="en-US"/>
        </w:rPr>
        <w:t xml:space="preserve">cs.  </w:t>
      </w:r>
      <w:r w:rsidR="006E0BFA" w:rsidRPr="00406342">
        <w:rPr>
          <w:rStyle w:val="tlid-translation"/>
          <w:rFonts w:cstheme="minorHAnsi"/>
          <w:sz w:val="20"/>
          <w:szCs w:val="20"/>
          <w:lang w:val="en-US"/>
        </w:rPr>
        <w:t xml:space="preserve"> </w:t>
      </w:r>
    </w:p>
    <w:p w14:paraId="3FCE6493" w14:textId="6B662B36" w:rsidR="00D37C81" w:rsidRPr="00406342" w:rsidRDefault="00D37C81" w:rsidP="00D37C81">
      <w:pPr>
        <w:rPr>
          <w:rFonts w:cstheme="minorHAnsi"/>
          <w:sz w:val="20"/>
          <w:szCs w:val="20"/>
          <w:lang w:val="en-US"/>
        </w:rPr>
      </w:pPr>
      <w:r w:rsidRPr="00406342">
        <w:rPr>
          <w:rFonts w:cstheme="minorHAnsi"/>
          <w:sz w:val="20"/>
          <w:szCs w:val="20"/>
          <w:lang w:val="en-US"/>
        </w:rPr>
        <w:t>Berger and Neuhaus stressed in their 1977 (!) publication “</w:t>
      </w:r>
      <w:r w:rsidRPr="00406342">
        <w:rPr>
          <w:rFonts w:cstheme="minorHAnsi"/>
          <w:i/>
          <w:iCs/>
          <w:sz w:val="20"/>
          <w:szCs w:val="20"/>
          <w:lang w:val="en-US"/>
        </w:rPr>
        <w:t xml:space="preserve">To Empower People. The Role of Mediating Structures in Public Policy” </w:t>
      </w:r>
      <w:r w:rsidRPr="00406342">
        <w:rPr>
          <w:rFonts w:cstheme="minorHAnsi"/>
          <w:sz w:val="20"/>
          <w:szCs w:val="20"/>
          <w:lang w:val="en-US"/>
        </w:rPr>
        <w:t xml:space="preserve"> the importance of </w:t>
      </w:r>
      <w:r w:rsidR="003C1616" w:rsidRPr="00406342">
        <w:rPr>
          <w:rFonts w:cstheme="minorHAnsi"/>
          <w:sz w:val="20"/>
          <w:szCs w:val="20"/>
          <w:lang w:val="en-US"/>
        </w:rPr>
        <w:t>m</w:t>
      </w:r>
      <w:r w:rsidRPr="00406342">
        <w:rPr>
          <w:rFonts w:cstheme="minorHAnsi"/>
          <w:sz w:val="20"/>
          <w:szCs w:val="20"/>
          <w:lang w:val="en-US"/>
        </w:rPr>
        <w:t>ediating structures, they define as follows: “those institutions standing between the individual in his private life and the large institutions of public life.”</w:t>
      </w:r>
      <w:r w:rsidRPr="00406342">
        <w:rPr>
          <w:rStyle w:val="FootnoteReference"/>
          <w:rFonts w:cstheme="minorHAnsi"/>
          <w:sz w:val="20"/>
          <w:szCs w:val="20"/>
        </w:rPr>
        <w:footnoteReference w:id="9"/>
      </w:r>
      <w:r w:rsidRPr="00406342">
        <w:rPr>
          <w:rFonts w:cstheme="minorHAnsi"/>
          <w:sz w:val="20"/>
          <w:szCs w:val="20"/>
          <w:lang w:val="en-US"/>
        </w:rPr>
        <w:t xml:space="preserve">.  </w:t>
      </w:r>
    </w:p>
    <w:p w14:paraId="134F7933" w14:textId="68BCA6D2" w:rsidR="00D37C81" w:rsidRPr="00406342" w:rsidRDefault="00D37C81" w:rsidP="00D37C81">
      <w:pPr>
        <w:rPr>
          <w:rFonts w:cstheme="minorHAnsi"/>
          <w:sz w:val="20"/>
          <w:szCs w:val="20"/>
          <w:lang w:val="en-US"/>
        </w:rPr>
      </w:pPr>
      <w:r w:rsidRPr="00406342">
        <w:rPr>
          <w:rFonts w:cstheme="minorHAnsi"/>
          <w:sz w:val="20"/>
          <w:szCs w:val="20"/>
          <w:lang w:val="en-US"/>
        </w:rPr>
        <w:t xml:space="preserve">The concept of “mediating structure” is presented by Berger and Neuhaus as a </w:t>
      </w:r>
      <w:r w:rsidRPr="00406342">
        <w:rPr>
          <w:rFonts w:cstheme="minorHAnsi"/>
          <w:i/>
          <w:iCs/>
          <w:sz w:val="20"/>
          <w:szCs w:val="20"/>
          <w:lang w:val="en-US"/>
        </w:rPr>
        <w:t>fundamental societal category</w:t>
      </w:r>
      <w:r w:rsidRPr="00406342">
        <w:rPr>
          <w:rFonts w:cstheme="minorHAnsi"/>
          <w:sz w:val="20"/>
          <w:szCs w:val="20"/>
          <w:lang w:val="en-US"/>
        </w:rPr>
        <w:t>. Both sociologists take a stand against neoliberal positions that place too much emphasis on individualism and the possibilities of the individual. But they also criticize the “left” where they eclipse the meaning of intermediate structures from the pursuit of steering social developments by increasing government influence.</w:t>
      </w:r>
    </w:p>
    <w:p w14:paraId="6AE94821" w14:textId="77777777" w:rsidR="00D37C81" w:rsidRPr="00406342" w:rsidRDefault="00D37C81" w:rsidP="00D37C81">
      <w:pPr>
        <w:rPr>
          <w:rFonts w:cstheme="minorHAnsi"/>
          <w:sz w:val="20"/>
          <w:szCs w:val="20"/>
          <w:lang w:val="en-US"/>
        </w:rPr>
      </w:pPr>
      <w:r w:rsidRPr="00406342">
        <w:rPr>
          <w:rFonts w:cstheme="minorHAnsi"/>
          <w:sz w:val="20"/>
          <w:szCs w:val="20"/>
          <w:lang w:val="en-US"/>
        </w:rPr>
        <w:t xml:space="preserve">Berger and Neuhaus argue that “mediating structures” are indispensable for a democratic society: “Without institutionally reliable processes of mediation, the political order becomes detached from the values and realities of individual life. Deprived of its moral foundations, the political order is ‘delegitimated’. When that happens, the political order must be secured by coercion rather than by consent. And when that happens democracy disappears”. </w:t>
      </w:r>
    </w:p>
    <w:p w14:paraId="066C8190" w14:textId="581E6DA3" w:rsidR="0024049B" w:rsidRPr="00406342" w:rsidRDefault="003C1616" w:rsidP="00A44379">
      <w:pPr>
        <w:spacing w:line="276" w:lineRule="auto"/>
        <w:rPr>
          <w:rFonts w:cstheme="minorHAnsi"/>
          <w:sz w:val="20"/>
          <w:szCs w:val="20"/>
          <w:lang w:val="en-US"/>
        </w:rPr>
      </w:pPr>
      <w:r w:rsidRPr="00406342">
        <w:rPr>
          <w:rFonts w:cstheme="minorHAnsi"/>
          <w:sz w:val="20"/>
          <w:szCs w:val="20"/>
          <w:lang w:val="en-US"/>
        </w:rPr>
        <w:t>Overall, philanthropy functions in the EU as societal “broker” by supporting citizen initiatives, volunteering, NGO’s and/or by conducting its own common good programs.</w:t>
      </w:r>
      <w:r w:rsidR="000C195D" w:rsidRPr="00406342">
        <w:rPr>
          <w:rFonts w:cstheme="minorHAnsi"/>
          <w:sz w:val="20"/>
          <w:szCs w:val="20"/>
          <w:lang w:val="en-US"/>
        </w:rPr>
        <w:t xml:space="preserve"> If </w:t>
      </w:r>
      <w:r w:rsidR="002B7137" w:rsidRPr="00406342">
        <w:rPr>
          <w:rFonts w:cstheme="minorHAnsi"/>
          <w:sz w:val="20"/>
          <w:szCs w:val="20"/>
          <w:lang w:val="en-US"/>
        </w:rPr>
        <w:t xml:space="preserve">democratic values are threatened </w:t>
      </w:r>
      <w:r w:rsidR="00FF5E33" w:rsidRPr="00406342">
        <w:rPr>
          <w:sz w:val="20"/>
          <w:szCs w:val="20"/>
          <w:lang w:val="en-US"/>
        </w:rPr>
        <w:t xml:space="preserve">the </w:t>
      </w:r>
      <w:r w:rsidR="00C94DB2" w:rsidRPr="00406342">
        <w:rPr>
          <w:sz w:val="20"/>
          <w:szCs w:val="20"/>
          <w:lang w:val="en-US"/>
        </w:rPr>
        <w:t xml:space="preserve">political </w:t>
      </w:r>
      <w:r w:rsidR="00FF5E33" w:rsidRPr="00406342">
        <w:rPr>
          <w:sz w:val="20"/>
          <w:szCs w:val="20"/>
          <w:lang w:val="en-US"/>
        </w:rPr>
        <w:t xml:space="preserve">awareness of </w:t>
      </w:r>
      <w:r w:rsidR="002E4BF3" w:rsidRPr="00406342">
        <w:rPr>
          <w:sz w:val="20"/>
          <w:szCs w:val="20"/>
          <w:lang w:val="en-US"/>
        </w:rPr>
        <w:t xml:space="preserve">the significance of the EU </w:t>
      </w:r>
      <w:r w:rsidR="00C94DB2" w:rsidRPr="00406342">
        <w:rPr>
          <w:sz w:val="20"/>
          <w:szCs w:val="20"/>
          <w:lang w:val="en-US"/>
        </w:rPr>
        <w:t xml:space="preserve">social midfield </w:t>
      </w:r>
      <w:r w:rsidR="00B2768E" w:rsidRPr="00406342">
        <w:rPr>
          <w:sz w:val="20"/>
          <w:szCs w:val="20"/>
          <w:lang w:val="en-US"/>
        </w:rPr>
        <w:t xml:space="preserve">will increase </w:t>
      </w:r>
      <w:r w:rsidR="00121638" w:rsidRPr="00406342">
        <w:rPr>
          <w:rStyle w:val="FootnoteReference"/>
          <w:sz w:val="20"/>
          <w:szCs w:val="20"/>
          <w:lang w:val="en-US"/>
        </w:rPr>
        <w:footnoteReference w:id="10"/>
      </w:r>
      <w:r w:rsidR="0024049B" w:rsidRPr="00406342">
        <w:rPr>
          <w:sz w:val="20"/>
          <w:szCs w:val="20"/>
          <w:lang w:val="en-US"/>
        </w:rPr>
        <w:t>.</w:t>
      </w:r>
      <w:r w:rsidR="00121638" w:rsidRPr="00406342">
        <w:rPr>
          <w:sz w:val="20"/>
          <w:szCs w:val="20"/>
          <w:lang w:val="en-US"/>
        </w:rPr>
        <w:t xml:space="preserve"> </w:t>
      </w:r>
      <w:r w:rsidR="00041362" w:rsidRPr="00406342">
        <w:rPr>
          <w:rFonts w:cstheme="minorHAnsi"/>
          <w:sz w:val="20"/>
          <w:szCs w:val="20"/>
          <w:lang w:val="en-US"/>
        </w:rPr>
        <w:t xml:space="preserve"> </w:t>
      </w:r>
    </w:p>
    <w:p w14:paraId="4E593447" w14:textId="727B8D6E" w:rsidR="00A460BD" w:rsidRPr="00406342" w:rsidRDefault="00A460BD" w:rsidP="00A44379">
      <w:pPr>
        <w:spacing w:line="276" w:lineRule="auto"/>
        <w:rPr>
          <w:sz w:val="20"/>
          <w:szCs w:val="20"/>
          <w:u w:val="single"/>
          <w:lang w:val="en-US"/>
        </w:rPr>
      </w:pPr>
      <w:r w:rsidRPr="00406342">
        <w:rPr>
          <w:sz w:val="20"/>
          <w:szCs w:val="20"/>
          <w:u w:val="single"/>
          <w:lang w:val="en-US"/>
        </w:rPr>
        <w:lastRenderedPageBreak/>
        <w:t xml:space="preserve">Ad 3 </w:t>
      </w:r>
      <w:r w:rsidR="007A7B78" w:rsidRPr="00406342">
        <w:rPr>
          <w:sz w:val="20"/>
          <w:szCs w:val="20"/>
          <w:u w:val="single"/>
          <w:lang w:val="en-US"/>
        </w:rPr>
        <w:t xml:space="preserve">Availability of brokerage </w:t>
      </w:r>
    </w:p>
    <w:p w14:paraId="1FBC05B4" w14:textId="77777777" w:rsidR="00A460BD" w:rsidRPr="00406342" w:rsidRDefault="00A460BD" w:rsidP="00A44379">
      <w:pPr>
        <w:spacing w:line="276" w:lineRule="auto"/>
        <w:rPr>
          <w:rFonts w:cstheme="minorHAnsi"/>
          <w:sz w:val="20"/>
          <w:szCs w:val="20"/>
          <w:lang w:val="en-US"/>
        </w:rPr>
      </w:pPr>
      <w:r w:rsidRPr="00406342">
        <w:rPr>
          <w:rFonts w:cstheme="minorHAnsi"/>
          <w:sz w:val="20"/>
          <w:szCs w:val="20"/>
          <w:lang w:val="en-US"/>
        </w:rPr>
        <w:t>James Austin</w:t>
      </w:r>
      <w:r w:rsidRPr="00406342">
        <w:rPr>
          <w:rStyle w:val="FootnoteReference"/>
          <w:rFonts w:cstheme="minorHAnsi"/>
          <w:sz w:val="20"/>
          <w:szCs w:val="20"/>
        </w:rPr>
        <w:footnoteReference w:id="11"/>
      </w:r>
      <w:r w:rsidRPr="00406342">
        <w:rPr>
          <w:rFonts w:cstheme="minorHAnsi"/>
          <w:sz w:val="20"/>
          <w:szCs w:val="20"/>
          <w:lang w:val="en-US"/>
        </w:rPr>
        <w:t xml:space="preserve"> has studied rapprochement in strategic collaborations between non-profits and business organizations. What elements are crucial to successful partnerships? Austin identifies seven decisive factors. First, the collaboration should have a clear purpose. Second, key individuals on both sides should connect at a personal and professional level. Other vital aspects are close alignment between the two types of organization in terms of mission, strategy and values, as well as genuine value-creation for all involved. In other words, the chances of successful collaboration are higher if the participating organizations have missions and strategies which resonate with each other, and when the partnership is beneficial for all of them. Finally, constant communication, continual learning, ongoing development of the partnership and genuine commitment to it are all essential.</w:t>
      </w:r>
    </w:p>
    <w:p w14:paraId="0B339373" w14:textId="77777777" w:rsidR="00A460BD" w:rsidRPr="00406342" w:rsidRDefault="00A460BD" w:rsidP="00A44379">
      <w:pPr>
        <w:spacing w:line="276" w:lineRule="auto"/>
        <w:rPr>
          <w:rFonts w:cstheme="minorHAnsi"/>
          <w:sz w:val="20"/>
          <w:szCs w:val="20"/>
          <w:lang w:val="en-US"/>
        </w:rPr>
      </w:pPr>
      <w:r w:rsidRPr="00406342">
        <w:rPr>
          <w:rFonts w:cstheme="minorHAnsi"/>
          <w:sz w:val="20"/>
          <w:szCs w:val="20"/>
          <w:lang w:val="en-US"/>
        </w:rPr>
        <w:t>Jos Rath, meanwhile, has explored encounters between entrepreneurs and non-profits. What considerations could be helpful when these two worlds meet? In his PhD thesis, Rath develops and tests a so-called “Entrepreneurial Philanthropy Alignment Model” (EPAM) to facilitate collaboration.</w:t>
      </w:r>
      <w:r w:rsidRPr="00406342">
        <w:rPr>
          <w:rStyle w:val="FootnoteReference"/>
          <w:rFonts w:cstheme="minorHAnsi"/>
          <w:sz w:val="20"/>
          <w:szCs w:val="20"/>
        </w:rPr>
        <w:footnoteReference w:id="12"/>
      </w:r>
      <w:r w:rsidRPr="00406342">
        <w:rPr>
          <w:rFonts w:cstheme="minorHAnsi"/>
          <w:sz w:val="20"/>
          <w:szCs w:val="20"/>
          <w:lang w:val="en-US"/>
        </w:rPr>
        <w:t xml:space="preserve"> His main conclusion is that key individual players – corporate CEOs and non-profit directors – play a crucial role in the encounter process. In addition, he concludes “that patience is required of both partners to allow in-depth reflection on the development of mutual trust in the process of developing an entrepreneurial philanthropy partnership”.</w:t>
      </w:r>
      <w:r w:rsidRPr="00406342">
        <w:rPr>
          <w:rStyle w:val="FootnoteReference"/>
          <w:rFonts w:cstheme="minorHAnsi"/>
          <w:sz w:val="20"/>
          <w:szCs w:val="20"/>
        </w:rPr>
        <w:footnoteReference w:id="13"/>
      </w:r>
    </w:p>
    <w:p w14:paraId="40A5FA70" w14:textId="77777777" w:rsidR="00737A22" w:rsidRPr="00406342" w:rsidRDefault="00737A22" w:rsidP="00A44379">
      <w:pPr>
        <w:spacing w:line="276" w:lineRule="auto"/>
        <w:rPr>
          <w:b/>
          <w:bCs/>
          <w:sz w:val="20"/>
          <w:szCs w:val="20"/>
          <w:lang w:val="en-US"/>
        </w:rPr>
      </w:pPr>
    </w:p>
    <w:p w14:paraId="1733BB27" w14:textId="300EBE44" w:rsidR="00827716" w:rsidRPr="00406342" w:rsidRDefault="00537935" w:rsidP="00A44379">
      <w:pPr>
        <w:spacing w:line="276" w:lineRule="auto"/>
        <w:rPr>
          <w:b/>
          <w:bCs/>
          <w:sz w:val="20"/>
          <w:szCs w:val="20"/>
          <w:lang w:val="en-US" w:eastAsia="nl-NL"/>
        </w:rPr>
      </w:pPr>
      <w:r w:rsidRPr="00406342">
        <w:rPr>
          <w:b/>
          <w:bCs/>
          <w:sz w:val="20"/>
          <w:szCs w:val="20"/>
          <w:lang w:val="en-US"/>
        </w:rPr>
        <w:t>The case</w:t>
      </w:r>
      <w:r w:rsidR="00827716" w:rsidRPr="00406342">
        <w:rPr>
          <w:b/>
          <w:bCs/>
          <w:sz w:val="20"/>
          <w:szCs w:val="20"/>
          <w:lang w:val="en-US"/>
        </w:rPr>
        <w:t xml:space="preserve">: the </w:t>
      </w:r>
      <w:r w:rsidR="00827716" w:rsidRPr="00406342">
        <w:rPr>
          <w:b/>
          <w:bCs/>
          <w:sz w:val="20"/>
          <w:szCs w:val="20"/>
          <w:lang w:val="en" w:eastAsia="nl-NL"/>
        </w:rPr>
        <w:t xml:space="preserve">policy of the EC Dept. R&amp;I towards European philanthropy over the period 2006 – 2019. </w:t>
      </w:r>
    </w:p>
    <w:p w14:paraId="2F132DBA" w14:textId="03E073EF" w:rsidR="003553B9" w:rsidRPr="00406342" w:rsidRDefault="006B3540" w:rsidP="00A44379">
      <w:pPr>
        <w:pStyle w:val="Normaa"/>
        <w:spacing w:line="276" w:lineRule="auto"/>
        <w:jc w:val="left"/>
        <w:rPr>
          <w:rStyle w:val="tlid-translation"/>
          <w:rFonts w:asciiTheme="minorHAnsi" w:hAnsiTheme="minorHAnsi" w:cstheme="minorHAnsi"/>
          <w:sz w:val="20"/>
          <w:szCs w:val="20"/>
          <w:lang w:val="en-GB"/>
        </w:rPr>
      </w:pPr>
      <w:r w:rsidRPr="00406342">
        <w:rPr>
          <w:rStyle w:val="tlid-translation"/>
          <w:rFonts w:asciiTheme="minorHAnsi" w:hAnsiTheme="minorHAnsi" w:cstheme="minorHAnsi"/>
          <w:sz w:val="20"/>
          <w:szCs w:val="20"/>
          <w:lang w:val="en-GB"/>
        </w:rPr>
        <w:t>Wh</w:t>
      </w:r>
      <w:r w:rsidR="000077B6" w:rsidRPr="00406342">
        <w:rPr>
          <w:rStyle w:val="tlid-translation"/>
          <w:rFonts w:asciiTheme="minorHAnsi" w:hAnsiTheme="minorHAnsi" w:cstheme="minorHAnsi"/>
          <w:sz w:val="20"/>
          <w:szCs w:val="20"/>
          <w:lang w:val="en-GB"/>
        </w:rPr>
        <w:t>y</w:t>
      </w:r>
      <w:r w:rsidRPr="00406342">
        <w:rPr>
          <w:rStyle w:val="tlid-translation"/>
          <w:rFonts w:asciiTheme="minorHAnsi" w:hAnsiTheme="minorHAnsi" w:cstheme="minorHAnsi"/>
          <w:sz w:val="20"/>
          <w:szCs w:val="20"/>
          <w:lang w:val="en-GB"/>
        </w:rPr>
        <w:t xml:space="preserve"> should </w:t>
      </w:r>
      <w:r w:rsidR="000077B6" w:rsidRPr="00406342">
        <w:rPr>
          <w:rStyle w:val="tlid-translation"/>
          <w:rFonts w:asciiTheme="minorHAnsi" w:hAnsiTheme="minorHAnsi" w:cstheme="minorHAnsi"/>
          <w:sz w:val="20"/>
          <w:szCs w:val="20"/>
          <w:lang w:val="en-GB"/>
        </w:rPr>
        <w:t>EU politicians and administrator</w:t>
      </w:r>
      <w:r w:rsidR="003553B9" w:rsidRPr="00406342">
        <w:rPr>
          <w:rStyle w:val="tlid-translation"/>
          <w:rFonts w:asciiTheme="minorHAnsi" w:hAnsiTheme="minorHAnsi" w:cstheme="minorHAnsi"/>
          <w:sz w:val="20"/>
          <w:szCs w:val="20"/>
          <w:lang w:val="en-GB"/>
        </w:rPr>
        <w:t>s</w:t>
      </w:r>
      <w:r w:rsidR="000077B6" w:rsidRPr="00406342">
        <w:rPr>
          <w:rStyle w:val="tlid-translation"/>
          <w:rFonts w:asciiTheme="minorHAnsi" w:hAnsiTheme="minorHAnsi" w:cstheme="minorHAnsi"/>
          <w:sz w:val="20"/>
          <w:szCs w:val="20"/>
          <w:lang w:val="en-GB"/>
        </w:rPr>
        <w:t xml:space="preserve"> seek </w:t>
      </w:r>
      <w:r w:rsidR="00922B3B" w:rsidRPr="00406342">
        <w:rPr>
          <w:rStyle w:val="tlid-translation"/>
          <w:rFonts w:asciiTheme="minorHAnsi" w:hAnsiTheme="minorHAnsi" w:cstheme="minorHAnsi"/>
          <w:sz w:val="20"/>
          <w:szCs w:val="20"/>
          <w:lang w:val="en-GB"/>
        </w:rPr>
        <w:t>contact with</w:t>
      </w:r>
      <w:r w:rsidR="005A6E55" w:rsidRPr="00406342">
        <w:rPr>
          <w:rStyle w:val="tlid-translation"/>
          <w:rFonts w:asciiTheme="minorHAnsi" w:hAnsiTheme="minorHAnsi" w:cstheme="minorHAnsi"/>
          <w:sz w:val="20"/>
          <w:szCs w:val="20"/>
          <w:lang w:val="en-GB"/>
        </w:rPr>
        <w:t xml:space="preserve"> philanthropy and </w:t>
      </w:r>
      <w:r w:rsidR="00922B3B" w:rsidRPr="00406342">
        <w:rPr>
          <w:rStyle w:val="tlid-translation"/>
          <w:rFonts w:asciiTheme="minorHAnsi" w:hAnsiTheme="minorHAnsi" w:cstheme="minorHAnsi"/>
          <w:sz w:val="20"/>
          <w:szCs w:val="20"/>
          <w:lang w:val="en-GB"/>
        </w:rPr>
        <w:t xml:space="preserve"> philanthropic organizations</w:t>
      </w:r>
      <w:r w:rsidR="005A6E55" w:rsidRPr="00406342">
        <w:rPr>
          <w:rStyle w:val="tlid-translation"/>
          <w:rFonts w:asciiTheme="minorHAnsi" w:hAnsiTheme="minorHAnsi" w:cstheme="minorHAnsi"/>
          <w:sz w:val="20"/>
          <w:szCs w:val="20"/>
          <w:lang w:val="en-GB"/>
        </w:rPr>
        <w:t xml:space="preserve">? </w:t>
      </w:r>
      <w:r w:rsidR="00922B3B" w:rsidRPr="00406342">
        <w:rPr>
          <w:rStyle w:val="tlid-translation"/>
          <w:rFonts w:asciiTheme="minorHAnsi" w:hAnsiTheme="minorHAnsi" w:cstheme="minorHAnsi"/>
          <w:sz w:val="20"/>
          <w:szCs w:val="20"/>
          <w:lang w:val="en-GB"/>
        </w:rPr>
        <w:t xml:space="preserve">In this respect, the United Kingdom and the </w:t>
      </w:r>
      <w:r w:rsidR="003553B9" w:rsidRPr="00406342">
        <w:rPr>
          <w:rStyle w:val="tlid-translation"/>
          <w:rFonts w:asciiTheme="minorHAnsi" w:hAnsiTheme="minorHAnsi" w:cstheme="minorHAnsi"/>
          <w:sz w:val="20"/>
          <w:szCs w:val="20"/>
          <w:lang w:val="en-GB"/>
        </w:rPr>
        <w:t xml:space="preserve">Department Research and Innovation of the </w:t>
      </w:r>
      <w:r w:rsidR="00922B3B" w:rsidRPr="00406342">
        <w:rPr>
          <w:rStyle w:val="tlid-translation"/>
          <w:rFonts w:asciiTheme="minorHAnsi" w:hAnsiTheme="minorHAnsi" w:cstheme="minorHAnsi"/>
          <w:sz w:val="20"/>
          <w:szCs w:val="20"/>
          <w:lang w:val="en-GB"/>
        </w:rPr>
        <w:t xml:space="preserve">European Commission in Brussels give us two examples. </w:t>
      </w:r>
    </w:p>
    <w:p w14:paraId="35B0974D" w14:textId="77777777" w:rsidR="003553B9" w:rsidRPr="00406342" w:rsidRDefault="003553B9" w:rsidP="00A44379">
      <w:pPr>
        <w:pStyle w:val="Normaa"/>
        <w:spacing w:line="276" w:lineRule="auto"/>
        <w:jc w:val="left"/>
        <w:rPr>
          <w:rStyle w:val="tlid-translation"/>
          <w:rFonts w:asciiTheme="minorHAnsi" w:hAnsiTheme="minorHAnsi" w:cstheme="minorHAnsi"/>
          <w:sz w:val="20"/>
          <w:szCs w:val="20"/>
          <w:lang w:val="en-GB"/>
        </w:rPr>
      </w:pPr>
    </w:p>
    <w:p w14:paraId="0CAE5350" w14:textId="65ED2DBF" w:rsidR="001434F5" w:rsidRPr="00406342" w:rsidRDefault="00922B3B" w:rsidP="00A44379">
      <w:pPr>
        <w:pStyle w:val="Normaa"/>
        <w:spacing w:line="276" w:lineRule="auto"/>
        <w:jc w:val="left"/>
        <w:rPr>
          <w:rStyle w:val="tlid-translation"/>
          <w:rFonts w:asciiTheme="minorHAnsi" w:hAnsiTheme="minorHAnsi" w:cstheme="minorHAnsi"/>
          <w:sz w:val="20"/>
          <w:szCs w:val="20"/>
          <w:lang w:val="en-GB"/>
        </w:rPr>
      </w:pPr>
      <w:r w:rsidRPr="00406342">
        <w:rPr>
          <w:rStyle w:val="tlid-translation"/>
          <w:rFonts w:asciiTheme="minorHAnsi" w:hAnsiTheme="minorHAnsi" w:cstheme="minorHAnsi"/>
          <w:sz w:val="20"/>
          <w:szCs w:val="20"/>
          <w:lang w:val="en-GB"/>
        </w:rPr>
        <w:t>In 1998 the Blair government entered into a partnership with England’s voluntary and charitable sector known as The Compact</w:t>
      </w:r>
      <w:r w:rsidR="001434F5" w:rsidRPr="00406342">
        <w:rPr>
          <w:rStyle w:val="tlid-translation"/>
          <w:rFonts w:asciiTheme="minorHAnsi" w:hAnsiTheme="minorHAnsi" w:cstheme="minorHAnsi"/>
          <w:sz w:val="20"/>
          <w:szCs w:val="20"/>
          <w:lang w:val="en-GB"/>
        </w:rPr>
        <w:t xml:space="preserve">. </w:t>
      </w:r>
      <w:r w:rsidR="001434F5" w:rsidRPr="00406342">
        <w:rPr>
          <w:rFonts w:asciiTheme="minorHAnsi" w:hAnsiTheme="minorHAnsi" w:cstheme="minorHAnsi"/>
          <w:sz w:val="20"/>
          <w:szCs w:val="20"/>
          <w:lang w:val="en-GB"/>
        </w:rPr>
        <w:t>Through this, t</w:t>
      </w:r>
      <w:r w:rsidR="001434F5" w:rsidRPr="00406342">
        <w:rPr>
          <w:rStyle w:val="tlid-translation"/>
          <w:rFonts w:asciiTheme="minorHAnsi" w:hAnsiTheme="minorHAnsi" w:cstheme="minorHAnsi"/>
          <w:sz w:val="20"/>
          <w:szCs w:val="20"/>
          <w:lang w:val="en-GB"/>
        </w:rPr>
        <w:t>he Blair administration sent out a political signal in the form of a covenant stating that philanthropic contributions are welcome to strengthen the quality of society. The government, it admitted, cannot and does not want to do everything alone. The Compact has no legal status, however: it is merely a “gentlemen’s agreement.” Nonetheless, in its wake approximately 80 per cent of all English local authorities concluded comparable compacts with the voluntary sector in their own areas.</w:t>
      </w:r>
    </w:p>
    <w:p w14:paraId="16BED777" w14:textId="77777777" w:rsidR="001434F5" w:rsidRPr="00406342" w:rsidRDefault="001434F5" w:rsidP="00A44379">
      <w:pPr>
        <w:pStyle w:val="Normaa"/>
        <w:spacing w:line="276" w:lineRule="auto"/>
        <w:jc w:val="left"/>
        <w:rPr>
          <w:rFonts w:asciiTheme="minorHAnsi" w:hAnsiTheme="minorHAnsi" w:cstheme="minorHAnsi"/>
          <w:b/>
          <w:sz w:val="20"/>
          <w:szCs w:val="20"/>
          <w:lang w:val="en-GB"/>
        </w:rPr>
      </w:pPr>
    </w:p>
    <w:p w14:paraId="325CBAEF" w14:textId="77777777" w:rsidR="001434F5" w:rsidRPr="00406342" w:rsidRDefault="001434F5" w:rsidP="00A44379">
      <w:pPr>
        <w:spacing w:line="276" w:lineRule="auto"/>
        <w:rPr>
          <w:rFonts w:cstheme="minorHAnsi"/>
          <w:sz w:val="20"/>
          <w:szCs w:val="20"/>
          <w:lang w:val="en-US"/>
        </w:rPr>
      </w:pPr>
      <w:r w:rsidRPr="00406342">
        <w:rPr>
          <w:rFonts w:cstheme="minorHAnsi"/>
          <w:sz w:val="20"/>
          <w:szCs w:val="20"/>
          <w:lang w:val="en-US"/>
        </w:rPr>
        <w:t>In 2005 this collaborative process resulted in the creation of the Voluntary and Charitable Giving Unit (VCGU) – later to become the Office of the Third Sector – at the Cabinet Office, thus giving the philanthropic sector “a place at the negotiating table”.</w:t>
      </w:r>
    </w:p>
    <w:p w14:paraId="7BBCF117" w14:textId="7DAFFDF6" w:rsidR="001434F5" w:rsidRPr="00406342" w:rsidRDefault="001434F5" w:rsidP="00A44379">
      <w:pPr>
        <w:spacing w:line="276" w:lineRule="auto"/>
        <w:rPr>
          <w:rFonts w:cstheme="minorHAnsi"/>
          <w:sz w:val="20"/>
          <w:szCs w:val="20"/>
          <w:lang w:val="en-US"/>
        </w:rPr>
      </w:pPr>
      <w:r w:rsidRPr="00406342">
        <w:rPr>
          <w:rFonts w:cstheme="minorHAnsi"/>
          <w:sz w:val="20"/>
          <w:szCs w:val="20"/>
          <w:lang w:val="en-US"/>
        </w:rPr>
        <w:t xml:space="preserve">This development can be analyzed as follows: the cultural shift in the welfare-state paradigm initiated by the Blair Government and known as “the Third Way”, whereby private efforts were integrated in the public domain, led to the institutional recognition of voluntary philanthropic contributions. The </w:t>
      </w:r>
      <w:r w:rsidRPr="00406342">
        <w:rPr>
          <w:rFonts w:cstheme="minorHAnsi"/>
          <w:i/>
          <w:sz w:val="20"/>
          <w:szCs w:val="20"/>
          <w:lang w:val="en-US"/>
        </w:rPr>
        <w:t>policy</w:t>
      </w:r>
      <w:r w:rsidRPr="00406342">
        <w:rPr>
          <w:rFonts w:cstheme="minorHAnsi"/>
          <w:sz w:val="20"/>
          <w:szCs w:val="20"/>
          <w:lang w:val="en-US"/>
        </w:rPr>
        <w:t xml:space="preserve"> and </w:t>
      </w:r>
      <w:r w:rsidRPr="00406342">
        <w:rPr>
          <w:rFonts w:cstheme="minorHAnsi"/>
          <w:i/>
          <w:sz w:val="20"/>
          <w:szCs w:val="20"/>
          <w:lang w:val="en-US"/>
        </w:rPr>
        <w:t>politics</w:t>
      </w:r>
      <w:r w:rsidRPr="00406342">
        <w:rPr>
          <w:rFonts w:cstheme="minorHAnsi"/>
          <w:sz w:val="20"/>
          <w:szCs w:val="20"/>
          <w:lang w:val="en-US"/>
        </w:rPr>
        <w:t xml:space="preserve"> of increasing partnerships thus became </w:t>
      </w:r>
      <w:r w:rsidRPr="00406342">
        <w:rPr>
          <w:rFonts w:cstheme="minorHAnsi"/>
          <w:i/>
          <w:sz w:val="20"/>
          <w:szCs w:val="20"/>
          <w:lang w:val="en-US"/>
        </w:rPr>
        <w:t xml:space="preserve">polity. </w:t>
      </w:r>
      <w:r w:rsidRPr="00406342">
        <w:rPr>
          <w:rFonts w:cstheme="minorHAnsi"/>
          <w:sz w:val="20"/>
          <w:szCs w:val="20"/>
          <w:lang w:val="en-US"/>
        </w:rPr>
        <w:t>In 2011 the Netherlands followed the lead set by the UK with the conclusion of a covenant between the government and the philanthropy sector.</w:t>
      </w:r>
      <w:r w:rsidRPr="00406342">
        <w:rPr>
          <w:rStyle w:val="FootnoteReference"/>
          <w:rFonts w:cstheme="minorHAnsi"/>
          <w:sz w:val="20"/>
          <w:szCs w:val="20"/>
        </w:rPr>
        <w:footnoteReference w:id="14"/>
      </w:r>
    </w:p>
    <w:p w14:paraId="096D9553" w14:textId="77777777" w:rsidR="001434F5" w:rsidRPr="00406342" w:rsidRDefault="001434F5" w:rsidP="00A44379">
      <w:pPr>
        <w:pStyle w:val="Normaa"/>
        <w:spacing w:line="276" w:lineRule="auto"/>
        <w:jc w:val="left"/>
        <w:rPr>
          <w:rStyle w:val="tlid-translation"/>
          <w:rFonts w:asciiTheme="minorHAnsi" w:hAnsiTheme="minorHAnsi" w:cstheme="minorHAnsi"/>
          <w:sz w:val="20"/>
          <w:szCs w:val="20"/>
          <w:lang w:val="en-US"/>
        </w:rPr>
      </w:pPr>
    </w:p>
    <w:p w14:paraId="63410EE5" w14:textId="58F806DD" w:rsidR="00922B3B" w:rsidRPr="00406342" w:rsidRDefault="00922B3B" w:rsidP="00A44379">
      <w:pPr>
        <w:pStyle w:val="Normaa"/>
        <w:spacing w:line="276" w:lineRule="auto"/>
        <w:jc w:val="left"/>
        <w:rPr>
          <w:rFonts w:cstheme="minorHAnsi"/>
          <w:sz w:val="20"/>
          <w:szCs w:val="20"/>
          <w:lang w:val="en-US"/>
        </w:rPr>
      </w:pPr>
      <w:r w:rsidRPr="00406342">
        <w:rPr>
          <w:rStyle w:val="tlid-translation"/>
          <w:rFonts w:asciiTheme="minorHAnsi" w:hAnsiTheme="minorHAnsi" w:cstheme="minorHAnsi"/>
          <w:sz w:val="20"/>
          <w:szCs w:val="20"/>
          <w:lang w:val="en-GB"/>
        </w:rPr>
        <w:t xml:space="preserve">Likewise, on 4 December 2007 the EC Directorate-General for Research and Innovation (DG </w:t>
      </w:r>
      <w:r w:rsidRPr="00406342">
        <w:rPr>
          <w:rFonts w:asciiTheme="minorHAnsi" w:hAnsiTheme="minorHAnsi" w:cstheme="minorHAnsi"/>
          <w:sz w:val="20"/>
          <w:szCs w:val="20"/>
          <w:lang w:val="en-GB"/>
        </w:rPr>
        <w:t>RTD</w:t>
      </w:r>
      <w:r w:rsidRPr="00406342">
        <w:rPr>
          <w:rStyle w:val="tlid-translation"/>
          <w:rFonts w:asciiTheme="minorHAnsi" w:hAnsiTheme="minorHAnsi" w:cstheme="minorHAnsi"/>
          <w:sz w:val="20"/>
          <w:szCs w:val="20"/>
          <w:lang w:val="en-GB"/>
        </w:rPr>
        <w:t xml:space="preserve">) established the European Forum on Philanthropy and Research Funding in collaboration with the European Foundation </w:t>
      </w:r>
      <w:r w:rsidRPr="00406342">
        <w:rPr>
          <w:rStyle w:val="tlid-translation"/>
          <w:rFonts w:asciiTheme="minorHAnsi" w:hAnsiTheme="minorHAnsi" w:cstheme="minorHAnsi"/>
          <w:sz w:val="20"/>
          <w:szCs w:val="20"/>
          <w:lang w:val="en-GB"/>
        </w:rPr>
        <w:lastRenderedPageBreak/>
        <w:t>Centre.</w:t>
      </w:r>
      <w:r w:rsidR="00B415E7" w:rsidRPr="00406342">
        <w:rPr>
          <w:rStyle w:val="tlid-translation"/>
          <w:rFonts w:asciiTheme="minorHAnsi" w:hAnsiTheme="minorHAnsi" w:cstheme="minorHAnsi"/>
          <w:sz w:val="20"/>
          <w:szCs w:val="20"/>
          <w:lang w:val="en-GB"/>
        </w:rPr>
        <w:t xml:space="preserve"> </w:t>
      </w:r>
      <w:r w:rsidRPr="00406342">
        <w:rPr>
          <w:rFonts w:cstheme="minorHAnsi"/>
          <w:sz w:val="20"/>
          <w:szCs w:val="20"/>
          <w:lang w:val="en-US"/>
        </w:rPr>
        <w:t xml:space="preserve">This move came after the Commission had noticed the benefits US universities gain from private philanthropic contributions. In an effort to stimulate comparable benevolence in Europe, from 2005 onwards DG RTD commissioned research, formed advisory groups and held conferences on philanthropic research funding. Resulting publications included </w:t>
      </w:r>
      <w:r w:rsidRPr="00406342">
        <w:rPr>
          <w:rFonts w:cstheme="minorHAnsi"/>
          <w:i/>
          <w:sz w:val="20"/>
          <w:szCs w:val="20"/>
          <w:lang w:val="en-US"/>
        </w:rPr>
        <w:t>Giving More for Research in Europe: Strengthening the Role of Philanthropy in the Financing of Research</w:t>
      </w:r>
      <w:r w:rsidRPr="00406342">
        <w:rPr>
          <w:rFonts w:cstheme="minorHAnsi"/>
          <w:sz w:val="20"/>
          <w:szCs w:val="20"/>
          <w:lang w:val="en-US"/>
        </w:rPr>
        <w:t xml:space="preserve"> </w:t>
      </w:r>
      <w:r w:rsidRPr="00406342">
        <w:rPr>
          <w:rFonts w:cstheme="minorHAnsi"/>
          <w:iCs/>
          <w:sz w:val="20"/>
          <w:szCs w:val="20"/>
          <w:lang w:val="en-US"/>
        </w:rPr>
        <w:t>(EC 2006),</w:t>
      </w:r>
      <w:r w:rsidRPr="00406342">
        <w:rPr>
          <w:rStyle w:val="FootnoteReference"/>
          <w:rFonts w:cstheme="minorHAnsi"/>
          <w:iCs/>
          <w:sz w:val="20"/>
          <w:szCs w:val="20"/>
          <w:lang w:val="en-US"/>
        </w:rPr>
        <w:t xml:space="preserve"> </w:t>
      </w:r>
      <w:r w:rsidRPr="00406342">
        <w:rPr>
          <w:rStyle w:val="FootnoteReference"/>
          <w:rFonts w:cstheme="minorHAnsi"/>
          <w:iCs/>
          <w:sz w:val="20"/>
          <w:szCs w:val="20"/>
        </w:rPr>
        <w:footnoteReference w:id="15"/>
      </w:r>
      <w:r w:rsidRPr="00406342">
        <w:rPr>
          <w:rFonts w:cstheme="minorHAnsi"/>
          <w:iCs/>
          <w:sz w:val="20"/>
          <w:szCs w:val="20"/>
          <w:lang w:val="en-US"/>
        </w:rPr>
        <w:t xml:space="preserve"> </w:t>
      </w:r>
      <w:r w:rsidRPr="00406342">
        <w:rPr>
          <w:rFonts w:cstheme="minorHAnsi"/>
          <w:i/>
          <w:sz w:val="20"/>
          <w:szCs w:val="20"/>
          <w:lang w:val="en-US" w:eastAsia="en-GB"/>
        </w:rPr>
        <w:t xml:space="preserve">Engaging Philanthropy for University Research. Fundraising by university from philanthropic sources: developing partnerships between universities and private donors – Report by an Expert Group </w:t>
      </w:r>
      <w:r w:rsidRPr="00406342">
        <w:rPr>
          <w:rFonts w:cstheme="minorHAnsi"/>
          <w:sz w:val="20"/>
          <w:szCs w:val="20"/>
          <w:lang w:val="en-US" w:eastAsia="en-GB"/>
        </w:rPr>
        <w:t>(EC 2008)</w:t>
      </w:r>
      <w:r w:rsidRPr="00406342">
        <w:rPr>
          <w:rFonts w:cstheme="minorHAnsi"/>
          <w:i/>
          <w:sz w:val="20"/>
          <w:szCs w:val="20"/>
          <w:lang w:val="en-US" w:eastAsia="en-GB"/>
        </w:rPr>
        <w:t>,</w:t>
      </w:r>
      <w:r w:rsidRPr="00406342">
        <w:rPr>
          <w:rStyle w:val="FootnoteReference"/>
          <w:rFonts w:cstheme="minorHAnsi"/>
          <w:i/>
          <w:sz w:val="20"/>
          <w:szCs w:val="20"/>
          <w:lang w:val="en-US" w:eastAsia="en-GB"/>
        </w:rPr>
        <w:footnoteReference w:id="16"/>
      </w:r>
      <w:r w:rsidRPr="00406342">
        <w:rPr>
          <w:rFonts w:cstheme="minorHAnsi"/>
          <w:i/>
          <w:sz w:val="20"/>
          <w:szCs w:val="20"/>
          <w:lang w:val="en-US" w:eastAsia="en-GB"/>
        </w:rPr>
        <w:t xml:space="preserve"> </w:t>
      </w:r>
      <w:r w:rsidRPr="00406342">
        <w:rPr>
          <w:rFonts w:cstheme="minorHAnsi"/>
          <w:i/>
          <w:iCs/>
          <w:sz w:val="20"/>
          <w:szCs w:val="20"/>
          <w:lang w:val="en-US"/>
        </w:rPr>
        <w:t xml:space="preserve">Giving in Evidence – Fundraising from Philanthropy in European Universities </w:t>
      </w:r>
      <w:r w:rsidRPr="00406342">
        <w:rPr>
          <w:rFonts w:cstheme="minorHAnsi"/>
          <w:iCs/>
          <w:sz w:val="20"/>
          <w:szCs w:val="20"/>
          <w:lang w:val="en-US"/>
        </w:rPr>
        <w:t xml:space="preserve">(EC 2011), </w:t>
      </w:r>
      <w:r w:rsidRPr="00406342">
        <w:rPr>
          <w:rStyle w:val="FootnoteReference"/>
          <w:rFonts w:cstheme="minorHAnsi"/>
          <w:iCs/>
          <w:sz w:val="20"/>
          <w:szCs w:val="20"/>
        </w:rPr>
        <w:footnoteReference w:id="17"/>
      </w:r>
      <w:r w:rsidRPr="00406342">
        <w:rPr>
          <w:rFonts w:cstheme="minorHAnsi"/>
          <w:iCs/>
          <w:sz w:val="20"/>
          <w:szCs w:val="20"/>
          <w:lang w:val="en-US"/>
        </w:rPr>
        <w:t xml:space="preserve"> and </w:t>
      </w:r>
      <w:r w:rsidRPr="00406342">
        <w:rPr>
          <w:rFonts w:cstheme="minorHAnsi"/>
          <w:i/>
          <w:iCs/>
          <w:sz w:val="20"/>
          <w:szCs w:val="20"/>
          <w:lang w:val="en-US"/>
        </w:rPr>
        <w:t>The European Foundations for Research and Innovation Study</w:t>
      </w:r>
      <w:r w:rsidRPr="00406342">
        <w:rPr>
          <w:rFonts w:cstheme="minorHAnsi"/>
          <w:iCs/>
          <w:sz w:val="20"/>
          <w:szCs w:val="20"/>
          <w:lang w:val="en-US"/>
        </w:rPr>
        <w:t xml:space="preserve"> (EC 2015).</w:t>
      </w:r>
      <w:r w:rsidRPr="00406342">
        <w:rPr>
          <w:rStyle w:val="FootnoteReference"/>
          <w:rFonts w:cstheme="minorHAnsi"/>
          <w:iCs/>
          <w:sz w:val="20"/>
          <w:szCs w:val="20"/>
        </w:rPr>
        <w:footnoteReference w:id="18"/>
      </w:r>
      <w:r w:rsidRPr="00406342">
        <w:rPr>
          <w:rFonts w:cstheme="minorHAnsi"/>
          <w:iCs/>
          <w:sz w:val="20"/>
          <w:szCs w:val="20"/>
          <w:lang w:val="en-US"/>
        </w:rPr>
        <w:t xml:space="preserve"> </w:t>
      </w:r>
      <w:r w:rsidRPr="00406342">
        <w:rPr>
          <w:rFonts w:cstheme="minorHAnsi"/>
          <w:sz w:val="20"/>
          <w:szCs w:val="20"/>
          <w:lang w:val="en-US"/>
        </w:rPr>
        <w:t xml:space="preserve">There were also </w:t>
      </w:r>
      <w:r w:rsidRPr="00406342">
        <w:rPr>
          <w:rFonts w:cstheme="minorHAnsi"/>
          <w:iCs/>
          <w:sz w:val="20"/>
          <w:szCs w:val="20"/>
          <w:lang w:val="en-US"/>
        </w:rPr>
        <w:t>the conferences Building Capacity for the Future (2015) and Philanthropy and Social Investments Fostering Research and Innovation (2016)</w:t>
      </w:r>
      <w:r w:rsidRPr="00406342">
        <w:rPr>
          <w:rStyle w:val="FootnoteReference"/>
          <w:rFonts w:cstheme="minorHAnsi"/>
          <w:iCs/>
          <w:sz w:val="20"/>
          <w:szCs w:val="20"/>
        </w:rPr>
        <w:footnoteReference w:id="19"/>
      </w:r>
      <w:r w:rsidRPr="00406342">
        <w:rPr>
          <w:rFonts w:cstheme="minorHAnsi"/>
          <w:iCs/>
          <w:sz w:val="20"/>
          <w:szCs w:val="20"/>
          <w:lang w:val="en-US"/>
        </w:rPr>
        <w:t xml:space="preserve">, plus the </w:t>
      </w:r>
      <w:r w:rsidRPr="00406342">
        <w:rPr>
          <w:rFonts w:cstheme="minorHAnsi"/>
          <w:sz w:val="20"/>
          <w:szCs w:val="20"/>
          <w:lang w:val="en-US"/>
        </w:rPr>
        <w:t xml:space="preserve">report </w:t>
      </w:r>
      <w:r w:rsidRPr="00406342">
        <w:rPr>
          <w:rFonts w:cstheme="minorHAnsi"/>
          <w:i/>
          <w:sz w:val="20"/>
          <w:szCs w:val="20"/>
          <w:lang w:val="en-US"/>
        </w:rPr>
        <w:t>Driving Progress</w:t>
      </w:r>
      <w:r w:rsidRPr="00406342">
        <w:rPr>
          <w:rFonts w:cstheme="minorHAnsi"/>
          <w:sz w:val="20"/>
          <w:szCs w:val="20"/>
          <w:lang w:val="en-US"/>
        </w:rPr>
        <w:t xml:space="preserve"> by the Expert Group on Foundations, Venture Philanthropy and Social Investments (2018).</w:t>
      </w:r>
      <w:r w:rsidRPr="00406342">
        <w:rPr>
          <w:rStyle w:val="FootnoteReference"/>
          <w:rFonts w:cstheme="minorHAnsi"/>
          <w:sz w:val="20"/>
          <w:szCs w:val="20"/>
        </w:rPr>
        <w:footnoteReference w:id="20"/>
      </w:r>
      <w:r w:rsidRPr="00406342">
        <w:rPr>
          <w:rFonts w:cstheme="minorHAnsi"/>
          <w:sz w:val="20"/>
          <w:szCs w:val="20"/>
          <w:lang w:val="en-US"/>
        </w:rPr>
        <w:t xml:space="preserve"> </w:t>
      </w:r>
    </w:p>
    <w:p w14:paraId="76B0CD54" w14:textId="77777777" w:rsidR="00A10E2E" w:rsidRPr="00406342" w:rsidRDefault="00A10E2E" w:rsidP="00A44379">
      <w:pPr>
        <w:autoSpaceDE w:val="0"/>
        <w:autoSpaceDN w:val="0"/>
        <w:adjustRightInd w:val="0"/>
        <w:spacing w:line="276" w:lineRule="auto"/>
        <w:rPr>
          <w:rFonts w:cstheme="minorHAnsi"/>
          <w:sz w:val="20"/>
          <w:szCs w:val="20"/>
          <w:lang w:val="en-US"/>
        </w:rPr>
      </w:pPr>
    </w:p>
    <w:p w14:paraId="4536FA9E" w14:textId="77777777" w:rsidR="00777435" w:rsidRPr="00406342" w:rsidRDefault="002C4221" w:rsidP="00A44379">
      <w:pPr>
        <w:autoSpaceDE w:val="0"/>
        <w:autoSpaceDN w:val="0"/>
        <w:adjustRightInd w:val="0"/>
        <w:spacing w:line="276" w:lineRule="auto"/>
        <w:rPr>
          <w:rFonts w:cstheme="minorHAnsi"/>
          <w:sz w:val="20"/>
          <w:szCs w:val="20"/>
          <w:lang w:val="en-GB"/>
        </w:rPr>
      </w:pPr>
      <w:r w:rsidRPr="00406342">
        <w:rPr>
          <w:rFonts w:cstheme="minorHAnsi"/>
          <w:sz w:val="20"/>
          <w:szCs w:val="20"/>
          <w:lang w:val="en-US"/>
        </w:rPr>
        <w:t xml:space="preserve">This development can be analyzed as follows. The urgent need to heighten Europe’s competitiveness </w:t>
      </w:r>
      <w:r w:rsidR="00E70F56" w:rsidRPr="00406342">
        <w:rPr>
          <w:rFonts w:cstheme="minorHAnsi"/>
          <w:sz w:val="20"/>
          <w:szCs w:val="20"/>
          <w:lang w:val="en-US"/>
        </w:rPr>
        <w:t xml:space="preserve">was </w:t>
      </w:r>
      <w:r w:rsidR="007374A4" w:rsidRPr="00406342">
        <w:rPr>
          <w:rFonts w:cstheme="minorHAnsi"/>
          <w:sz w:val="20"/>
          <w:szCs w:val="20"/>
          <w:lang w:val="en-US"/>
        </w:rPr>
        <w:t xml:space="preserve">facilitated by the </w:t>
      </w:r>
      <w:r w:rsidR="00C4547B" w:rsidRPr="00406342">
        <w:rPr>
          <w:rFonts w:cstheme="minorHAnsi"/>
          <w:sz w:val="20"/>
          <w:szCs w:val="20"/>
          <w:lang w:val="en-US"/>
        </w:rPr>
        <w:t>availability of personal “brokerage”</w:t>
      </w:r>
      <w:r w:rsidR="00E918A7" w:rsidRPr="00406342">
        <w:rPr>
          <w:rFonts w:cstheme="minorHAnsi"/>
          <w:sz w:val="20"/>
          <w:szCs w:val="20"/>
          <w:lang w:val="en-US"/>
        </w:rPr>
        <w:t xml:space="preserve"> between the </w:t>
      </w:r>
      <w:r w:rsidR="007654CC" w:rsidRPr="00406342">
        <w:rPr>
          <w:rFonts w:cstheme="minorHAnsi"/>
          <w:sz w:val="20"/>
          <w:szCs w:val="20"/>
          <w:lang w:val="en-US"/>
        </w:rPr>
        <w:t>EU academic world</w:t>
      </w:r>
      <w:r w:rsidR="00A17787" w:rsidRPr="00406342">
        <w:rPr>
          <w:rFonts w:cstheme="minorHAnsi"/>
          <w:sz w:val="20"/>
          <w:szCs w:val="20"/>
          <w:lang w:val="en-US"/>
        </w:rPr>
        <w:t xml:space="preserve"> and the EU DG Research and </w:t>
      </w:r>
      <w:r w:rsidR="00582519" w:rsidRPr="00406342">
        <w:rPr>
          <w:rFonts w:cstheme="minorHAnsi"/>
          <w:sz w:val="20"/>
          <w:szCs w:val="20"/>
          <w:lang w:val="en-US"/>
        </w:rPr>
        <w:t>Innovation. Particularly the role of</w:t>
      </w:r>
      <w:r w:rsidR="00087188" w:rsidRPr="00406342">
        <w:rPr>
          <w:rFonts w:cstheme="minorHAnsi"/>
          <w:sz w:val="20"/>
          <w:szCs w:val="20"/>
          <w:lang w:val="en-US"/>
        </w:rPr>
        <w:t xml:space="preserve"> leading DG officials </w:t>
      </w:r>
      <w:r w:rsidR="009E6C63" w:rsidRPr="00406342">
        <w:rPr>
          <w:rFonts w:cstheme="minorHAnsi"/>
          <w:sz w:val="20"/>
          <w:szCs w:val="20"/>
          <w:lang w:val="en-US"/>
        </w:rPr>
        <w:t xml:space="preserve">together with </w:t>
      </w:r>
      <w:r w:rsidR="00582519" w:rsidRPr="00406342">
        <w:rPr>
          <w:rFonts w:cstheme="minorHAnsi"/>
          <w:sz w:val="20"/>
          <w:szCs w:val="20"/>
          <w:lang w:val="en-US"/>
        </w:rPr>
        <w:t xml:space="preserve">representatives </w:t>
      </w:r>
      <w:r w:rsidR="00E653BF" w:rsidRPr="00406342">
        <w:rPr>
          <w:rFonts w:cstheme="minorHAnsi"/>
          <w:sz w:val="20"/>
          <w:szCs w:val="20"/>
          <w:lang w:val="en-US"/>
        </w:rPr>
        <w:t xml:space="preserve">of the </w:t>
      </w:r>
      <w:r w:rsidR="0038055C" w:rsidRPr="00406342">
        <w:rPr>
          <w:rFonts w:cstheme="minorHAnsi"/>
          <w:sz w:val="20"/>
          <w:szCs w:val="20"/>
          <w:lang w:val="en-US"/>
        </w:rPr>
        <w:t>European Un</w:t>
      </w:r>
      <w:r w:rsidR="00ED63F5" w:rsidRPr="00406342">
        <w:rPr>
          <w:rFonts w:cstheme="minorHAnsi"/>
          <w:sz w:val="20"/>
          <w:szCs w:val="20"/>
          <w:lang w:val="en-US"/>
        </w:rPr>
        <w:t xml:space="preserve">iversity Association (EUA) that </w:t>
      </w:r>
      <w:r w:rsidR="00191A43" w:rsidRPr="00406342">
        <w:rPr>
          <w:rFonts w:cstheme="minorHAnsi"/>
          <w:sz w:val="20"/>
          <w:szCs w:val="20"/>
          <w:lang w:val="en-US"/>
        </w:rPr>
        <w:t xml:space="preserve">continuously </w:t>
      </w:r>
      <w:r w:rsidR="00E653BF" w:rsidRPr="00406342">
        <w:rPr>
          <w:rFonts w:cstheme="minorHAnsi"/>
          <w:sz w:val="20"/>
          <w:szCs w:val="20"/>
          <w:lang w:val="en-US"/>
        </w:rPr>
        <w:t xml:space="preserve">recommended the “Diversification of income streams </w:t>
      </w:r>
      <w:r w:rsidR="00191A43" w:rsidRPr="00406342">
        <w:rPr>
          <w:rFonts w:cstheme="minorHAnsi"/>
          <w:sz w:val="20"/>
          <w:szCs w:val="20"/>
          <w:lang w:val="en-US"/>
        </w:rPr>
        <w:t xml:space="preserve">for EU </w:t>
      </w:r>
      <w:r w:rsidR="00D07252" w:rsidRPr="00406342">
        <w:rPr>
          <w:rFonts w:cstheme="minorHAnsi"/>
          <w:sz w:val="20"/>
          <w:szCs w:val="20"/>
          <w:lang w:val="en-US"/>
        </w:rPr>
        <w:t>–</w:t>
      </w:r>
      <w:r w:rsidR="00191A43" w:rsidRPr="00406342">
        <w:rPr>
          <w:rFonts w:cstheme="minorHAnsi"/>
          <w:sz w:val="20"/>
          <w:szCs w:val="20"/>
          <w:lang w:val="en-US"/>
        </w:rPr>
        <w:t xml:space="preserve"> </w:t>
      </w:r>
      <w:r w:rsidR="00D07252" w:rsidRPr="00406342">
        <w:rPr>
          <w:rFonts w:cstheme="minorHAnsi"/>
          <w:sz w:val="20"/>
          <w:szCs w:val="20"/>
          <w:lang w:val="en-US"/>
        </w:rPr>
        <w:t>universities</w:t>
      </w:r>
      <w:r w:rsidR="009E6C63" w:rsidRPr="00406342">
        <w:rPr>
          <w:rFonts w:cstheme="minorHAnsi"/>
          <w:sz w:val="20"/>
          <w:szCs w:val="20"/>
          <w:lang w:val="en-US"/>
        </w:rPr>
        <w:t>”</w:t>
      </w:r>
      <w:r w:rsidR="007374A4" w:rsidRPr="00406342">
        <w:rPr>
          <w:rFonts w:cstheme="minorHAnsi"/>
          <w:sz w:val="20"/>
          <w:szCs w:val="20"/>
          <w:lang w:val="en-US"/>
        </w:rPr>
        <w:t xml:space="preserve"> has to be mentioned here. </w:t>
      </w:r>
      <w:r w:rsidR="001541F9" w:rsidRPr="00406342">
        <w:rPr>
          <w:rFonts w:cstheme="minorHAnsi"/>
          <w:sz w:val="20"/>
          <w:szCs w:val="20"/>
          <w:lang w:val="en-US"/>
        </w:rPr>
        <w:t>This diversif</w:t>
      </w:r>
      <w:r w:rsidR="00D501FE" w:rsidRPr="00406342">
        <w:rPr>
          <w:rFonts w:cstheme="minorHAnsi"/>
          <w:sz w:val="20"/>
          <w:szCs w:val="20"/>
          <w:lang w:val="en-US"/>
        </w:rPr>
        <w:t>i</w:t>
      </w:r>
      <w:r w:rsidR="001541F9" w:rsidRPr="00406342">
        <w:rPr>
          <w:rFonts w:cstheme="minorHAnsi"/>
          <w:sz w:val="20"/>
          <w:szCs w:val="20"/>
          <w:lang w:val="en-US"/>
        </w:rPr>
        <w:t>cation issue</w:t>
      </w:r>
      <w:r w:rsidR="00D501FE" w:rsidRPr="00406342">
        <w:rPr>
          <w:rFonts w:cstheme="minorHAnsi"/>
          <w:sz w:val="20"/>
          <w:szCs w:val="20"/>
          <w:lang w:val="en-US"/>
        </w:rPr>
        <w:t xml:space="preserve"> </w:t>
      </w:r>
      <w:r w:rsidR="000E7410" w:rsidRPr="00406342">
        <w:rPr>
          <w:rFonts w:cstheme="minorHAnsi"/>
          <w:sz w:val="20"/>
          <w:szCs w:val="20"/>
          <w:lang w:val="en-US"/>
        </w:rPr>
        <w:t xml:space="preserve">included the </w:t>
      </w:r>
      <w:r w:rsidR="00D806E4" w:rsidRPr="00406342">
        <w:rPr>
          <w:rFonts w:cstheme="minorHAnsi"/>
          <w:sz w:val="20"/>
          <w:szCs w:val="20"/>
          <w:lang w:val="en-US"/>
        </w:rPr>
        <w:t xml:space="preserve">promotion of philanthropic income </w:t>
      </w:r>
      <w:r w:rsidR="00C23EEB" w:rsidRPr="00406342">
        <w:rPr>
          <w:rFonts w:cstheme="minorHAnsi"/>
          <w:sz w:val="20"/>
          <w:szCs w:val="20"/>
          <w:lang w:val="en-US"/>
        </w:rPr>
        <w:t>n</w:t>
      </w:r>
      <w:r w:rsidR="00D07252" w:rsidRPr="00406342">
        <w:rPr>
          <w:rFonts w:cstheme="minorHAnsi"/>
          <w:sz w:val="20"/>
          <w:szCs w:val="20"/>
          <w:lang w:val="en-US"/>
        </w:rPr>
        <w:t>ext to government-funding and market-</w:t>
      </w:r>
      <w:r w:rsidR="00C23EEB" w:rsidRPr="00406342">
        <w:rPr>
          <w:rFonts w:cstheme="minorHAnsi"/>
          <w:sz w:val="20"/>
          <w:szCs w:val="20"/>
          <w:lang w:val="en-US"/>
        </w:rPr>
        <w:t>valor</w:t>
      </w:r>
      <w:r w:rsidR="00D07252" w:rsidRPr="00406342">
        <w:rPr>
          <w:rFonts w:cstheme="minorHAnsi"/>
          <w:sz w:val="20"/>
          <w:szCs w:val="20"/>
          <w:lang w:val="en-US"/>
        </w:rPr>
        <w:t>ization</w:t>
      </w:r>
      <w:r w:rsidR="00C23EEB" w:rsidRPr="00406342">
        <w:rPr>
          <w:rFonts w:cstheme="minorHAnsi"/>
          <w:sz w:val="20"/>
          <w:szCs w:val="20"/>
          <w:lang w:val="en-US"/>
        </w:rPr>
        <w:t xml:space="preserve"> sources. </w:t>
      </w:r>
      <w:r w:rsidR="009E6C63" w:rsidRPr="00406342">
        <w:rPr>
          <w:rFonts w:cstheme="minorHAnsi"/>
          <w:sz w:val="20"/>
          <w:szCs w:val="20"/>
          <w:lang w:val="en-US"/>
        </w:rPr>
        <w:t xml:space="preserve"> </w:t>
      </w:r>
      <w:r w:rsidR="00AC0790" w:rsidRPr="00406342">
        <w:rPr>
          <w:rFonts w:cstheme="minorHAnsi"/>
          <w:sz w:val="20"/>
          <w:szCs w:val="20"/>
          <w:lang w:val="en-US"/>
        </w:rPr>
        <w:t>These financial</w:t>
      </w:r>
      <w:r w:rsidR="00E85B76" w:rsidRPr="00406342">
        <w:rPr>
          <w:rFonts w:cstheme="minorHAnsi"/>
          <w:sz w:val="20"/>
          <w:szCs w:val="20"/>
          <w:lang w:val="en-US"/>
        </w:rPr>
        <w:t xml:space="preserve"> dive</w:t>
      </w:r>
      <w:r w:rsidR="009C1F3E" w:rsidRPr="00406342">
        <w:rPr>
          <w:rFonts w:cstheme="minorHAnsi"/>
          <w:sz w:val="20"/>
          <w:szCs w:val="20"/>
          <w:lang w:val="en-US"/>
        </w:rPr>
        <w:t>rsification also reflects the “societal constituencies”</w:t>
      </w:r>
      <w:r w:rsidR="00D30FAA" w:rsidRPr="00406342">
        <w:rPr>
          <w:rFonts w:cstheme="minorHAnsi"/>
          <w:sz w:val="20"/>
          <w:szCs w:val="20"/>
          <w:lang w:val="en-US"/>
        </w:rPr>
        <w:t xml:space="preserve"> of the EU research institu</w:t>
      </w:r>
      <w:r w:rsidR="005C3BF2" w:rsidRPr="00406342">
        <w:rPr>
          <w:rFonts w:cstheme="minorHAnsi"/>
          <w:sz w:val="20"/>
          <w:szCs w:val="20"/>
          <w:lang w:val="en-US"/>
        </w:rPr>
        <w:t xml:space="preserve">tions. In this way </w:t>
      </w:r>
      <w:r w:rsidR="003C6A2A" w:rsidRPr="00406342">
        <w:rPr>
          <w:rFonts w:cstheme="minorHAnsi"/>
          <w:sz w:val="20"/>
          <w:szCs w:val="20"/>
          <w:lang w:val="en-US"/>
        </w:rPr>
        <w:t xml:space="preserve">it </w:t>
      </w:r>
      <w:r w:rsidR="007D66EA" w:rsidRPr="00406342">
        <w:rPr>
          <w:rFonts w:cstheme="minorHAnsi"/>
          <w:sz w:val="20"/>
          <w:szCs w:val="20"/>
          <w:lang w:val="en-US"/>
        </w:rPr>
        <w:t xml:space="preserve">also </w:t>
      </w:r>
      <w:r w:rsidR="005C3BF2" w:rsidRPr="00406342">
        <w:rPr>
          <w:rFonts w:cstheme="minorHAnsi"/>
          <w:sz w:val="20"/>
          <w:szCs w:val="20"/>
          <w:lang w:val="en-US"/>
        </w:rPr>
        <w:t>refle</w:t>
      </w:r>
      <w:r w:rsidR="003C6A2A" w:rsidRPr="00406342">
        <w:rPr>
          <w:rFonts w:cstheme="minorHAnsi"/>
          <w:sz w:val="20"/>
          <w:szCs w:val="20"/>
          <w:lang w:val="en-US"/>
        </w:rPr>
        <w:t xml:space="preserve">cts </w:t>
      </w:r>
      <w:r w:rsidR="00C76EE8" w:rsidRPr="00406342">
        <w:rPr>
          <w:rFonts w:cstheme="minorHAnsi"/>
          <w:sz w:val="20"/>
          <w:szCs w:val="20"/>
          <w:lang w:val="en-US"/>
        </w:rPr>
        <w:t xml:space="preserve">the </w:t>
      </w:r>
      <w:r w:rsidR="003C6A2A" w:rsidRPr="00406342">
        <w:rPr>
          <w:rFonts w:cstheme="minorHAnsi"/>
          <w:sz w:val="20"/>
          <w:szCs w:val="20"/>
          <w:lang w:val="en-US"/>
        </w:rPr>
        <w:t xml:space="preserve">EU </w:t>
      </w:r>
      <w:r w:rsidR="00C76EE8" w:rsidRPr="00406342">
        <w:rPr>
          <w:rFonts w:cstheme="minorHAnsi"/>
          <w:sz w:val="20"/>
          <w:szCs w:val="20"/>
          <w:lang w:val="en-US"/>
        </w:rPr>
        <w:t xml:space="preserve">– value system. </w:t>
      </w:r>
      <w:r w:rsidR="00C76EE8" w:rsidRPr="00406342">
        <w:rPr>
          <w:rFonts w:cstheme="minorHAnsi"/>
          <w:sz w:val="20"/>
          <w:szCs w:val="20"/>
          <w:lang w:val="en-GB"/>
        </w:rPr>
        <w:t>Europe harbours a strong civil society alongside its government and market sectors. The integration (or perhaps that should be re-integration) of philanthropy into the European welfare-state model signifies a step beyond the dual-state model – either “government” or “market” – to create what we can describe as the “European diversified social model”.</w:t>
      </w:r>
    </w:p>
    <w:p w14:paraId="51E55795" w14:textId="20519308" w:rsidR="00922B3B" w:rsidRPr="00406342" w:rsidRDefault="00777435" w:rsidP="00A44379">
      <w:pPr>
        <w:autoSpaceDE w:val="0"/>
        <w:autoSpaceDN w:val="0"/>
        <w:adjustRightInd w:val="0"/>
        <w:spacing w:line="276" w:lineRule="auto"/>
        <w:rPr>
          <w:rFonts w:cstheme="minorHAnsi"/>
          <w:sz w:val="20"/>
          <w:szCs w:val="20"/>
          <w:lang w:val="en-US"/>
        </w:rPr>
      </w:pPr>
      <w:r w:rsidRPr="00406342">
        <w:rPr>
          <w:rFonts w:cstheme="minorHAnsi"/>
          <w:sz w:val="20"/>
          <w:szCs w:val="20"/>
          <w:lang w:val="en-GB"/>
        </w:rPr>
        <w:t>Th</w:t>
      </w:r>
      <w:r w:rsidR="008F1B98" w:rsidRPr="00406342">
        <w:rPr>
          <w:rFonts w:cstheme="minorHAnsi"/>
          <w:sz w:val="20"/>
          <w:szCs w:val="20"/>
          <w:lang w:val="en-US"/>
        </w:rPr>
        <w:t xml:space="preserve">e </w:t>
      </w:r>
      <w:r w:rsidR="00922B3B" w:rsidRPr="00406342">
        <w:rPr>
          <w:rFonts w:cstheme="minorHAnsi"/>
          <w:sz w:val="20"/>
          <w:szCs w:val="20"/>
          <w:lang w:val="en-US"/>
        </w:rPr>
        <w:t>“Social Economy Action Plan”,</w:t>
      </w:r>
      <w:r w:rsidR="008F1B98" w:rsidRPr="00406342">
        <w:rPr>
          <w:rFonts w:cstheme="minorHAnsi"/>
          <w:sz w:val="20"/>
          <w:szCs w:val="20"/>
          <w:lang w:val="en-US"/>
        </w:rPr>
        <w:t xml:space="preserve"> launched December </w:t>
      </w:r>
      <w:r w:rsidR="006D21F8" w:rsidRPr="00406342">
        <w:rPr>
          <w:rFonts w:cstheme="minorHAnsi"/>
          <w:sz w:val="20"/>
          <w:szCs w:val="20"/>
          <w:lang w:val="en-US"/>
        </w:rPr>
        <w:t xml:space="preserve">2021 </w:t>
      </w:r>
      <w:r w:rsidR="0042734C" w:rsidRPr="00406342">
        <w:rPr>
          <w:rFonts w:cstheme="minorHAnsi"/>
          <w:sz w:val="20"/>
          <w:szCs w:val="20"/>
          <w:lang w:val="en-US"/>
        </w:rPr>
        <w:t xml:space="preserve">by the EC Department </w:t>
      </w:r>
      <w:r w:rsidR="00E6248A" w:rsidRPr="00406342">
        <w:rPr>
          <w:rFonts w:cstheme="minorHAnsi"/>
          <w:sz w:val="20"/>
          <w:szCs w:val="20"/>
          <w:lang w:val="en-US"/>
        </w:rPr>
        <w:t>Employment, Social Affairs and Inclusion</w:t>
      </w:r>
      <w:r w:rsidR="003D02DC" w:rsidRPr="00406342">
        <w:rPr>
          <w:rFonts w:cstheme="minorHAnsi"/>
          <w:sz w:val="20"/>
          <w:szCs w:val="20"/>
          <w:lang w:val="en-US"/>
        </w:rPr>
        <w:t xml:space="preserve">, however, </w:t>
      </w:r>
      <w:r w:rsidR="006D21F8" w:rsidRPr="00406342">
        <w:rPr>
          <w:rFonts w:cstheme="minorHAnsi"/>
          <w:sz w:val="20"/>
          <w:szCs w:val="20"/>
          <w:lang w:val="en-US"/>
        </w:rPr>
        <w:t xml:space="preserve">didn’t </w:t>
      </w:r>
      <w:r w:rsidR="00A840A1" w:rsidRPr="00406342">
        <w:rPr>
          <w:rFonts w:cstheme="minorHAnsi"/>
          <w:sz w:val="20"/>
          <w:szCs w:val="20"/>
          <w:lang w:val="en-US"/>
        </w:rPr>
        <w:t xml:space="preserve">capitalize </w:t>
      </w:r>
      <w:r w:rsidR="0022527E" w:rsidRPr="00406342">
        <w:rPr>
          <w:rFonts w:cstheme="minorHAnsi"/>
          <w:sz w:val="20"/>
          <w:szCs w:val="20"/>
          <w:lang w:val="en-US"/>
        </w:rPr>
        <w:t>the results</w:t>
      </w:r>
      <w:r w:rsidR="00EF00BA" w:rsidRPr="00406342">
        <w:rPr>
          <w:rFonts w:cstheme="minorHAnsi"/>
          <w:sz w:val="20"/>
          <w:szCs w:val="20"/>
          <w:lang w:val="en-US"/>
        </w:rPr>
        <w:t xml:space="preserve"> of the</w:t>
      </w:r>
      <w:r w:rsidR="003D02DC" w:rsidRPr="00406342">
        <w:rPr>
          <w:rFonts w:cstheme="minorHAnsi"/>
          <w:sz w:val="20"/>
          <w:szCs w:val="20"/>
          <w:lang w:val="en-US"/>
        </w:rPr>
        <w:t xml:space="preserve"> </w:t>
      </w:r>
      <w:r w:rsidR="001F0820" w:rsidRPr="00406342">
        <w:rPr>
          <w:rFonts w:cstheme="minorHAnsi"/>
          <w:sz w:val="20"/>
          <w:szCs w:val="20"/>
          <w:lang w:val="en-US"/>
        </w:rPr>
        <w:t xml:space="preserve">15 years investment </w:t>
      </w:r>
      <w:r w:rsidR="005E42B3" w:rsidRPr="00406342">
        <w:rPr>
          <w:rFonts w:cstheme="minorHAnsi"/>
          <w:sz w:val="20"/>
          <w:szCs w:val="20"/>
          <w:lang w:val="en-US"/>
        </w:rPr>
        <w:t xml:space="preserve">of the EU DG R&amp;I </w:t>
      </w:r>
      <w:r w:rsidR="00F81320" w:rsidRPr="00406342">
        <w:rPr>
          <w:rFonts w:cstheme="minorHAnsi"/>
          <w:sz w:val="20"/>
          <w:szCs w:val="20"/>
          <w:lang w:val="en-US"/>
        </w:rPr>
        <w:t xml:space="preserve">in EU - </w:t>
      </w:r>
      <w:r w:rsidR="00922B3B" w:rsidRPr="00406342">
        <w:rPr>
          <w:rFonts w:cstheme="minorHAnsi"/>
          <w:sz w:val="20"/>
          <w:szCs w:val="20"/>
          <w:lang w:val="en-US"/>
        </w:rPr>
        <w:t xml:space="preserve">Philanthropy.     </w:t>
      </w:r>
    </w:p>
    <w:p w14:paraId="2621BD98" w14:textId="77777777" w:rsidR="00922B3B" w:rsidRPr="0077286B" w:rsidRDefault="00922B3B" w:rsidP="00A44379">
      <w:pPr>
        <w:spacing w:line="276" w:lineRule="auto"/>
        <w:rPr>
          <w:lang w:val="en-US"/>
        </w:rPr>
      </w:pPr>
    </w:p>
    <w:sectPr w:rsidR="00922B3B" w:rsidRPr="0077286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ACBFA" w14:textId="77777777" w:rsidR="0092614F" w:rsidRDefault="0092614F" w:rsidP="0077286B">
      <w:pPr>
        <w:spacing w:after="0" w:line="240" w:lineRule="auto"/>
      </w:pPr>
      <w:r>
        <w:separator/>
      </w:r>
    </w:p>
  </w:endnote>
  <w:endnote w:type="continuationSeparator" w:id="0">
    <w:p w14:paraId="2534A9B7" w14:textId="77777777" w:rsidR="0092614F" w:rsidRDefault="0092614F" w:rsidP="0077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525227"/>
      <w:docPartObj>
        <w:docPartGallery w:val="Page Numbers (Bottom of Page)"/>
        <w:docPartUnique/>
      </w:docPartObj>
    </w:sdtPr>
    <w:sdtContent>
      <w:p w14:paraId="03C2002F" w14:textId="5FFBF303" w:rsidR="00D812E9" w:rsidRDefault="00D812E9">
        <w:pPr>
          <w:pStyle w:val="Footer"/>
          <w:jc w:val="center"/>
        </w:pPr>
        <w:r>
          <w:fldChar w:fldCharType="begin"/>
        </w:r>
        <w:r>
          <w:instrText>PAGE   \* MERGEFORMAT</w:instrText>
        </w:r>
        <w:r>
          <w:fldChar w:fldCharType="separate"/>
        </w:r>
        <w:r>
          <w:t>2</w:t>
        </w:r>
        <w:r>
          <w:fldChar w:fldCharType="end"/>
        </w:r>
      </w:p>
    </w:sdtContent>
  </w:sdt>
  <w:p w14:paraId="1AEDB03D" w14:textId="77777777" w:rsidR="00D812E9" w:rsidRDefault="00D81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5C87" w14:textId="77777777" w:rsidR="0092614F" w:rsidRDefault="0092614F" w:rsidP="0077286B">
      <w:pPr>
        <w:spacing w:after="0" w:line="240" w:lineRule="auto"/>
      </w:pPr>
      <w:r>
        <w:separator/>
      </w:r>
    </w:p>
  </w:footnote>
  <w:footnote w:type="continuationSeparator" w:id="0">
    <w:p w14:paraId="6534C824" w14:textId="77777777" w:rsidR="0092614F" w:rsidRDefault="0092614F" w:rsidP="0077286B">
      <w:pPr>
        <w:spacing w:after="0" w:line="240" w:lineRule="auto"/>
      </w:pPr>
      <w:r>
        <w:continuationSeparator/>
      </w:r>
    </w:p>
  </w:footnote>
  <w:footnote w:id="1">
    <w:p w14:paraId="4AE9B10E" w14:textId="77777777" w:rsidR="00C32083" w:rsidRPr="00406342" w:rsidRDefault="0019640C" w:rsidP="00C32083">
      <w:pPr>
        <w:pStyle w:val="EndnoteText"/>
        <w:contextualSpacing/>
        <w:rPr>
          <w:rFonts w:ascii="Calibri" w:hAnsi="Calibri" w:cs="Calibri"/>
          <w:sz w:val="16"/>
          <w:szCs w:val="16"/>
          <w:lang w:val="en-US"/>
        </w:rPr>
      </w:pPr>
      <w:r>
        <w:rPr>
          <w:rStyle w:val="FootnoteReference"/>
        </w:rPr>
        <w:footnoteRef/>
      </w:r>
      <w:r>
        <w:t xml:space="preserve"> </w:t>
      </w:r>
      <w:r w:rsidR="00C32083" w:rsidRPr="00406342">
        <w:rPr>
          <w:rFonts w:ascii="Calibri" w:hAnsi="Calibri" w:cs="Calibri"/>
          <w:i/>
          <w:sz w:val="16"/>
          <w:szCs w:val="16"/>
          <w:lang w:val="en-US"/>
        </w:rPr>
        <w:t>EUFORISTUDY,</w:t>
      </w:r>
      <w:r w:rsidR="00C32083" w:rsidRPr="00406342">
        <w:rPr>
          <w:rFonts w:ascii="Calibri" w:hAnsi="Calibri" w:cs="Calibri"/>
          <w:sz w:val="16"/>
          <w:szCs w:val="16"/>
          <w:lang w:val="en-US"/>
        </w:rPr>
        <w:t xml:space="preserve"> Synthesis Report, www. Euforistudy.eu.</w:t>
      </w:r>
    </w:p>
    <w:p w14:paraId="5C175F6E" w14:textId="023A4805" w:rsidR="0019640C" w:rsidRPr="00406342" w:rsidRDefault="0019640C">
      <w:pPr>
        <w:pStyle w:val="FootnoteText"/>
        <w:rPr>
          <w:sz w:val="16"/>
          <w:szCs w:val="16"/>
          <w:lang w:val="en-US"/>
        </w:rPr>
      </w:pPr>
    </w:p>
  </w:footnote>
  <w:footnote w:id="2">
    <w:p w14:paraId="56E89D1C" w14:textId="77777777" w:rsidR="0077286B" w:rsidRPr="00406342" w:rsidRDefault="0077286B" w:rsidP="0077286B">
      <w:pPr>
        <w:pStyle w:val="FootnoteText"/>
        <w:rPr>
          <w:sz w:val="16"/>
          <w:szCs w:val="16"/>
          <w:lang w:val="en-US"/>
        </w:rPr>
      </w:pPr>
      <w:r w:rsidRPr="00406342">
        <w:rPr>
          <w:rStyle w:val="FootnoteReference"/>
          <w:sz w:val="16"/>
          <w:szCs w:val="16"/>
        </w:rPr>
        <w:footnoteRef/>
      </w:r>
      <w:r w:rsidRPr="00406342">
        <w:rPr>
          <w:sz w:val="16"/>
          <w:szCs w:val="16"/>
          <w:lang w:val="en-US"/>
        </w:rPr>
        <w:t xml:space="preserve"> </w:t>
      </w:r>
      <w:r w:rsidRPr="00406342">
        <w:rPr>
          <w:i/>
          <w:iCs/>
          <w:sz w:val="16"/>
          <w:szCs w:val="16"/>
          <w:lang w:val="en-US"/>
        </w:rPr>
        <w:t>Social Economy Action plan</w:t>
      </w:r>
      <w:r w:rsidRPr="00406342">
        <w:rPr>
          <w:sz w:val="16"/>
          <w:szCs w:val="16"/>
          <w:lang w:val="en-US"/>
        </w:rPr>
        <w:t>. European Commission: Brussels, December 2021</w:t>
      </w:r>
    </w:p>
    <w:p w14:paraId="4F4904BC" w14:textId="0210BB28" w:rsidR="0077286B" w:rsidRPr="00406342" w:rsidRDefault="0077286B" w:rsidP="0077286B">
      <w:pPr>
        <w:pStyle w:val="FootnoteText"/>
        <w:rPr>
          <w:sz w:val="16"/>
          <w:szCs w:val="16"/>
          <w:lang w:val="en-US"/>
        </w:rPr>
      </w:pPr>
      <w:r w:rsidRPr="00406342">
        <w:rPr>
          <w:sz w:val="16"/>
          <w:szCs w:val="16"/>
          <w:lang w:val="en-US"/>
        </w:rPr>
        <w:t xml:space="preserve"> </w:t>
      </w:r>
    </w:p>
  </w:footnote>
  <w:footnote w:id="3">
    <w:p w14:paraId="3F47786A" w14:textId="77777777" w:rsidR="0077286B" w:rsidRPr="00406342" w:rsidRDefault="0077286B" w:rsidP="0077286B">
      <w:pPr>
        <w:rPr>
          <w:sz w:val="16"/>
          <w:szCs w:val="16"/>
          <w:lang w:val="en-US"/>
        </w:rPr>
      </w:pPr>
      <w:r w:rsidRPr="00406342">
        <w:rPr>
          <w:rStyle w:val="FootnoteReference"/>
          <w:sz w:val="16"/>
          <w:szCs w:val="16"/>
        </w:rPr>
        <w:footnoteRef/>
      </w:r>
      <w:r w:rsidRPr="00406342">
        <w:rPr>
          <w:sz w:val="16"/>
          <w:szCs w:val="16"/>
          <w:lang w:val="en-US"/>
        </w:rPr>
        <w:t xml:space="preserve"> Beth Breeze (2021) . </w:t>
      </w:r>
      <w:r w:rsidRPr="00406342">
        <w:rPr>
          <w:i/>
          <w:iCs/>
          <w:sz w:val="16"/>
          <w:szCs w:val="16"/>
          <w:lang w:val="en-US"/>
        </w:rPr>
        <w:t>In Defense of Philanthropy</w:t>
      </w:r>
      <w:r w:rsidRPr="00406342">
        <w:rPr>
          <w:sz w:val="16"/>
          <w:szCs w:val="16"/>
          <w:lang w:val="en-US"/>
        </w:rPr>
        <w:t>. New York: Columbia University Press</w:t>
      </w:r>
      <w:r w:rsidRPr="00406342">
        <w:rPr>
          <w:sz w:val="16"/>
          <w:szCs w:val="16"/>
          <w:lang w:val="en" w:eastAsia="nl-NL"/>
        </w:rPr>
        <w:t xml:space="preserve">; </w:t>
      </w:r>
      <w:proofErr w:type="spellStart"/>
      <w:r w:rsidRPr="00406342">
        <w:rPr>
          <w:rFonts w:eastAsia="Times New Roman"/>
          <w:sz w:val="16"/>
          <w:szCs w:val="16"/>
          <w:lang w:val="en-US"/>
        </w:rPr>
        <w:t>Giridharadas</w:t>
      </w:r>
      <w:proofErr w:type="spellEnd"/>
      <w:r w:rsidRPr="00406342">
        <w:rPr>
          <w:rFonts w:eastAsia="Times New Roman"/>
          <w:sz w:val="16"/>
          <w:szCs w:val="16"/>
          <w:lang w:val="en-US"/>
        </w:rPr>
        <w:t xml:space="preserve">, A. (2018). </w:t>
      </w:r>
      <w:r w:rsidRPr="00406342">
        <w:rPr>
          <w:rFonts w:eastAsia="Times New Roman"/>
          <w:i/>
          <w:iCs/>
          <w:sz w:val="16"/>
          <w:szCs w:val="16"/>
          <w:lang w:val="en-US"/>
        </w:rPr>
        <w:t>Winners take all; The Elite Charade of changing the World.</w:t>
      </w:r>
      <w:r w:rsidRPr="00406342">
        <w:rPr>
          <w:rFonts w:eastAsia="Times New Roman"/>
          <w:iCs/>
          <w:sz w:val="16"/>
          <w:szCs w:val="16"/>
          <w:lang w:val="en-US"/>
        </w:rPr>
        <w:t xml:space="preserve"> London: Penguin Books; </w:t>
      </w:r>
      <w:r w:rsidRPr="00406342">
        <w:rPr>
          <w:rFonts w:cstheme="minorHAnsi"/>
          <w:sz w:val="16"/>
          <w:szCs w:val="16"/>
          <w:lang w:val="en-US"/>
        </w:rPr>
        <w:t>Reich, R. (2018),</w:t>
      </w:r>
      <w:r w:rsidRPr="00406342">
        <w:rPr>
          <w:rFonts w:cstheme="minorHAnsi"/>
          <w:i/>
          <w:sz w:val="16"/>
          <w:szCs w:val="16"/>
          <w:lang w:val="en-US"/>
        </w:rPr>
        <w:t xml:space="preserve"> Just Giving: Why Philanthropy Is Failing Democracy and How It Can Do Better</w:t>
      </w:r>
      <w:r w:rsidRPr="00406342">
        <w:rPr>
          <w:rFonts w:cstheme="minorHAnsi"/>
          <w:sz w:val="16"/>
          <w:szCs w:val="16"/>
          <w:lang w:val="en-US"/>
        </w:rPr>
        <w:t>. Princeton: Princeton University Press.;</w:t>
      </w:r>
      <w:r w:rsidRPr="00406342">
        <w:rPr>
          <w:sz w:val="16"/>
          <w:szCs w:val="16"/>
          <w:lang w:val="en-US"/>
        </w:rPr>
        <w:t xml:space="preserve"> </w:t>
      </w:r>
      <w:r w:rsidRPr="00406342">
        <w:rPr>
          <w:rFonts w:cstheme="minorHAnsi"/>
          <w:color w:val="222222"/>
          <w:sz w:val="16"/>
          <w:szCs w:val="16"/>
          <w:shd w:val="clear" w:color="auto" w:fill="FFFFFF"/>
          <w:lang w:val="en-US"/>
        </w:rPr>
        <w:t xml:space="preserve">Rogers, R. (2011), “Why </w:t>
      </w:r>
      <w:proofErr w:type="spellStart"/>
      <w:r w:rsidRPr="00406342">
        <w:rPr>
          <w:rFonts w:cstheme="minorHAnsi"/>
          <w:color w:val="222222"/>
          <w:sz w:val="16"/>
          <w:szCs w:val="16"/>
          <w:shd w:val="clear" w:color="auto" w:fill="FFFFFF"/>
          <w:lang w:val="en-US"/>
        </w:rPr>
        <w:t>Philanthro</w:t>
      </w:r>
      <w:proofErr w:type="spellEnd"/>
      <w:r w:rsidRPr="00406342">
        <w:rPr>
          <w:rFonts w:cstheme="minorHAnsi"/>
          <w:color w:val="222222"/>
          <w:sz w:val="16"/>
          <w:szCs w:val="16"/>
          <w:shd w:val="clear" w:color="auto" w:fill="FFFFFF"/>
          <w:lang w:val="en-US"/>
        </w:rPr>
        <w:t>-Policymaking Matters”.</w:t>
      </w:r>
      <w:r w:rsidRPr="00406342">
        <w:rPr>
          <w:rStyle w:val="apple-converted-space"/>
          <w:rFonts w:cstheme="minorHAnsi"/>
          <w:color w:val="222222"/>
          <w:sz w:val="16"/>
          <w:szCs w:val="16"/>
          <w:shd w:val="clear" w:color="auto" w:fill="FFFFFF"/>
          <w:lang w:val="en-US"/>
        </w:rPr>
        <w:t> </w:t>
      </w:r>
      <w:r w:rsidRPr="00406342">
        <w:rPr>
          <w:rFonts w:cstheme="minorHAnsi"/>
          <w:i/>
          <w:iCs/>
          <w:color w:val="222222"/>
          <w:sz w:val="16"/>
          <w:szCs w:val="16"/>
          <w:shd w:val="clear" w:color="auto" w:fill="FFFFFF"/>
          <w:lang w:val="en-US"/>
        </w:rPr>
        <w:t xml:space="preserve">Society </w:t>
      </w:r>
      <w:r w:rsidRPr="00406342">
        <w:rPr>
          <w:rFonts w:cstheme="minorHAnsi"/>
          <w:iCs/>
          <w:color w:val="222222"/>
          <w:sz w:val="16"/>
          <w:szCs w:val="16"/>
          <w:shd w:val="clear" w:color="auto" w:fill="FFFFFF"/>
          <w:lang w:val="en-US"/>
        </w:rPr>
        <w:t>48</w:t>
      </w:r>
      <w:r w:rsidRPr="00406342">
        <w:rPr>
          <w:rFonts w:cstheme="minorHAnsi"/>
          <w:i/>
          <w:iCs/>
          <w:color w:val="222222"/>
          <w:sz w:val="16"/>
          <w:szCs w:val="16"/>
          <w:shd w:val="clear" w:color="auto" w:fill="FFFFFF"/>
          <w:lang w:val="en-US"/>
        </w:rPr>
        <w:t xml:space="preserve"> </w:t>
      </w:r>
      <w:r w:rsidRPr="00406342">
        <w:rPr>
          <w:rFonts w:cstheme="minorHAnsi"/>
          <w:color w:val="222222"/>
          <w:sz w:val="16"/>
          <w:szCs w:val="16"/>
          <w:shd w:val="clear" w:color="auto" w:fill="FFFFFF"/>
          <w:lang w:val="en-US"/>
        </w:rPr>
        <w:t xml:space="preserve">(5), 376-381.; </w:t>
      </w:r>
      <w:r w:rsidRPr="00406342">
        <w:rPr>
          <w:rFonts w:cstheme="minorHAnsi"/>
          <w:sz w:val="16"/>
          <w:szCs w:val="16"/>
          <w:lang w:val="en-US"/>
        </w:rPr>
        <w:t xml:space="preserve">Edwards, M. (2008), “Just another emperor? The myths and realities of </w:t>
      </w:r>
      <w:proofErr w:type="spellStart"/>
      <w:r w:rsidRPr="00406342">
        <w:rPr>
          <w:rFonts w:cstheme="minorHAnsi"/>
          <w:sz w:val="16"/>
          <w:szCs w:val="16"/>
          <w:lang w:val="en-US"/>
        </w:rPr>
        <w:t>philanthrocapitalism</w:t>
      </w:r>
      <w:proofErr w:type="spellEnd"/>
      <w:r w:rsidRPr="00406342">
        <w:rPr>
          <w:rFonts w:cstheme="minorHAnsi"/>
          <w:sz w:val="16"/>
          <w:szCs w:val="16"/>
          <w:lang w:val="en-US"/>
        </w:rPr>
        <w:t xml:space="preserve">”. </w:t>
      </w:r>
      <w:r w:rsidRPr="00406342">
        <w:rPr>
          <w:rFonts w:cstheme="minorHAnsi"/>
          <w:i/>
          <w:sz w:val="16"/>
          <w:szCs w:val="16"/>
          <w:lang w:val="en-US"/>
        </w:rPr>
        <w:t xml:space="preserve">Non Profit Quarterly, </w:t>
      </w:r>
      <w:r w:rsidRPr="00406342">
        <w:rPr>
          <w:rFonts w:cstheme="minorHAnsi"/>
          <w:sz w:val="16"/>
          <w:szCs w:val="16"/>
          <w:lang w:val="en-US"/>
        </w:rPr>
        <w:t xml:space="preserve">March. </w:t>
      </w:r>
    </w:p>
  </w:footnote>
  <w:footnote w:id="4">
    <w:p w14:paraId="33E3455D" w14:textId="77777777" w:rsidR="0077286B" w:rsidRPr="00406342" w:rsidRDefault="0077286B" w:rsidP="0077286B">
      <w:pPr>
        <w:spacing w:line="240" w:lineRule="auto"/>
        <w:contextualSpacing/>
        <w:rPr>
          <w:sz w:val="16"/>
          <w:szCs w:val="16"/>
          <w:lang w:val="en-US"/>
        </w:rPr>
      </w:pPr>
      <w:r w:rsidRPr="00406342">
        <w:rPr>
          <w:rStyle w:val="FootnoteReference"/>
          <w:sz w:val="16"/>
          <w:szCs w:val="16"/>
        </w:rPr>
        <w:footnoteRef/>
      </w:r>
      <w:r w:rsidRPr="00406342">
        <w:rPr>
          <w:sz w:val="16"/>
          <w:szCs w:val="16"/>
          <w:lang w:val="en-US"/>
        </w:rPr>
        <w:t xml:space="preserve"> </w:t>
      </w:r>
      <w:r w:rsidRPr="00406342">
        <w:rPr>
          <w:rFonts w:ascii="Calibri" w:hAnsi="Calibri" w:cs="Calibri"/>
          <w:sz w:val="16"/>
          <w:szCs w:val="16"/>
          <w:lang w:val="en-US"/>
        </w:rPr>
        <w:t xml:space="preserve">Austin, J. E. (2000). </w:t>
      </w:r>
      <w:r w:rsidRPr="00406342">
        <w:rPr>
          <w:rFonts w:ascii="Calibri" w:hAnsi="Calibri" w:cs="Calibri"/>
          <w:i/>
          <w:sz w:val="16"/>
          <w:szCs w:val="16"/>
          <w:lang w:val="en-US"/>
        </w:rPr>
        <w:t>The Collaboration Challenge: How Nonprofits and Business Succeed through Strategic Alliances</w:t>
      </w:r>
      <w:r w:rsidRPr="00406342">
        <w:rPr>
          <w:rFonts w:ascii="Calibri" w:hAnsi="Calibri" w:cs="Calibri"/>
          <w:sz w:val="16"/>
          <w:szCs w:val="16"/>
          <w:lang w:val="en-US"/>
        </w:rPr>
        <w:t xml:space="preserve">. San Francisco, CA: Jossey-Bass.; </w:t>
      </w:r>
      <w:r w:rsidRPr="00406342">
        <w:rPr>
          <w:rFonts w:cs="Calibri"/>
          <w:bCs/>
          <w:sz w:val="16"/>
          <w:szCs w:val="16"/>
          <w:lang w:val="en-US"/>
        </w:rPr>
        <w:t>Clarke, A. en Fuller, M</w:t>
      </w:r>
      <w:r w:rsidRPr="00406342">
        <w:rPr>
          <w:rFonts w:cs="Calibri"/>
          <w:b/>
          <w:sz w:val="16"/>
          <w:szCs w:val="16"/>
          <w:lang w:val="en-US"/>
        </w:rPr>
        <w:t>.</w:t>
      </w:r>
      <w:r w:rsidRPr="00406342">
        <w:rPr>
          <w:rFonts w:cs="Calibri"/>
          <w:sz w:val="16"/>
          <w:szCs w:val="16"/>
          <w:lang w:val="en-US"/>
        </w:rPr>
        <w:t xml:space="preserve"> (2010). </w:t>
      </w:r>
      <w:r w:rsidRPr="00406342">
        <w:rPr>
          <w:rFonts w:cs="Calibri"/>
          <w:i/>
          <w:sz w:val="16"/>
          <w:szCs w:val="16"/>
          <w:lang w:val="en-US"/>
        </w:rPr>
        <w:t>Collaborative Strategic Management: Strategy Formulation and Implementation by Multi-Organizational Cross-Sector Social Partnerships</w:t>
      </w:r>
      <w:r w:rsidRPr="00406342">
        <w:rPr>
          <w:rFonts w:cs="Calibri"/>
          <w:sz w:val="16"/>
          <w:szCs w:val="16"/>
          <w:lang w:val="en-US"/>
        </w:rPr>
        <w:t xml:space="preserve">. Journal of Business Ethics, p. 85-101. DOI 10.1007/s10551-011-0781-5; David, R. P. Tolbert, </w:t>
      </w:r>
      <w:proofErr w:type="spellStart"/>
      <w:r w:rsidRPr="00406342">
        <w:rPr>
          <w:rFonts w:cs="Calibri"/>
          <w:sz w:val="16"/>
          <w:szCs w:val="16"/>
          <w:lang w:val="en-US"/>
        </w:rPr>
        <w:t>J.Boghossian</w:t>
      </w:r>
      <w:proofErr w:type="spellEnd"/>
      <w:r w:rsidRPr="00406342">
        <w:rPr>
          <w:rFonts w:cs="Calibri"/>
          <w:sz w:val="16"/>
          <w:szCs w:val="16"/>
          <w:lang w:val="en-US"/>
        </w:rPr>
        <w:t xml:space="preserve"> (2019). ‘Institutional Theory in Organization Studies’. In: </w:t>
      </w:r>
      <w:r w:rsidRPr="00406342">
        <w:rPr>
          <w:rFonts w:cs="Calibri"/>
          <w:i/>
          <w:iCs/>
          <w:sz w:val="16"/>
          <w:szCs w:val="16"/>
          <w:lang w:val="en-US"/>
        </w:rPr>
        <w:t xml:space="preserve">Business and Management   </w:t>
      </w:r>
      <w:hyperlink r:id="rId1" w:history="1">
        <w:r w:rsidRPr="00406342">
          <w:rPr>
            <w:sz w:val="16"/>
            <w:szCs w:val="16"/>
            <w:lang w:val="en-US"/>
          </w:rPr>
          <w:t>https://doi.org/10.1093/acrefore/9780190224851.013.158</w:t>
        </w:r>
      </w:hyperlink>
      <w:r w:rsidRPr="00406342">
        <w:rPr>
          <w:sz w:val="16"/>
          <w:szCs w:val="16"/>
          <w:lang w:val="en-US"/>
        </w:rPr>
        <w:t xml:space="preserve">;  </w:t>
      </w:r>
      <w:r w:rsidRPr="00406342">
        <w:rPr>
          <w:rFonts w:ascii="Calibri" w:hAnsi="Calibri" w:cs="Calibri"/>
          <w:sz w:val="16"/>
          <w:szCs w:val="16"/>
          <w:lang w:val="en-US"/>
        </w:rPr>
        <w:t xml:space="preserve">Rath, J. (2019). </w:t>
      </w:r>
      <w:r w:rsidRPr="00406342">
        <w:rPr>
          <w:rFonts w:ascii="Calibri" w:hAnsi="Calibri" w:cs="Calibri"/>
          <w:i/>
          <w:sz w:val="16"/>
          <w:szCs w:val="16"/>
          <w:lang w:val="en-US"/>
        </w:rPr>
        <w:t>Entrepreneurial Philanthropy Partnerships</w:t>
      </w:r>
      <w:r w:rsidRPr="00406342">
        <w:rPr>
          <w:rFonts w:ascii="Calibri" w:hAnsi="Calibri" w:cs="Calibri"/>
          <w:sz w:val="16"/>
          <w:szCs w:val="16"/>
          <w:lang w:val="en-US"/>
        </w:rPr>
        <w:t xml:space="preserve">. </w:t>
      </w:r>
      <w:r w:rsidRPr="00406342">
        <w:rPr>
          <w:rFonts w:ascii="Calibri" w:hAnsi="Calibri" w:cs="Calibri"/>
          <w:i/>
          <w:sz w:val="16"/>
          <w:szCs w:val="16"/>
          <w:lang w:val="en-US"/>
        </w:rPr>
        <w:t xml:space="preserve">In Search of Alignment. </w:t>
      </w:r>
      <w:r w:rsidRPr="00406342">
        <w:rPr>
          <w:rFonts w:ascii="Calibri" w:hAnsi="Calibri" w:cs="Calibri"/>
          <w:sz w:val="16"/>
          <w:szCs w:val="16"/>
          <w:lang w:val="en-US"/>
        </w:rPr>
        <w:t xml:space="preserve">Amsterdam: Vrije Universiteit. (Doctorate thesis). </w:t>
      </w:r>
    </w:p>
  </w:footnote>
  <w:footnote w:id="5">
    <w:p w14:paraId="04A4F8C3" w14:textId="77777777" w:rsidR="009B18D5" w:rsidRPr="00406342" w:rsidRDefault="009B18D5" w:rsidP="009B18D5">
      <w:pPr>
        <w:pStyle w:val="FootnoteText"/>
        <w:rPr>
          <w:rFonts w:cstheme="minorHAnsi"/>
          <w:sz w:val="16"/>
          <w:szCs w:val="16"/>
          <w:lang w:val="en-US"/>
        </w:rPr>
      </w:pPr>
      <w:r w:rsidRPr="00406342">
        <w:rPr>
          <w:rStyle w:val="FootnoteReference"/>
          <w:rFonts w:cstheme="minorHAnsi"/>
          <w:sz w:val="16"/>
          <w:szCs w:val="16"/>
        </w:rPr>
        <w:footnoteRef/>
      </w:r>
      <w:r w:rsidRPr="00406342">
        <w:rPr>
          <w:rFonts w:cstheme="minorHAnsi"/>
          <w:sz w:val="16"/>
          <w:szCs w:val="16"/>
          <w:lang w:val="en-US"/>
        </w:rPr>
        <w:t xml:space="preserve"> Adam, (2004). op. cit., pp. 4-5.</w:t>
      </w:r>
    </w:p>
  </w:footnote>
  <w:footnote w:id="6">
    <w:p w14:paraId="60738265" w14:textId="77777777" w:rsidR="00182698" w:rsidRPr="00406342" w:rsidRDefault="00182698" w:rsidP="00182698">
      <w:pPr>
        <w:rPr>
          <w:rFonts w:ascii="Calibri" w:hAnsi="Calibri" w:cs="Calibri"/>
          <w:sz w:val="16"/>
          <w:szCs w:val="16"/>
          <w:lang w:val="en-US"/>
        </w:rPr>
      </w:pPr>
      <w:r w:rsidRPr="00406342">
        <w:rPr>
          <w:rStyle w:val="FootnoteReference"/>
          <w:sz w:val="16"/>
          <w:szCs w:val="16"/>
        </w:rPr>
        <w:footnoteRef/>
      </w:r>
      <w:r w:rsidRPr="00406342">
        <w:rPr>
          <w:rFonts w:ascii="Calibri" w:hAnsi="Calibri" w:cs="Calibri"/>
          <w:sz w:val="16"/>
          <w:szCs w:val="16"/>
          <w:lang w:val="en-US"/>
        </w:rPr>
        <w:t xml:space="preserve">  Hoolwerf, B. and Th. Schuyt (Eds.). 2017. </w:t>
      </w:r>
      <w:r w:rsidRPr="00406342">
        <w:rPr>
          <w:rFonts w:ascii="Calibri" w:hAnsi="Calibri" w:cs="Calibri"/>
          <w:i/>
          <w:sz w:val="16"/>
          <w:szCs w:val="16"/>
          <w:lang w:val="en-US"/>
        </w:rPr>
        <w:t>Giving in Europe. The State of Research on Giving in 20 European Countries</w:t>
      </w:r>
      <w:r w:rsidRPr="00406342">
        <w:rPr>
          <w:rFonts w:ascii="Calibri" w:hAnsi="Calibri" w:cs="Calibri"/>
          <w:sz w:val="16"/>
          <w:szCs w:val="16"/>
          <w:lang w:val="en-US"/>
        </w:rPr>
        <w:t xml:space="preserve">. Amsterdam: </w:t>
      </w:r>
      <w:proofErr w:type="spellStart"/>
      <w:r w:rsidRPr="00406342">
        <w:rPr>
          <w:rFonts w:ascii="Calibri" w:hAnsi="Calibri" w:cs="Calibri"/>
          <w:sz w:val="16"/>
          <w:szCs w:val="16"/>
          <w:lang w:val="en-US"/>
        </w:rPr>
        <w:t>Lenthe</w:t>
      </w:r>
      <w:proofErr w:type="spellEnd"/>
      <w:r w:rsidRPr="00406342">
        <w:rPr>
          <w:rFonts w:ascii="Calibri" w:hAnsi="Calibri" w:cs="Calibri"/>
          <w:sz w:val="16"/>
          <w:szCs w:val="16"/>
          <w:lang w:val="en-US"/>
        </w:rPr>
        <w:t xml:space="preserve">.  </w:t>
      </w:r>
    </w:p>
  </w:footnote>
  <w:footnote w:id="7">
    <w:p w14:paraId="2E436B57" w14:textId="77777777" w:rsidR="00746E7E" w:rsidRPr="00406342" w:rsidRDefault="00C2048F" w:rsidP="00746E7E">
      <w:pPr>
        <w:pStyle w:val="Heading1"/>
        <w:spacing w:before="0" w:beforeAutospacing="0" w:after="0" w:afterAutospacing="0"/>
        <w:rPr>
          <w:rFonts w:asciiTheme="minorHAnsi" w:hAnsiTheme="minorHAnsi" w:cstheme="minorHAnsi"/>
          <w:b w:val="0"/>
          <w:bCs w:val="0"/>
          <w:spacing w:val="-5"/>
          <w:sz w:val="16"/>
          <w:szCs w:val="16"/>
          <w:lang w:val="en-US"/>
        </w:rPr>
      </w:pPr>
      <w:r w:rsidRPr="00746E7E">
        <w:rPr>
          <w:rStyle w:val="FootnoteReference"/>
          <w:rFonts w:asciiTheme="minorHAnsi" w:hAnsiTheme="minorHAnsi" w:cstheme="minorHAnsi"/>
          <w:b w:val="0"/>
          <w:bCs w:val="0"/>
          <w:sz w:val="18"/>
          <w:szCs w:val="18"/>
        </w:rPr>
        <w:footnoteRef/>
      </w:r>
      <w:r w:rsidRPr="00746E7E">
        <w:rPr>
          <w:lang w:val="en-US"/>
        </w:rPr>
        <w:t xml:space="preserve"> </w:t>
      </w:r>
      <w:r w:rsidR="00746E7E" w:rsidRPr="00406342">
        <w:rPr>
          <w:rFonts w:asciiTheme="minorHAnsi" w:hAnsiTheme="minorHAnsi" w:cstheme="minorHAnsi"/>
          <w:b w:val="0"/>
          <w:bCs w:val="0"/>
          <w:sz w:val="16"/>
          <w:szCs w:val="16"/>
          <w:lang w:val="en-US"/>
        </w:rPr>
        <w:t xml:space="preserve">Vries, M. de (1990).  Interdependence, Cooperation and Conflict: An Empirical Analysis. In: </w:t>
      </w:r>
      <w:r w:rsidR="00746E7E" w:rsidRPr="00406342">
        <w:rPr>
          <w:rFonts w:asciiTheme="minorHAnsi" w:hAnsiTheme="minorHAnsi" w:cstheme="minorHAnsi"/>
          <w:b w:val="0"/>
          <w:bCs w:val="0"/>
          <w:spacing w:val="-5"/>
          <w:sz w:val="16"/>
          <w:szCs w:val="16"/>
          <w:lang w:val="en-US"/>
        </w:rPr>
        <w:t xml:space="preserve">Journal of Peace Research, Vol. 27, no. 4, pp. 429-444 </w:t>
      </w:r>
    </w:p>
    <w:p w14:paraId="478B7418" w14:textId="6B79C105" w:rsidR="00C2048F" w:rsidRPr="00406342" w:rsidRDefault="00C2048F">
      <w:pPr>
        <w:pStyle w:val="FootnoteText"/>
        <w:rPr>
          <w:sz w:val="16"/>
          <w:szCs w:val="16"/>
          <w:lang w:val="en-US"/>
        </w:rPr>
      </w:pPr>
    </w:p>
  </w:footnote>
  <w:footnote w:id="8">
    <w:p w14:paraId="2371B104" w14:textId="0E99F2E0" w:rsidR="00E52B5C" w:rsidRPr="00406342" w:rsidRDefault="00E52B5C">
      <w:pPr>
        <w:pStyle w:val="FootnoteText"/>
        <w:rPr>
          <w:sz w:val="16"/>
          <w:szCs w:val="16"/>
          <w:lang w:val="en-US"/>
        </w:rPr>
      </w:pPr>
      <w:r w:rsidRPr="00406342">
        <w:rPr>
          <w:rStyle w:val="FootnoteReference"/>
          <w:sz w:val="16"/>
          <w:szCs w:val="16"/>
        </w:rPr>
        <w:footnoteRef/>
      </w:r>
      <w:r w:rsidRPr="00406342">
        <w:rPr>
          <w:sz w:val="16"/>
          <w:szCs w:val="16"/>
          <w:lang w:val="en-US"/>
        </w:rPr>
        <w:t xml:space="preserve"> </w:t>
      </w:r>
      <w:r w:rsidR="00E44D2D" w:rsidRPr="00406342">
        <w:rPr>
          <w:sz w:val="16"/>
          <w:szCs w:val="16"/>
          <w:lang w:val="en-US"/>
        </w:rPr>
        <w:t xml:space="preserve">Sanyal, B. </w:t>
      </w:r>
      <w:r w:rsidR="00C164B4" w:rsidRPr="00406342">
        <w:rPr>
          <w:sz w:val="16"/>
          <w:szCs w:val="16"/>
          <w:lang w:val="en-US"/>
        </w:rPr>
        <w:t>(1991). ‘</w:t>
      </w:r>
      <w:r w:rsidRPr="00406342">
        <w:rPr>
          <w:sz w:val="16"/>
          <w:szCs w:val="16"/>
          <w:lang w:val="en-US"/>
        </w:rPr>
        <w:t>Antagonistic Cooperation: A Case Study of Nongovernmental Organizations, Government and Donors' Relationships in Income-Generating Projects in Bangladesh</w:t>
      </w:r>
      <w:r w:rsidR="00C164B4" w:rsidRPr="00406342">
        <w:rPr>
          <w:sz w:val="16"/>
          <w:szCs w:val="16"/>
          <w:lang w:val="en-US"/>
        </w:rPr>
        <w:t>’</w:t>
      </w:r>
      <w:r w:rsidRPr="00406342">
        <w:rPr>
          <w:sz w:val="16"/>
          <w:szCs w:val="16"/>
          <w:lang w:val="en-US"/>
        </w:rPr>
        <w:t xml:space="preserve"> </w:t>
      </w:r>
      <w:r w:rsidR="00211B00" w:rsidRPr="00406342">
        <w:rPr>
          <w:sz w:val="16"/>
          <w:szCs w:val="16"/>
          <w:lang w:val="en-US"/>
        </w:rPr>
        <w:t xml:space="preserve">. </w:t>
      </w:r>
      <w:r w:rsidRPr="00406342">
        <w:rPr>
          <w:sz w:val="16"/>
          <w:szCs w:val="16"/>
          <w:lang w:val="en-US"/>
        </w:rPr>
        <w:t>Massachusetts Institute of Technology, Cambridge</w:t>
      </w:r>
      <w:r w:rsidR="00F36AC0" w:rsidRPr="00406342">
        <w:rPr>
          <w:sz w:val="16"/>
          <w:szCs w:val="16"/>
          <w:lang w:val="en-US"/>
        </w:rPr>
        <w:t xml:space="preserve">. The paper concludes </w:t>
      </w:r>
      <w:r w:rsidR="0049434D" w:rsidRPr="00406342">
        <w:rPr>
          <w:sz w:val="16"/>
          <w:szCs w:val="16"/>
          <w:lang w:val="en-US"/>
        </w:rPr>
        <w:t xml:space="preserve">with the </w:t>
      </w:r>
      <w:r w:rsidR="00F36AC0" w:rsidRPr="00406342">
        <w:rPr>
          <w:sz w:val="16"/>
          <w:szCs w:val="16"/>
          <w:lang w:val="en-US"/>
        </w:rPr>
        <w:t>paradoxical outcome</w:t>
      </w:r>
      <w:r w:rsidR="00BC735B" w:rsidRPr="00406342">
        <w:rPr>
          <w:sz w:val="16"/>
          <w:szCs w:val="16"/>
          <w:lang w:val="en-US"/>
        </w:rPr>
        <w:t xml:space="preserve"> that </w:t>
      </w:r>
      <w:r w:rsidR="00F36AC0" w:rsidRPr="00406342">
        <w:rPr>
          <w:sz w:val="16"/>
          <w:szCs w:val="16"/>
          <w:lang w:val="en-US"/>
        </w:rPr>
        <w:t>both tripartite cooperation and conflict be better explained by varying and converging institutional interests than by the theory of comparative ad</w:t>
      </w:r>
      <w:r w:rsidR="00762387" w:rsidRPr="00406342">
        <w:rPr>
          <w:sz w:val="16"/>
          <w:szCs w:val="16"/>
          <w:lang w:val="en-US"/>
        </w:rPr>
        <w:t>vantage</w:t>
      </w:r>
      <w:r w:rsidR="002A2800" w:rsidRPr="00406342">
        <w:rPr>
          <w:sz w:val="16"/>
          <w:szCs w:val="16"/>
          <w:lang w:val="en-US"/>
        </w:rPr>
        <w:t xml:space="preserve">. </w:t>
      </w:r>
      <w:r w:rsidR="00762387" w:rsidRPr="00406342">
        <w:rPr>
          <w:sz w:val="16"/>
          <w:szCs w:val="16"/>
          <w:lang w:val="en-US"/>
        </w:rPr>
        <w:t xml:space="preserve"> </w:t>
      </w:r>
    </w:p>
  </w:footnote>
  <w:footnote w:id="9">
    <w:p w14:paraId="12811972" w14:textId="77777777" w:rsidR="00D37C81" w:rsidRPr="00406342" w:rsidRDefault="00D37C81" w:rsidP="00D37C81">
      <w:pPr>
        <w:pStyle w:val="FootnoteText"/>
        <w:rPr>
          <w:sz w:val="16"/>
          <w:szCs w:val="16"/>
          <w:lang w:val="en-US"/>
        </w:rPr>
      </w:pPr>
      <w:r w:rsidRPr="00406342">
        <w:rPr>
          <w:rStyle w:val="FootnoteReference"/>
          <w:sz w:val="16"/>
          <w:szCs w:val="16"/>
        </w:rPr>
        <w:footnoteRef/>
      </w:r>
      <w:r w:rsidRPr="00406342">
        <w:rPr>
          <w:sz w:val="16"/>
          <w:szCs w:val="16"/>
          <w:lang w:val="en-US"/>
        </w:rPr>
        <w:t xml:space="preserve"> Berger, P. and R. Neuhaus (1977). </w:t>
      </w:r>
      <w:r w:rsidRPr="00406342">
        <w:rPr>
          <w:i/>
          <w:iCs/>
          <w:sz w:val="16"/>
          <w:szCs w:val="16"/>
          <w:lang w:val="en-US"/>
        </w:rPr>
        <w:t>To Empower People. The Role of Mediating Structures in Public Policy</w:t>
      </w:r>
      <w:r w:rsidRPr="00406342">
        <w:rPr>
          <w:sz w:val="16"/>
          <w:szCs w:val="16"/>
          <w:lang w:val="en-US"/>
        </w:rPr>
        <w:t xml:space="preserve">. Washington: American Enterprise Institute; Reprinted chapter in: St. Ott and L. </w:t>
      </w:r>
      <w:proofErr w:type="spellStart"/>
      <w:r w:rsidRPr="00406342">
        <w:rPr>
          <w:sz w:val="16"/>
          <w:szCs w:val="16"/>
          <w:lang w:val="en-US"/>
        </w:rPr>
        <w:t>Dicke</w:t>
      </w:r>
      <w:proofErr w:type="spellEnd"/>
      <w:r w:rsidRPr="00406342">
        <w:rPr>
          <w:sz w:val="16"/>
          <w:szCs w:val="16"/>
          <w:lang w:val="en-US"/>
        </w:rPr>
        <w:t xml:space="preserve">. (2021). </w:t>
      </w:r>
      <w:r w:rsidRPr="00406342">
        <w:rPr>
          <w:i/>
          <w:iCs/>
          <w:sz w:val="16"/>
          <w:szCs w:val="16"/>
          <w:lang w:val="en-US"/>
        </w:rPr>
        <w:t>The Nature of the Nonprofit Sector</w:t>
      </w:r>
      <w:r w:rsidRPr="00406342">
        <w:rPr>
          <w:sz w:val="16"/>
          <w:szCs w:val="16"/>
          <w:lang w:val="en-US"/>
        </w:rPr>
        <w:t xml:space="preserve">. New York: Routledge      </w:t>
      </w:r>
    </w:p>
  </w:footnote>
  <w:footnote w:id="10">
    <w:p w14:paraId="3FE9981E" w14:textId="4B55A7AF" w:rsidR="00121638" w:rsidRPr="00083785" w:rsidRDefault="00121638" w:rsidP="00737A22">
      <w:pPr>
        <w:spacing w:line="240" w:lineRule="auto"/>
        <w:rPr>
          <w:sz w:val="16"/>
          <w:szCs w:val="16"/>
          <w:lang w:val="en-US"/>
        </w:rPr>
      </w:pPr>
      <w:r w:rsidRPr="00083785">
        <w:rPr>
          <w:rStyle w:val="FootnoteReference"/>
          <w:sz w:val="16"/>
          <w:szCs w:val="16"/>
        </w:rPr>
        <w:footnoteRef/>
      </w:r>
      <w:r w:rsidRPr="00083785">
        <w:rPr>
          <w:sz w:val="16"/>
          <w:szCs w:val="16"/>
          <w:lang w:val="en-US"/>
        </w:rPr>
        <w:t xml:space="preserve"> </w:t>
      </w:r>
      <w:hyperlink r:id="rId2" w:history="1">
        <w:r w:rsidR="001A704E" w:rsidRPr="00083785">
          <w:rPr>
            <w:rStyle w:val="Hyperlink"/>
            <w:rFonts w:cstheme="minorHAnsi"/>
            <w:color w:val="auto"/>
            <w:sz w:val="16"/>
            <w:szCs w:val="16"/>
            <w:u w:val="none"/>
            <w:bdr w:val="none" w:sz="0" w:space="0" w:color="auto" w:frame="1"/>
            <w:lang w:val="en-US"/>
          </w:rPr>
          <w:t>Johanna Hedlund</w:t>
        </w:r>
      </w:hyperlink>
      <w:r w:rsidR="001A704E" w:rsidRPr="00083785">
        <w:rPr>
          <w:rStyle w:val="comma-separator"/>
          <w:rFonts w:cstheme="minorHAnsi"/>
          <w:sz w:val="16"/>
          <w:szCs w:val="16"/>
          <w:bdr w:val="none" w:sz="0" w:space="0" w:color="auto" w:frame="1"/>
          <w:lang w:val="en-US"/>
        </w:rPr>
        <w:t>, </w:t>
      </w:r>
      <w:hyperlink r:id="rId3" w:history="1">
        <w:r w:rsidR="001A704E" w:rsidRPr="00083785">
          <w:rPr>
            <w:rStyle w:val="Hyperlink"/>
            <w:rFonts w:cstheme="minorHAnsi"/>
            <w:color w:val="auto"/>
            <w:sz w:val="16"/>
            <w:szCs w:val="16"/>
            <w:u w:val="none"/>
            <w:bdr w:val="none" w:sz="0" w:space="0" w:color="auto" w:frame="1"/>
            <w:lang w:val="en-US"/>
          </w:rPr>
          <w:t>Örjan Bodin</w:t>
        </w:r>
      </w:hyperlink>
      <w:r w:rsidR="001A704E" w:rsidRPr="00083785">
        <w:rPr>
          <w:rStyle w:val="comma-separator"/>
          <w:rFonts w:cstheme="minorHAnsi"/>
          <w:sz w:val="16"/>
          <w:szCs w:val="16"/>
          <w:bdr w:val="none" w:sz="0" w:space="0" w:color="auto" w:frame="1"/>
          <w:lang w:val="en-US"/>
        </w:rPr>
        <w:t>, </w:t>
      </w:r>
      <w:hyperlink r:id="rId4" w:history="1">
        <w:r w:rsidR="001A704E" w:rsidRPr="00083785">
          <w:rPr>
            <w:rStyle w:val="Hyperlink"/>
            <w:rFonts w:cstheme="minorHAnsi"/>
            <w:color w:val="auto"/>
            <w:sz w:val="16"/>
            <w:szCs w:val="16"/>
            <w:u w:val="none"/>
            <w:bdr w:val="none" w:sz="0" w:space="0" w:color="auto" w:frame="1"/>
            <w:lang w:val="en-US"/>
          </w:rPr>
          <w:t>Daniel Nohrstedt</w:t>
        </w:r>
      </w:hyperlink>
      <w:r w:rsidR="001A704E" w:rsidRPr="00083785">
        <w:rPr>
          <w:rStyle w:val="accordion-tabbedtab-mobile"/>
          <w:rFonts w:cstheme="minorHAnsi"/>
          <w:sz w:val="16"/>
          <w:szCs w:val="16"/>
          <w:bdr w:val="none" w:sz="0" w:space="0" w:color="auto" w:frame="1"/>
          <w:lang w:val="en-US"/>
        </w:rPr>
        <w:t xml:space="preserve"> (2020). </w:t>
      </w:r>
      <w:r w:rsidR="001A704E" w:rsidRPr="00083785">
        <w:rPr>
          <w:rFonts w:cstheme="minorHAnsi"/>
          <w:sz w:val="16"/>
          <w:szCs w:val="16"/>
          <w:lang w:val="en-US"/>
        </w:rPr>
        <w:t>Policy issue interdependency and the formation of collaborative networks. I</w:t>
      </w:r>
      <w:r w:rsidR="001A704E" w:rsidRPr="00083785">
        <w:rPr>
          <w:rStyle w:val="accordion-tabbedtab-mobile"/>
          <w:rFonts w:cstheme="minorHAnsi"/>
          <w:sz w:val="16"/>
          <w:szCs w:val="16"/>
          <w:bdr w:val="none" w:sz="0" w:space="0" w:color="auto" w:frame="1"/>
          <w:lang w:val="en-US"/>
        </w:rPr>
        <w:t xml:space="preserve">n:  </w:t>
      </w:r>
      <w:r w:rsidR="001A704E" w:rsidRPr="00083785">
        <w:rPr>
          <w:rStyle w:val="accordion-tabbedtab-mobile"/>
          <w:rFonts w:cstheme="minorHAnsi"/>
          <w:i/>
          <w:iCs/>
          <w:sz w:val="16"/>
          <w:szCs w:val="16"/>
          <w:bdr w:val="none" w:sz="0" w:space="0" w:color="auto" w:frame="1"/>
          <w:lang w:val="en-US"/>
        </w:rPr>
        <w:t>People and nature</w:t>
      </w:r>
      <w:r w:rsidR="001A704E" w:rsidRPr="00083785">
        <w:rPr>
          <w:rStyle w:val="accordion-tabbedtab-mobile"/>
          <w:rFonts w:cstheme="minorHAnsi"/>
          <w:sz w:val="16"/>
          <w:szCs w:val="16"/>
          <w:bdr w:val="none" w:sz="0" w:space="0" w:color="auto" w:frame="1"/>
          <w:lang w:val="en-US"/>
        </w:rPr>
        <w:t xml:space="preserve"> </w:t>
      </w:r>
      <w:hyperlink r:id="rId5" w:history="1">
        <w:r w:rsidR="001A704E" w:rsidRPr="00083785">
          <w:rPr>
            <w:rStyle w:val="Hyperlink"/>
            <w:rFonts w:cstheme="minorHAnsi"/>
            <w:color w:val="auto"/>
            <w:sz w:val="16"/>
            <w:szCs w:val="16"/>
            <w:u w:val="none"/>
            <w:lang w:val="en-US"/>
          </w:rPr>
          <w:t>https://doi.org/10.1002/pan3.10170</w:t>
        </w:r>
      </w:hyperlink>
    </w:p>
  </w:footnote>
  <w:footnote w:id="11">
    <w:p w14:paraId="54AC5A13" w14:textId="77777777" w:rsidR="00A460BD" w:rsidRPr="00A44379" w:rsidRDefault="00A460BD" w:rsidP="00A460BD">
      <w:pPr>
        <w:pStyle w:val="FootnoteText"/>
        <w:rPr>
          <w:rFonts w:cstheme="minorHAnsi"/>
          <w:sz w:val="16"/>
          <w:szCs w:val="16"/>
          <w:lang w:val="en-US"/>
        </w:rPr>
      </w:pPr>
      <w:r w:rsidRPr="00A44379">
        <w:rPr>
          <w:rStyle w:val="FootnoteReference"/>
          <w:rFonts w:cstheme="minorHAnsi"/>
          <w:sz w:val="16"/>
          <w:szCs w:val="16"/>
        </w:rPr>
        <w:footnoteRef/>
      </w:r>
      <w:r w:rsidRPr="00A44379">
        <w:rPr>
          <w:rFonts w:cstheme="minorHAnsi"/>
          <w:sz w:val="16"/>
          <w:szCs w:val="16"/>
          <w:lang w:val="en-US"/>
        </w:rPr>
        <w:t xml:space="preserve"> Austin, J. E. (2000), </w:t>
      </w:r>
      <w:r w:rsidRPr="00A44379">
        <w:rPr>
          <w:rFonts w:cstheme="minorHAnsi"/>
          <w:i/>
          <w:sz w:val="16"/>
          <w:szCs w:val="16"/>
          <w:lang w:val="en-US"/>
        </w:rPr>
        <w:t>The Collaboration Challenge: How Non-profits and Business Succeed through Strategic Alliances</w:t>
      </w:r>
      <w:r w:rsidRPr="00A44379">
        <w:rPr>
          <w:rFonts w:cstheme="minorHAnsi"/>
          <w:sz w:val="16"/>
          <w:szCs w:val="16"/>
          <w:lang w:val="en-US"/>
        </w:rPr>
        <w:t>. San Francisco: Jossey-Bass.</w:t>
      </w:r>
    </w:p>
  </w:footnote>
  <w:footnote w:id="12">
    <w:p w14:paraId="730866B0" w14:textId="68EAB357" w:rsidR="00A460BD" w:rsidRPr="00A44379" w:rsidRDefault="00A460BD" w:rsidP="00A460BD">
      <w:pPr>
        <w:pStyle w:val="FootnoteText"/>
        <w:rPr>
          <w:rFonts w:cstheme="minorHAnsi"/>
          <w:sz w:val="16"/>
          <w:szCs w:val="16"/>
          <w:lang w:val="en-US"/>
        </w:rPr>
      </w:pPr>
      <w:r w:rsidRPr="00A44379">
        <w:rPr>
          <w:rStyle w:val="FootnoteReference"/>
          <w:rFonts w:cstheme="minorHAnsi"/>
          <w:sz w:val="16"/>
          <w:szCs w:val="16"/>
        </w:rPr>
        <w:footnoteRef/>
      </w:r>
      <w:r w:rsidRPr="00A44379">
        <w:rPr>
          <w:rFonts w:cstheme="minorHAnsi"/>
          <w:sz w:val="16"/>
          <w:szCs w:val="16"/>
          <w:lang w:val="en-US"/>
        </w:rPr>
        <w:t xml:space="preserve"> Rath, </w:t>
      </w:r>
      <w:r w:rsidR="00F4567E" w:rsidRPr="00A44379">
        <w:rPr>
          <w:rFonts w:cstheme="minorHAnsi"/>
          <w:sz w:val="16"/>
          <w:szCs w:val="16"/>
          <w:lang w:val="en-US"/>
        </w:rPr>
        <w:t xml:space="preserve">J. (2019), </w:t>
      </w:r>
      <w:r w:rsidR="00F4567E" w:rsidRPr="00A44379">
        <w:rPr>
          <w:rFonts w:cstheme="minorHAnsi"/>
          <w:i/>
          <w:sz w:val="16"/>
          <w:szCs w:val="16"/>
          <w:lang w:val="en-US"/>
        </w:rPr>
        <w:t>Entrepreneurial Philanthropy Partnerships:</w:t>
      </w:r>
      <w:r w:rsidR="00F4567E" w:rsidRPr="00A44379">
        <w:rPr>
          <w:rFonts w:cstheme="minorHAnsi"/>
          <w:sz w:val="16"/>
          <w:szCs w:val="16"/>
          <w:lang w:val="en-US"/>
        </w:rPr>
        <w:t xml:space="preserve"> </w:t>
      </w:r>
      <w:r w:rsidR="00F4567E" w:rsidRPr="00A44379">
        <w:rPr>
          <w:rFonts w:cstheme="minorHAnsi"/>
          <w:i/>
          <w:sz w:val="16"/>
          <w:szCs w:val="16"/>
          <w:lang w:val="en-US"/>
        </w:rPr>
        <w:t xml:space="preserve">In Search of Alignment. </w:t>
      </w:r>
      <w:r w:rsidR="00F4567E" w:rsidRPr="00A44379">
        <w:rPr>
          <w:rFonts w:cstheme="minorHAnsi"/>
          <w:sz w:val="16"/>
          <w:szCs w:val="16"/>
          <w:lang w:val="en-US"/>
        </w:rPr>
        <w:t xml:space="preserve">Amsterdam: Vrije Universiteit. PhD thesis. </w:t>
      </w:r>
    </w:p>
  </w:footnote>
  <w:footnote w:id="13">
    <w:p w14:paraId="24585B56" w14:textId="77777777" w:rsidR="00A460BD" w:rsidRPr="00A44379" w:rsidRDefault="00A460BD" w:rsidP="00A460BD">
      <w:pPr>
        <w:pStyle w:val="FootnoteText"/>
        <w:rPr>
          <w:rFonts w:cstheme="minorHAnsi"/>
          <w:sz w:val="16"/>
          <w:szCs w:val="16"/>
          <w:lang w:val="en-US"/>
        </w:rPr>
      </w:pPr>
      <w:r w:rsidRPr="00A44379">
        <w:rPr>
          <w:rStyle w:val="FootnoteReference"/>
          <w:rFonts w:cstheme="minorHAnsi"/>
          <w:sz w:val="16"/>
          <w:szCs w:val="16"/>
        </w:rPr>
        <w:footnoteRef/>
      </w:r>
      <w:r w:rsidRPr="00A44379">
        <w:rPr>
          <w:rFonts w:cstheme="minorHAnsi"/>
          <w:sz w:val="16"/>
          <w:szCs w:val="16"/>
          <w:lang w:val="en-US"/>
        </w:rPr>
        <w:t xml:space="preserve"> Ibid., p. 180.</w:t>
      </w:r>
    </w:p>
  </w:footnote>
  <w:footnote w:id="14">
    <w:p w14:paraId="1A79F4FF" w14:textId="77777777" w:rsidR="001434F5" w:rsidRPr="00A44379" w:rsidRDefault="001434F5" w:rsidP="001434F5">
      <w:pPr>
        <w:pStyle w:val="FootnoteText"/>
        <w:rPr>
          <w:rFonts w:cstheme="minorHAnsi"/>
          <w:sz w:val="16"/>
          <w:szCs w:val="16"/>
          <w:lang w:val="en-US"/>
        </w:rPr>
      </w:pPr>
      <w:r w:rsidRPr="00A44379">
        <w:rPr>
          <w:rStyle w:val="FootnoteReference"/>
          <w:rFonts w:cstheme="minorHAnsi"/>
          <w:sz w:val="16"/>
          <w:szCs w:val="16"/>
        </w:rPr>
        <w:footnoteRef/>
      </w:r>
      <w:r w:rsidRPr="00A44379">
        <w:rPr>
          <w:rFonts w:cstheme="minorHAnsi"/>
          <w:sz w:val="16"/>
          <w:szCs w:val="16"/>
          <w:lang w:val="en-US"/>
        </w:rPr>
        <w:t xml:space="preserve"> </w:t>
      </w:r>
      <w:proofErr w:type="spellStart"/>
      <w:r w:rsidRPr="00A44379">
        <w:rPr>
          <w:rFonts w:cstheme="minorHAnsi"/>
          <w:i/>
          <w:sz w:val="16"/>
          <w:szCs w:val="16"/>
          <w:lang w:val="en-US"/>
        </w:rPr>
        <w:t>Ruimte</w:t>
      </w:r>
      <w:proofErr w:type="spellEnd"/>
      <w:r w:rsidRPr="00A44379">
        <w:rPr>
          <w:rFonts w:cstheme="minorHAnsi"/>
          <w:i/>
          <w:sz w:val="16"/>
          <w:szCs w:val="16"/>
          <w:lang w:val="en-US"/>
        </w:rPr>
        <w:t xml:space="preserve"> </w:t>
      </w:r>
      <w:proofErr w:type="spellStart"/>
      <w:r w:rsidRPr="00A44379">
        <w:rPr>
          <w:rFonts w:cstheme="minorHAnsi"/>
          <w:i/>
          <w:sz w:val="16"/>
          <w:szCs w:val="16"/>
          <w:lang w:val="en-US"/>
        </w:rPr>
        <w:t>voor</w:t>
      </w:r>
      <w:proofErr w:type="spellEnd"/>
      <w:r w:rsidRPr="00A44379">
        <w:rPr>
          <w:rFonts w:cstheme="minorHAnsi"/>
          <w:i/>
          <w:sz w:val="16"/>
          <w:szCs w:val="16"/>
          <w:lang w:val="en-US"/>
        </w:rPr>
        <w:t xml:space="preserve"> </w:t>
      </w:r>
      <w:proofErr w:type="spellStart"/>
      <w:r w:rsidRPr="00A44379">
        <w:rPr>
          <w:rFonts w:cstheme="minorHAnsi"/>
          <w:i/>
          <w:sz w:val="16"/>
          <w:szCs w:val="16"/>
          <w:lang w:val="en-US"/>
        </w:rPr>
        <w:t>geven</w:t>
      </w:r>
      <w:proofErr w:type="spellEnd"/>
      <w:r w:rsidRPr="00A44379">
        <w:rPr>
          <w:rFonts w:cstheme="minorHAnsi"/>
          <w:i/>
          <w:sz w:val="16"/>
          <w:szCs w:val="16"/>
          <w:lang w:val="en-US"/>
        </w:rPr>
        <w:t xml:space="preserve">: </w:t>
      </w:r>
      <w:proofErr w:type="spellStart"/>
      <w:r w:rsidRPr="00A44379">
        <w:rPr>
          <w:rFonts w:cstheme="minorHAnsi"/>
          <w:i/>
          <w:sz w:val="16"/>
          <w:szCs w:val="16"/>
          <w:lang w:val="en-US"/>
        </w:rPr>
        <w:t>convenant</w:t>
      </w:r>
      <w:proofErr w:type="spellEnd"/>
      <w:r w:rsidRPr="00A44379">
        <w:rPr>
          <w:rFonts w:cstheme="minorHAnsi"/>
          <w:i/>
          <w:sz w:val="16"/>
          <w:szCs w:val="16"/>
          <w:lang w:val="en-US"/>
        </w:rPr>
        <w:t xml:space="preserve"> </w:t>
      </w:r>
      <w:proofErr w:type="spellStart"/>
      <w:r w:rsidRPr="00A44379">
        <w:rPr>
          <w:rFonts w:cstheme="minorHAnsi"/>
          <w:i/>
          <w:sz w:val="16"/>
          <w:szCs w:val="16"/>
          <w:lang w:val="en-US"/>
        </w:rPr>
        <w:t>tussen</w:t>
      </w:r>
      <w:proofErr w:type="spellEnd"/>
      <w:r w:rsidRPr="00A44379">
        <w:rPr>
          <w:rFonts w:cstheme="minorHAnsi"/>
          <w:i/>
          <w:sz w:val="16"/>
          <w:szCs w:val="16"/>
          <w:lang w:val="en-US"/>
        </w:rPr>
        <w:t xml:space="preserve"> het </w:t>
      </w:r>
      <w:proofErr w:type="spellStart"/>
      <w:r w:rsidRPr="00A44379">
        <w:rPr>
          <w:rFonts w:cstheme="minorHAnsi"/>
          <w:i/>
          <w:sz w:val="16"/>
          <w:szCs w:val="16"/>
          <w:lang w:val="en-US"/>
        </w:rPr>
        <w:t>kabinet</w:t>
      </w:r>
      <w:proofErr w:type="spellEnd"/>
      <w:r w:rsidRPr="00A44379">
        <w:rPr>
          <w:rFonts w:cstheme="minorHAnsi"/>
          <w:i/>
          <w:sz w:val="16"/>
          <w:szCs w:val="16"/>
          <w:lang w:val="en-US"/>
        </w:rPr>
        <w:t xml:space="preserve"> en de sector </w:t>
      </w:r>
      <w:proofErr w:type="spellStart"/>
      <w:r w:rsidRPr="00A44379">
        <w:rPr>
          <w:rFonts w:cstheme="minorHAnsi"/>
          <w:i/>
          <w:sz w:val="16"/>
          <w:szCs w:val="16"/>
          <w:lang w:val="en-US"/>
        </w:rPr>
        <w:t>filantropie</w:t>
      </w:r>
      <w:proofErr w:type="spellEnd"/>
      <w:r w:rsidRPr="00A44379">
        <w:rPr>
          <w:rFonts w:cstheme="minorHAnsi"/>
          <w:sz w:val="16"/>
          <w:szCs w:val="16"/>
          <w:lang w:val="en-US"/>
        </w:rPr>
        <w:t xml:space="preserve"> [</w:t>
      </w:r>
      <w:r w:rsidRPr="00A44379">
        <w:rPr>
          <w:rStyle w:val="tlid-translation"/>
          <w:rFonts w:cstheme="minorHAnsi"/>
          <w:sz w:val="16"/>
          <w:szCs w:val="16"/>
          <w:lang w:val="en-US"/>
        </w:rPr>
        <w:t>Room for giving: covenant between the Dutch government and the philanthropy sector</w:t>
      </w:r>
      <w:r w:rsidRPr="00A44379">
        <w:rPr>
          <w:rFonts w:cstheme="minorHAnsi"/>
          <w:sz w:val="16"/>
          <w:szCs w:val="16"/>
          <w:lang w:val="en-US"/>
        </w:rPr>
        <w:t>] (2011). www.rijksoverheid.nl.</w:t>
      </w:r>
    </w:p>
  </w:footnote>
  <w:footnote w:id="15">
    <w:p w14:paraId="69C5D84B" w14:textId="77777777" w:rsidR="00922B3B" w:rsidRPr="00A44379" w:rsidRDefault="00922B3B" w:rsidP="00922B3B">
      <w:pPr>
        <w:pStyle w:val="FootnoteText"/>
        <w:rPr>
          <w:rFonts w:cstheme="minorHAnsi"/>
          <w:sz w:val="16"/>
          <w:szCs w:val="16"/>
          <w:lang w:val="en-US"/>
        </w:rPr>
      </w:pPr>
      <w:r w:rsidRPr="00404E20">
        <w:rPr>
          <w:rStyle w:val="FootnoteReference"/>
          <w:rFonts w:cstheme="minorHAnsi"/>
          <w:sz w:val="18"/>
          <w:szCs w:val="18"/>
        </w:rPr>
        <w:footnoteRef/>
      </w:r>
      <w:r w:rsidRPr="00DD2AE8">
        <w:rPr>
          <w:rFonts w:cstheme="minorHAnsi"/>
          <w:sz w:val="18"/>
          <w:szCs w:val="18"/>
          <w:lang w:val="en-US"/>
        </w:rPr>
        <w:t xml:space="preserve"> </w:t>
      </w:r>
      <w:r w:rsidRPr="00A44379">
        <w:rPr>
          <w:rFonts w:cstheme="minorHAnsi"/>
          <w:sz w:val="16"/>
          <w:szCs w:val="16"/>
          <w:lang w:val="en-US"/>
        </w:rPr>
        <w:t xml:space="preserve">Breeze, B., Wilkinson, I., Schuyt, T. N. M., &amp; Gouwenberg, B. M. (2011), </w:t>
      </w:r>
      <w:r w:rsidRPr="00A44379">
        <w:rPr>
          <w:rFonts w:cstheme="minorHAnsi"/>
          <w:i/>
          <w:sz w:val="16"/>
          <w:szCs w:val="16"/>
          <w:lang w:val="en-US"/>
        </w:rPr>
        <w:t>Giving in Evidence: Fundraising from Philanthropy for Research Funding in European Universities</w:t>
      </w:r>
      <w:r w:rsidRPr="00A44379">
        <w:rPr>
          <w:rFonts w:cstheme="minorHAnsi"/>
          <w:sz w:val="16"/>
          <w:szCs w:val="16"/>
          <w:lang w:val="en-US"/>
        </w:rPr>
        <w:t xml:space="preserve">. Brussels: </w:t>
      </w:r>
      <w:r w:rsidRPr="00A44379">
        <w:rPr>
          <w:rFonts w:cstheme="minorHAnsi"/>
          <w:snapToGrid w:val="0"/>
          <w:spacing w:val="-3"/>
          <w:sz w:val="16"/>
          <w:szCs w:val="16"/>
          <w:lang w:val="en-US"/>
        </w:rPr>
        <w:t xml:space="preserve">European Commission, </w:t>
      </w:r>
      <w:r w:rsidRPr="00A44379">
        <w:rPr>
          <w:rFonts w:cstheme="minorHAnsi"/>
          <w:sz w:val="16"/>
          <w:szCs w:val="16"/>
          <w:lang w:val="en-US"/>
        </w:rPr>
        <w:t>Directorate-General for Research and Innovation.</w:t>
      </w:r>
      <w:r w:rsidRPr="00A44379">
        <w:rPr>
          <w:rFonts w:cstheme="minorHAnsi"/>
          <w:i/>
          <w:sz w:val="16"/>
          <w:szCs w:val="16"/>
          <w:lang w:val="en-US"/>
        </w:rPr>
        <w:t xml:space="preserve"> </w:t>
      </w:r>
      <w:r w:rsidRPr="00A44379">
        <w:rPr>
          <w:rFonts w:cstheme="minorHAnsi"/>
          <w:sz w:val="16"/>
          <w:szCs w:val="16"/>
          <w:lang w:val="en-US"/>
        </w:rPr>
        <w:t xml:space="preserve">ISBN 978-92-79-18784-1., pp. 4-5 </w:t>
      </w:r>
    </w:p>
  </w:footnote>
  <w:footnote w:id="16">
    <w:p w14:paraId="6607B43F" w14:textId="77777777" w:rsidR="00922B3B" w:rsidRPr="00A44379" w:rsidRDefault="00922B3B" w:rsidP="00922B3B">
      <w:pPr>
        <w:pStyle w:val="FootnoteText"/>
        <w:rPr>
          <w:rFonts w:cstheme="minorHAnsi"/>
          <w:sz w:val="16"/>
          <w:szCs w:val="16"/>
        </w:rPr>
      </w:pPr>
      <w:r w:rsidRPr="00A44379">
        <w:rPr>
          <w:rStyle w:val="FootnoteReference"/>
          <w:sz w:val="16"/>
          <w:szCs w:val="16"/>
        </w:rPr>
        <w:footnoteRef/>
      </w:r>
      <w:r w:rsidRPr="00A44379">
        <w:rPr>
          <w:sz w:val="16"/>
          <w:szCs w:val="16"/>
        </w:rPr>
        <w:t xml:space="preserve"> </w:t>
      </w:r>
      <w:r w:rsidRPr="00A44379">
        <w:rPr>
          <w:rFonts w:cstheme="minorHAnsi"/>
          <w:sz w:val="16"/>
          <w:szCs w:val="16"/>
        </w:rPr>
        <w:t>Ibid., pp. 4-5</w:t>
      </w:r>
    </w:p>
  </w:footnote>
  <w:footnote w:id="17">
    <w:p w14:paraId="509AD085" w14:textId="77777777" w:rsidR="00922B3B" w:rsidRPr="00A44379" w:rsidRDefault="00922B3B" w:rsidP="00922B3B">
      <w:pPr>
        <w:pStyle w:val="FootnoteText"/>
        <w:rPr>
          <w:rFonts w:cstheme="minorHAnsi"/>
          <w:sz w:val="16"/>
          <w:szCs w:val="16"/>
        </w:rPr>
      </w:pPr>
      <w:r w:rsidRPr="00A44379">
        <w:rPr>
          <w:rStyle w:val="FootnoteReference"/>
          <w:rFonts w:cstheme="minorHAnsi"/>
          <w:sz w:val="16"/>
          <w:szCs w:val="16"/>
        </w:rPr>
        <w:footnoteRef/>
      </w:r>
      <w:r w:rsidRPr="00A44379">
        <w:rPr>
          <w:rFonts w:cstheme="minorHAnsi"/>
          <w:sz w:val="16"/>
          <w:szCs w:val="16"/>
        </w:rPr>
        <w:t xml:space="preserve"> Breeze, B., Wilkinson, I., Schuyt, T. N. M., &amp; Gouwenberg, op. </w:t>
      </w:r>
      <w:proofErr w:type="spellStart"/>
      <w:r w:rsidRPr="00A44379">
        <w:rPr>
          <w:rFonts w:cstheme="minorHAnsi"/>
          <w:sz w:val="16"/>
          <w:szCs w:val="16"/>
        </w:rPr>
        <w:t>cit</w:t>
      </w:r>
      <w:proofErr w:type="spellEnd"/>
      <w:r w:rsidRPr="00A44379">
        <w:rPr>
          <w:rFonts w:cstheme="minorHAnsi"/>
          <w:sz w:val="16"/>
          <w:szCs w:val="16"/>
        </w:rPr>
        <w:t>.</w:t>
      </w:r>
    </w:p>
  </w:footnote>
  <w:footnote w:id="18">
    <w:p w14:paraId="5E3E4CEA" w14:textId="77777777" w:rsidR="00922B3B" w:rsidRPr="00A44379" w:rsidRDefault="00922B3B" w:rsidP="00922B3B">
      <w:pPr>
        <w:pStyle w:val="FootnoteText"/>
        <w:rPr>
          <w:rFonts w:cstheme="minorHAnsi"/>
          <w:sz w:val="16"/>
          <w:szCs w:val="16"/>
        </w:rPr>
      </w:pPr>
      <w:r w:rsidRPr="00A44379">
        <w:rPr>
          <w:rStyle w:val="FootnoteReference"/>
          <w:rFonts w:cstheme="minorHAnsi"/>
          <w:sz w:val="16"/>
          <w:szCs w:val="16"/>
        </w:rPr>
        <w:footnoteRef/>
      </w:r>
      <w:r w:rsidRPr="00A44379">
        <w:rPr>
          <w:rFonts w:cstheme="minorHAnsi"/>
          <w:sz w:val="16"/>
          <w:szCs w:val="16"/>
        </w:rPr>
        <w:t xml:space="preserve"> </w:t>
      </w:r>
      <w:hyperlink r:id="rId6" w:history="1">
        <w:r w:rsidRPr="00A44379">
          <w:rPr>
            <w:rStyle w:val="Hyperlink"/>
            <w:rFonts w:cstheme="minorHAnsi"/>
            <w:sz w:val="16"/>
            <w:szCs w:val="16"/>
          </w:rPr>
          <w:t>www.euforistudy.eu</w:t>
        </w:r>
      </w:hyperlink>
      <w:r w:rsidRPr="00A44379">
        <w:rPr>
          <w:rFonts w:cstheme="minorHAnsi"/>
          <w:sz w:val="16"/>
          <w:szCs w:val="16"/>
        </w:rPr>
        <w:t xml:space="preserve"> </w:t>
      </w:r>
    </w:p>
  </w:footnote>
  <w:footnote w:id="19">
    <w:p w14:paraId="17199B9B" w14:textId="77777777" w:rsidR="00922B3B" w:rsidRPr="00A44379" w:rsidRDefault="00922B3B" w:rsidP="00922B3B">
      <w:pPr>
        <w:pStyle w:val="FootnoteText"/>
        <w:rPr>
          <w:sz w:val="16"/>
          <w:szCs w:val="16"/>
        </w:rPr>
      </w:pPr>
      <w:r w:rsidRPr="00A44379">
        <w:rPr>
          <w:rStyle w:val="FootnoteReference"/>
          <w:sz w:val="16"/>
          <w:szCs w:val="16"/>
        </w:rPr>
        <w:footnoteRef/>
      </w:r>
      <w:r w:rsidRPr="00A44379">
        <w:rPr>
          <w:sz w:val="16"/>
          <w:szCs w:val="16"/>
        </w:rPr>
        <w:t xml:space="preserve"> </w:t>
      </w:r>
      <w:hyperlink r:id="rId7" w:history="1">
        <w:r w:rsidRPr="00A44379">
          <w:rPr>
            <w:rStyle w:val="Hyperlink"/>
            <w:rFonts w:cstheme="minorHAnsi"/>
            <w:iCs/>
            <w:sz w:val="16"/>
            <w:szCs w:val="16"/>
          </w:rPr>
          <w:t>www.phisiconference.eu</w:t>
        </w:r>
      </w:hyperlink>
    </w:p>
  </w:footnote>
  <w:footnote w:id="20">
    <w:p w14:paraId="4C7340AE" w14:textId="77777777" w:rsidR="00922B3B" w:rsidRPr="00A44379" w:rsidRDefault="00922B3B" w:rsidP="00922B3B">
      <w:pPr>
        <w:pStyle w:val="FootnoteText"/>
        <w:rPr>
          <w:rFonts w:cstheme="minorHAnsi"/>
          <w:sz w:val="16"/>
          <w:szCs w:val="16"/>
        </w:rPr>
      </w:pPr>
      <w:r w:rsidRPr="00A44379">
        <w:rPr>
          <w:rStyle w:val="FootnoteReference"/>
          <w:rFonts w:cstheme="minorHAnsi"/>
          <w:sz w:val="16"/>
          <w:szCs w:val="16"/>
        </w:rPr>
        <w:footnoteRef/>
      </w:r>
      <w:r w:rsidRPr="00A44379">
        <w:rPr>
          <w:rFonts w:cstheme="minorHAnsi"/>
          <w:sz w:val="16"/>
          <w:szCs w:val="16"/>
        </w:rPr>
        <w:t xml:space="preserve"> </w:t>
      </w:r>
      <w:r w:rsidRPr="00A44379">
        <w:rPr>
          <w:rFonts w:cstheme="minorHAnsi"/>
          <w:snapToGrid w:val="0"/>
          <w:spacing w:val="-3"/>
          <w:sz w:val="16"/>
          <w:szCs w:val="16"/>
        </w:rPr>
        <w:t>Schuyt, T., &amp; Gouwenberg, B. (</w:t>
      </w:r>
      <w:proofErr w:type="spellStart"/>
      <w:r w:rsidRPr="00A44379">
        <w:rPr>
          <w:rFonts w:cstheme="minorHAnsi"/>
          <w:snapToGrid w:val="0"/>
          <w:spacing w:val="-3"/>
          <w:sz w:val="16"/>
          <w:szCs w:val="16"/>
        </w:rPr>
        <w:t>eds</w:t>
      </w:r>
      <w:proofErr w:type="spellEnd"/>
      <w:r w:rsidRPr="00A44379">
        <w:rPr>
          <w:rFonts w:cstheme="minorHAnsi"/>
          <w:snapToGrid w:val="0"/>
          <w:spacing w:val="-3"/>
          <w:sz w:val="16"/>
          <w:szCs w:val="16"/>
        </w:rPr>
        <w:t xml:space="preserve">.) </w:t>
      </w:r>
      <w:r w:rsidRPr="00A44379">
        <w:rPr>
          <w:rFonts w:cstheme="minorHAnsi"/>
          <w:snapToGrid w:val="0"/>
          <w:spacing w:val="-3"/>
          <w:sz w:val="16"/>
          <w:szCs w:val="16"/>
          <w:lang w:val="en-US"/>
        </w:rPr>
        <w:t xml:space="preserve">(2018), </w:t>
      </w:r>
      <w:r w:rsidRPr="00A44379">
        <w:rPr>
          <w:rFonts w:cstheme="minorHAnsi"/>
          <w:i/>
          <w:snapToGrid w:val="0"/>
          <w:spacing w:val="-3"/>
          <w:sz w:val="16"/>
          <w:szCs w:val="16"/>
          <w:lang w:val="en-US"/>
        </w:rPr>
        <w:t xml:space="preserve">Driving Progress for Research and Innovation in Europe: The Potential of R&amp;I Foundations. </w:t>
      </w:r>
      <w:r w:rsidRPr="00A44379">
        <w:rPr>
          <w:rFonts w:cstheme="minorHAnsi"/>
          <w:sz w:val="16"/>
          <w:szCs w:val="16"/>
          <w:lang w:val="en-US"/>
        </w:rPr>
        <w:t xml:space="preserve">Brussels: </w:t>
      </w:r>
      <w:r w:rsidRPr="00A44379">
        <w:rPr>
          <w:rFonts w:cstheme="minorHAnsi"/>
          <w:snapToGrid w:val="0"/>
          <w:spacing w:val="-3"/>
          <w:sz w:val="16"/>
          <w:szCs w:val="16"/>
          <w:lang w:val="en-US"/>
        </w:rPr>
        <w:t xml:space="preserve">European Commission, Directorate-General for Research and Innovation, </w:t>
      </w:r>
      <w:r w:rsidRPr="00A44379">
        <w:rPr>
          <w:rFonts w:cstheme="minorHAnsi"/>
          <w:snapToGrid w:val="0"/>
          <w:spacing w:val="-2"/>
          <w:sz w:val="16"/>
          <w:szCs w:val="16"/>
          <w:lang w:val="en-US"/>
        </w:rPr>
        <w:t xml:space="preserve">Directorate </w:t>
      </w:r>
      <w:r w:rsidRPr="00A44379">
        <w:rPr>
          <w:rFonts w:cstheme="minorHAnsi"/>
          <w:snapToGrid w:val="0"/>
          <w:spacing w:val="-3"/>
          <w:sz w:val="16"/>
          <w:szCs w:val="16"/>
          <w:lang w:val="en-US"/>
        </w:rPr>
        <w:t xml:space="preserve">B – Open Innovation and Open Science, </w:t>
      </w:r>
      <w:r w:rsidRPr="00A44379">
        <w:rPr>
          <w:rFonts w:cstheme="minorHAnsi"/>
          <w:snapToGrid w:val="0"/>
          <w:spacing w:val="-2"/>
          <w:sz w:val="16"/>
          <w:szCs w:val="16"/>
          <w:lang w:val="en-US"/>
        </w:rPr>
        <w:t xml:space="preserve">Unit </w:t>
      </w:r>
      <w:r w:rsidRPr="00A44379">
        <w:rPr>
          <w:rFonts w:cstheme="minorHAnsi"/>
          <w:snapToGrid w:val="0"/>
          <w:spacing w:val="-3"/>
          <w:sz w:val="16"/>
          <w:szCs w:val="16"/>
          <w:lang w:val="en-US"/>
        </w:rPr>
        <w:t xml:space="preserve">B3 – SMEs, Financial instruments and State Aid. </w:t>
      </w:r>
      <w:r w:rsidRPr="00A44379">
        <w:rPr>
          <w:rFonts w:cstheme="minorHAnsi"/>
          <w:snapToGrid w:val="0"/>
          <w:spacing w:val="-3"/>
          <w:sz w:val="16"/>
          <w:szCs w:val="16"/>
        </w:rPr>
        <w:t>ISBN 978-92-79-86892-4.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016D"/>
    <w:multiLevelType w:val="hybridMultilevel"/>
    <w:tmpl w:val="B8C867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291EAB"/>
    <w:multiLevelType w:val="hybridMultilevel"/>
    <w:tmpl w:val="6234F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743351"/>
    <w:multiLevelType w:val="hybridMultilevel"/>
    <w:tmpl w:val="D4045E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89207A"/>
    <w:multiLevelType w:val="hybridMultilevel"/>
    <w:tmpl w:val="9F8644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43A6F72"/>
    <w:multiLevelType w:val="hybridMultilevel"/>
    <w:tmpl w:val="9F8644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95E6D68"/>
    <w:multiLevelType w:val="multilevel"/>
    <w:tmpl w:val="DA14C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632998">
    <w:abstractNumId w:val="0"/>
  </w:num>
  <w:num w:numId="2" w16cid:durableId="388000850">
    <w:abstractNumId w:val="5"/>
  </w:num>
  <w:num w:numId="3" w16cid:durableId="697007322">
    <w:abstractNumId w:val="1"/>
  </w:num>
  <w:num w:numId="4" w16cid:durableId="1947693658">
    <w:abstractNumId w:val="2"/>
  </w:num>
  <w:num w:numId="5" w16cid:durableId="1636371041">
    <w:abstractNumId w:val="3"/>
  </w:num>
  <w:num w:numId="6" w16cid:durableId="1158116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MjYwMzcysrCwtDRV0lEKTi0uzszPAykwrAUAa57lXiwAAAA="/>
  </w:docVars>
  <w:rsids>
    <w:rsidRoot w:val="0077286B"/>
    <w:rsid w:val="00002138"/>
    <w:rsid w:val="00007619"/>
    <w:rsid w:val="000077B6"/>
    <w:rsid w:val="000130CE"/>
    <w:rsid w:val="00013E2A"/>
    <w:rsid w:val="000149D5"/>
    <w:rsid w:val="00026A6E"/>
    <w:rsid w:val="00027E87"/>
    <w:rsid w:val="00041362"/>
    <w:rsid w:val="00043D15"/>
    <w:rsid w:val="00077931"/>
    <w:rsid w:val="00083785"/>
    <w:rsid w:val="000839B4"/>
    <w:rsid w:val="00087188"/>
    <w:rsid w:val="00095E60"/>
    <w:rsid w:val="000A5E70"/>
    <w:rsid w:val="000B4501"/>
    <w:rsid w:val="000B6CDE"/>
    <w:rsid w:val="000C195D"/>
    <w:rsid w:val="000C1BE8"/>
    <w:rsid w:val="000C55D1"/>
    <w:rsid w:val="000D06D8"/>
    <w:rsid w:val="000E2CF6"/>
    <w:rsid w:val="000E7410"/>
    <w:rsid w:val="001055F7"/>
    <w:rsid w:val="0012118B"/>
    <w:rsid w:val="00121638"/>
    <w:rsid w:val="001238BB"/>
    <w:rsid w:val="00141AF1"/>
    <w:rsid w:val="001434F5"/>
    <w:rsid w:val="00153323"/>
    <w:rsid w:val="001541F9"/>
    <w:rsid w:val="0016157A"/>
    <w:rsid w:val="001631C1"/>
    <w:rsid w:val="001669D3"/>
    <w:rsid w:val="00176197"/>
    <w:rsid w:val="00182698"/>
    <w:rsid w:val="00191A43"/>
    <w:rsid w:val="00193972"/>
    <w:rsid w:val="0019640C"/>
    <w:rsid w:val="0019751C"/>
    <w:rsid w:val="001A3DFC"/>
    <w:rsid w:val="001A704E"/>
    <w:rsid w:val="001C42AE"/>
    <w:rsid w:val="001F0820"/>
    <w:rsid w:val="00211B00"/>
    <w:rsid w:val="00214F8C"/>
    <w:rsid w:val="00216C25"/>
    <w:rsid w:val="0022527E"/>
    <w:rsid w:val="0024049B"/>
    <w:rsid w:val="00250693"/>
    <w:rsid w:val="00274AA3"/>
    <w:rsid w:val="00275164"/>
    <w:rsid w:val="00281060"/>
    <w:rsid w:val="0029783D"/>
    <w:rsid w:val="002A2800"/>
    <w:rsid w:val="002B101D"/>
    <w:rsid w:val="002B2AD7"/>
    <w:rsid w:val="002B3A5F"/>
    <w:rsid w:val="002B53DF"/>
    <w:rsid w:val="002B7137"/>
    <w:rsid w:val="002B7BDA"/>
    <w:rsid w:val="002C4221"/>
    <w:rsid w:val="002D507E"/>
    <w:rsid w:val="002E3B0F"/>
    <w:rsid w:val="002E4BF3"/>
    <w:rsid w:val="002E5B73"/>
    <w:rsid w:val="002E7433"/>
    <w:rsid w:val="002F50AA"/>
    <w:rsid w:val="00306D24"/>
    <w:rsid w:val="00317D92"/>
    <w:rsid w:val="003377AD"/>
    <w:rsid w:val="00340ABD"/>
    <w:rsid w:val="00352326"/>
    <w:rsid w:val="003553B9"/>
    <w:rsid w:val="003615AE"/>
    <w:rsid w:val="003671E7"/>
    <w:rsid w:val="003746BE"/>
    <w:rsid w:val="0038055C"/>
    <w:rsid w:val="00383B82"/>
    <w:rsid w:val="00385D74"/>
    <w:rsid w:val="00392F4F"/>
    <w:rsid w:val="003A028F"/>
    <w:rsid w:val="003A1A9B"/>
    <w:rsid w:val="003B11A5"/>
    <w:rsid w:val="003B3D73"/>
    <w:rsid w:val="003C1616"/>
    <w:rsid w:val="003C381B"/>
    <w:rsid w:val="003C6A2A"/>
    <w:rsid w:val="003D02DC"/>
    <w:rsid w:val="003F26A9"/>
    <w:rsid w:val="00401D03"/>
    <w:rsid w:val="00405A4B"/>
    <w:rsid w:val="00406342"/>
    <w:rsid w:val="00413E19"/>
    <w:rsid w:val="00420986"/>
    <w:rsid w:val="004250E4"/>
    <w:rsid w:val="0042734C"/>
    <w:rsid w:val="004323CA"/>
    <w:rsid w:val="004331EA"/>
    <w:rsid w:val="00444639"/>
    <w:rsid w:val="00446EAE"/>
    <w:rsid w:val="00452E83"/>
    <w:rsid w:val="00454906"/>
    <w:rsid w:val="004640DD"/>
    <w:rsid w:val="00474289"/>
    <w:rsid w:val="00474E7C"/>
    <w:rsid w:val="004813B0"/>
    <w:rsid w:val="00483431"/>
    <w:rsid w:val="00492F14"/>
    <w:rsid w:val="0049434D"/>
    <w:rsid w:val="004A1271"/>
    <w:rsid w:val="004B0E60"/>
    <w:rsid w:val="004C3A5F"/>
    <w:rsid w:val="004C4D4B"/>
    <w:rsid w:val="004E29A5"/>
    <w:rsid w:val="004E4FFF"/>
    <w:rsid w:val="004E6FCA"/>
    <w:rsid w:val="004F45B1"/>
    <w:rsid w:val="004F736A"/>
    <w:rsid w:val="00506B67"/>
    <w:rsid w:val="00512DAF"/>
    <w:rsid w:val="00525389"/>
    <w:rsid w:val="0052645C"/>
    <w:rsid w:val="00534485"/>
    <w:rsid w:val="00537935"/>
    <w:rsid w:val="005400B1"/>
    <w:rsid w:val="00554870"/>
    <w:rsid w:val="00555DC0"/>
    <w:rsid w:val="00563736"/>
    <w:rsid w:val="0057003E"/>
    <w:rsid w:val="005778C3"/>
    <w:rsid w:val="005818FA"/>
    <w:rsid w:val="00582519"/>
    <w:rsid w:val="0058302D"/>
    <w:rsid w:val="00593A0C"/>
    <w:rsid w:val="005A6E55"/>
    <w:rsid w:val="005B2FB4"/>
    <w:rsid w:val="005B3E48"/>
    <w:rsid w:val="005C3BF2"/>
    <w:rsid w:val="005C6D6B"/>
    <w:rsid w:val="005D4427"/>
    <w:rsid w:val="005D6343"/>
    <w:rsid w:val="005E42B3"/>
    <w:rsid w:val="005F0FAC"/>
    <w:rsid w:val="005F3802"/>
    <w:rsid w:val="005F4203"/>
    <w:rsid w:val="00601482"/>
    <w:rsid w:val="00611B63"/>
    <w:rsid w:val="0061334E"/>
    <w:rsid w:val="00625B8C"/>
    <w:rsid w:val="006322C0"/>
    <w:rsid w:val="0063603E"/>
    <w:rsid w:val="00641BC3"/>
    <w:rsid w:val="00643FF5"/>
    <w:rsid w:val="006552E1"/>
    <w:rsid w:val="00656A65"/>
    <w:rsid w:val="00665476"/>
    <w:rsid w:val="006765AC"/>
    <w:rsid w:val="00682893"/>
    <w:rsid w:val="00691C33"/>
    <w:rsid w:val="006B3540"/>
    <w:rsid w:val="006C5665"/>
    <w:rsid w:val="006D21F8"/>
    <w:rsid w:val="006D3C4F"/>
    <w:rsid w:val="006D4E00"/>
    <w:rsid w:val="006E0056"/>
    <w:rsid w:val="006E0BFA"/>
    <w:rsid w:val="006E3D37"/>
    <w:rsid w:val="006F0F19"/>
    <w:rsid w:val="006F12FF"/>
    <w:rsid w:val="006F580E"/>
    <w:rsid w:val="00706815"/>
    <w:rsid w:val="00706B33"/>
    <w:rsid w:val="007100C5"/>
    <w:rsid w:val="007103EE"/>
    <w:rsid w:val="007141E5"/>
    <w:rsid w:val="007176DC"/>
    <w:rsid w:val="00717DEC"/>
    <w:rsid w:val="00723A50"/>
    <w:rsid w:val="00734717"/>
    <w:rsid w:val="007374A4"/>
    <w:rsid w:val="00737A22"/>
    <w:rsid w:val="00745B9B"/>
    <w:rsid w:val="00745C47"/>
    <w:rsid w:val="00746E7E"/>
    <w:rsid w:val="00760CBE"/>
    <w:rsid w:val="0076157A"/>
    <w:rsid w:val="00762387"/>
    <w:rsid w:val="007654CC"/>
    <w:rsid w:val="0077286B"/>
    <w:rsid w:val="0077575C"/>
    <w:rsid w:val="00777256"/>
    <w:rsid w:val="00777435"/>
    <w:rsid w:val="007843EC"/>
    <w:rsid w:val="00795582"/>
    <w:rsid w:val="007A6F00"/>
    <w:rsid w:val="007A7B78"/>
    <w:rsid w:val="007B435F"/>
    <w:rsid w:val="007B765E"/>
    <w:rsid w:val="007C790A"/>
    <w:rsid w:val="007D66EA"/>
    <w:rsid w:val="007E2844"/>
    <w:rsid w:val="007F7078"/>
    <w:rsid w:val="00805085"/>
    <w:rsid w:val="00814BA6"/>
    <w:rsid w:val="008211AB"/>
    <w:rsid w:val="00824533"/>
    <w:rsid w:val="008272E4"/>
    <w:rsid w:val="00827716"/>
    <w:rsid w:val="00827D72"/>
    <w:rsid w:val="00831E62"/>
    <w:rsid w:val="00832758"/>
    <w:rsid w:val="00837F88"/>
    <w:rsid w:val="008611FC"/>
    <w:rsid w:val="008756FB"/>
    <w:rsid w:val="00875802"/>
    <w:rsid w:val="00877C33"/>
    <w:rsid w:val="00897578"/>
    <w:rsid w:val="008B1C9F"/>
    <w:rsid w:val="008C2654"/>
    <w:rsid w:val="008E3861"/>
    <w:rsid w:val="008F1B98"/>
    <w:rsid w:val="008F599A"/>
    <w:rsid w:val="0090350E"/>
    <w:rsid w:val="00903704"/>
    <w:rsid w:val="009045EA"/>
    <w:rsid w:val="00911C1D"/>
    <w:rsid w:val="00922B3B"/>
    <w:rsid w:val="0092614F"/>
    <w:rsid w:val="00946F0B"/>
    <w:rsid w:val="0094797F"/>
    <w:rsid w:val="00952605"/>
    <w:rsid w:val="00977028"/>
    <w:rsid w:val="009A21BC"/>
    <w:rsid w:val="009B18D5"/>
    <w:rsid w:val="009C1F3E"/>
    <w:rsid w:val="009C21DC"/>
    <w:rsid w:val="009C597B"/>
    <w:rsid w:val="009D02A8"/>
    <w:rsid w:val="009D4134"/>
    <w:rsid w:val="009E5F62"/>
    <w:rsid w:val="009E6C63"/>
    <w:rsid w:val="00A009B6"/>
    <w:rsid w:val="00A05CF4"/>
    <w:rsid w:val="00A07C24"/>
    <w:rsid w:val="00A10E2E"/>
    <w:rsid w:val="00A17787"/>
    <w:rsid w:val="00A44379"/>
    <w:rsid w:val="00A460BD"/>
    <w:rsid w:val="00A530C9"/>
    <w:rsid w:val="00A56BAD"/>
    <w:rsid w:val="00A62001"/>
    <w:rsid w:val="00A6362D"/>
    <w:rsid w:val="00A840A1"/>
    <w:rsid w:val="00A91349"/>
    <w:rsid w:val="00AA3D15"/>
    <w:rsid w:val="00AA6241"/>
    <w:rsid w:val="00AC0790"/>
    <w:rsid w:val="00AC28DE"/>
    <w:rsid w:val="00AC3330"/>
    <w:rsid w:val="00AC4ED1"/>
    <w:rsid w:val="00AC5610"/>
    <w:rsid w:val="00AD608A"/>
    <w:rsid w:val="00AE34B8"/>
    <w:rsid w:val="00AE7B20"/>
    <w:rsid w:val="00B051D4"/>
    <w:rsid w:val="00B12B70"/>
    <w:rsid w:val="00B2768E"/>
    <w:rsid w:val="00B316EC"/>
    <w:rsid w:val="00B415E7"/>
    <w:rsid w:val="00B42822"/>
    <w:rsid w:val="00B55A15"/>
    <w:rsid w:val="00B6484F"/>
    <w:rsid w:val="00B71863"/>
    <w:rsid w:val="00B76909"/>
    <w:rsid w:val="00B9055F"/>
    <w:rsid w:val="00BB1D83"/>
    <w:rsid w:val="00BB76FD"/>
    <w:rsid w:val="00BB7F01"/>
    <w:rsid w:val="00BC735B"/>
    <w:rsid w:val="00BD7022"/>
    <w:rsid w:val="00BE35E9"/>
    <w:rsid w:val="00C164B4"/>
    <w:rsid w:val="00C2048F"/>
    <w:rsid w:val="00C23EEB"/>
    <w:rsid w:val="00C2675A"/>
    <w:rsid w:val="00C32083"/>
    <w:rsid w:val="00C33A2C"/>
    <w:rsid w:val="00C35367"/>
    <w:rsid w:val="00C421DA"/>
    <w:rsid w:val="00C4547B"/>
    <w:rsid w:val="00C46A86"/>
    <w:rsid w:val="00C62A41"/>
    <w:rsid w:val="00C62CA5"/>
    <w:rsid w:val="00C64898"/>
    <w:rsid w:val="00C76EE8"/>
    <w:rsid w:val="00C80740"/>
    <w:rsid w:val="00C80856"/>
    <w:rsid w:val="00C8369B"/>
    <w:rsid w:val="00C83CB4"/>
    <w:rsid w:val="00C90596"/>
    <w:rsid w:val="00C94DB2"/>
    <w:rsid w:val="00CC2B50"/>
    <w:rsid w:val="00CC406B"/>
    <w:rsid w:val="00CD7A03"/>
    <w:rsid w:val="00CF3C5D"/>
    <w:rsid w:val="00D04747"/>
    <w:rsid w:val="00D07252"/>
    <w:rsid w:val="00D25776"/>
    <w:rsid w:val="00D26364"/>
    <w:rsid w:val="00D30FAA"/>
    <w:rsid w:val="00D37C81"/>
    <w:rsid w:val="00D40868"/>
    <w:rsid w:val="00D501FE"/>
    <w:rsid w:val="00D506F0"/>
    <w:rsid w:val="00D51148"/>
    <w:rsid w:val="00D665F1"/>
    <w:rsid w:val="00D76575"/>
    <w:rsid w:val="00D806E4"/>
    <w:rsid w:val="00D812E9"/>
    <w:rsid w:val="00D93A0B"/>
    <w:rsid w:val="00D9594C"/>
    <w:rsid w:val="00DA0355"/>
    <w:rsid w:val="00DA0D83"/>
    <w:rsid w:val="00DC13ED"/>
    <w:rsid w:val="00DC42EE"/>
    <w:rsid w:val="00DD25A0"/>
    <w:rsid w:val="00DD5D99"/>
    <w:rsid w:val="00DD67CF"/>
    <w:rsid w:val="00DE10E4"/>
    <w:rsid w:val="00E0157E"/>
    <w:rsid w:val="00E06F93"/>
    <w:rsid w:val="00E07B86"/>
    <w:rsid w:val="00E13BFD"/>
    <w:rsid w:val="00E2240C"/>
    <w:rsid w:val="00E311BA"/>
    <w:rsid w:val="00E33137"/>
    <w:rsid w:val="00E36F0E"/>
    <w:rsid w:val="00E44D2D"/>
    <w:rsid w:val="00E453A2"/>
    <w:rsid w:val="00E47CF8"/>
    <w:rsid w:val="00E52B5C"/>
    <w:rsid w:val="00E6248A"/>
    <w:rsid w:val="00E653BF"/>
    <w:rsid w:val="00E70F56"/>
    <w:rsid w:val="00E752DF"/>
    <w:rsid w:val="00E85B76"/>
    <w:rsid w:val="00E918A7"/>
    <w:rsid w:val="00E97633"/>
    <w:rsid w:val="00EA2B26"/>
    <w:rsid w:val="00EA44AF"/>
    <w:rsid w:val="00EC38D9"/>
    <w:rsid w:val="00EC7D45"/>
    <w:rsid w:val="00ED15BC"/>
    <w:rsid w:val="00ED63F5"/>
    <w:rsid w:val="00EE0CAD"/>
    <w:rsid w:val="00EF00BA"/>
    <w:rsid w:val="00F00311"/>
    <w:rsid w:val="00F01A27"/>
    <w:rsid w:val="00F14E6A"/>
    <w:rsid w:val="00F175C7"/>
    <w:rsid w:val="00F22339"/>
    <w:rsid w:val="00F30A21"/>
    <w:rsid w:val="00F3672D"/>
    <w:rsid w:val="00F36AC0"/>
    <w:rsid w:val="00F40E0E"/>
    <w:rsid w:val="00F41C69"/>
    <w:rsid w:val="00F4567E"/>
    <w:rsid w:val="00F521DA"/>
    <w:rsid w:val="00F62CC2"/>
    <w:rsid w:val="00F81320"/>
    <w:rsid w:val="00F94B51"/>
    <w:rsid w:val="00F9785F"/>
    <w:rsid w:val="00FA4F53"/>
    <w:rsid w:val="00FC485A"/>
    <w:rsid w:val="00FC61BB"/>
    <w:rsid w:val="00FE1214"/>
    <w:rsid w:val="00FE2B47"/>
    <w:rsid w:val="00FF5E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A462"/>
  <w15:chartTrackingRefBased/>
  <w15:docId w15:val="{3DC5B7F5-4E2F-4C4D-A0CA-997B2474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86B"/>
  </w:style>
  <w:style w:type="paragraph" w:styleId="Heading1">
    <w:name w:val="heading 1"/>
    <w:basedOn w:val="Normal"/>
    <w:link w:val="Heading1Char"/>
    <w:uiPriority w:val="9"/>
    <w:qFormat/>
    <w:rsid w:val="00656A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7286B"/>
    <w:pPr>
      <w:spacing w:after="0" w:line="240" w:lineRule="auto"/>
    </w:pPr>
    <w:rPr>
      <w:sz w:val="20"/>
      <w:szCs w:val="20"/>
    </w:rPr>
  </w:style>
  <w:style w:type="character" w:customStyle="1" w:styleId="FootnoteTextChar">
    <w:name w:val="Footnote Text Char"/>
    <w:basedOn w:val="DefaultParagraphFont"/>
    <w:link w:val="FootnoteText"/>
    <w:rsid w:val="0077286B"/>
    <w:rPr>
      <w:sz w:val="20"/>
      <w:szCs w:val="20"/>
    </w:rPr>
  </w:style>
  <w:style w:type="character" w:styleId="FootnoteReference">
    <w:name w:val="footnote reference"/>
    <w:basedOn w:val="DefaultParagraphFont"/>
    <w:unhideWhenUsed/>
    <w:rsid w:val="0077286B"/>
    <w:rPr>
      <w:vertAlign w:val="superscript"/>
    </w:rPr>
  </w:style>
  <w:style w:type="character" w:customStyle="1" w:styleId="apple-converted-space">
    <w:name w:val="apple-converted-space"/>
    <w:rsid w:val="0077286B"/>
  </w:style>
  <w:style w:type="paragraph" w:styleId="EndnoteText">
    <w:name w:val="endnote text"/>
    <w:basedOn w:val="Normal"/>
    <w:link w:val="EndnoteTextChar"/>
    <w:rsid w:val="00C32083"/>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C32083"/>
    <w:rPr>
      <w:rFonts w:ascii="Times New Roman" w:eastAsia="Times New Roman" w:hAnsi="Times New Roman" w:cs="Times New Roman"/>
      <w:sz w:val="20"/>
      <w:szCs w:val="20"/>
      <w:lang w:val="en-GB"/>
    </w:rPr>
  </w:style>
  <w:style w:type="character" w:customStyle="1" w:styleId="tlid-translation">
    <w:name w:val="tlid-translation"/>
    <w:basedOn w:val="DefaultParagraphFont"/>
    <w:rsid w:val="009B18D5"/>
  </w:style>
  <w:style w:type="paragraph" w:customStyle="1" w:styleId="Normaa">
    <w:name w:val="Normaa"/>
    <w:rsid w:val="009B18D5"/>
    <w:pPr>
      <w:spacing w:after="0" w:line="240" w:lineRule="auto"/>
      <w:jc w:val="both"/>
    </w:pPr>
    <w:rPr>
      <w:rFonts w:ascii="Calibri" w:eastAsia="Times New Roman" w:hAnsi="Calibri" w:cs="Times New Roman"/>
      <w:szCs w:val="24"/>
      <w:lang w:eastAsia="nl-NL" w:bidi="en-US"/>
    </w:rPr>
  </w:style>
  <w:style w:type="paragraph" w:styleId="ListParagraph">
    <w:name w:val="List Paragraph"/>
    <w:basedOn w:val="Normal"/>
    <w:uiPriority w:val="34"/>
    <w:qFormat/>
    <w:rsid w:val="009C597B"/>
    <w:pPr>
      <w:ind w:left="720"/>
      <w:contextualSpacing/>
    </w:pPr>
  </w:style>
  <w:style w:type="character" w:customStyle="1" w:styleId="Heading1Char">
    <w:name w:val="Heading 1 Char"/>
    <w:basedOn w:val="DefaultParagraphFont"/>
    <w:link w:val="Heading1"/>
    <w:uiPriority w:val="9"/>
    <w:rsid w:val="00656A65"/>
    <w:rPr>
      <w:rFonts w:ascii="Times New Roman" w:eastAsia="Times New Roman" w:hAnsi="Times New Roman" w:cs="Times New Roman"/>
      <w:b/>
      <w:bCs/>
      <w:kern w:val="36"/>
      <w:sz w:val="48"/>
      <w:szCs w:val="48"/>
      <w:lang w:eastAsia="nl-NL"/>
    </w:rPr>
  </w:style>
  <w:style w:type="character" w:styleId="Hyperlink">
    <w:name w:val="Hyperlink"/>
    <w:basedOn w:val="DefaultParagraphFont"/>
    <w:uiPriority w:val="99"/>
    <w:unhideWhenUsed/>
    <w:rsid w:val="00656A65"/>
    <w:rPr>
      <w:color w:val="0000FF"/>
      <w:u w:val="single"/>
    </w:rPr>
  </w:style>
  <w:style w:type="paragraph" w:customStyle="1" w:styleId="menu-item">
    <w:name w:val="menu-item"/>
    <w:basedOn w:val="Normal"/>
    <w:rsid w:val="00656A6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eglot-parent-menu-item">
    <w:name w:val="weglot-parent-menu-item"/>
    <w:basedOn w:val="Normal"/>
    <w:rsid w:val="00656A6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eglot-lang">
    <w:name w:val="weglot-lang"/>
    <w:basedOn w:val="Normal"/>
    <w:rsid w:val="00656A6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js-search">
    <w:name w:val="js-search"/>
    <w:basedOn w:val="Normal"/>
    <w:rsid w:val="00656A6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eader">
    <w:name w:val="header"/>
    <w:basedOn w:val="Normal"/>
    <w:link w:val="HeaderChar"/>
    <w:uiPriority w:val="99"/>
    <w:unhideWhenUsed/>
    <w:rsid w:val="00D812E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12E9"/>
  </w:style>
  <w:style w:type="paragraph" w:styleId="Footer">
    <w:name w:val="footer"/>
    <w:basedOn w:val="Normal"/>
    <w:link w:val="FooterChar"/>
    <w:uiPriority w:val="99"/>
    <w:unhideWhenUsed/>
    <w:rsid w:val="00D812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12E9"/>
  </w:style>
  <w:style w:type="character" w:customStyle="1" w:styleId="accordion-tabbedtab-mobile">
    <w:name w:val="accordion-tabbed__tab-mobile"/>
    <w:basedOn w:val="DefaultParagraphFont"/>
    <w:rsid w:val="005D6343"/>
  </w:style>
  <w:style w:type="character" w:customStyle="1" w:styleId="comma-separator">
    <w:name w:val="comma-separator"/>
    <w:basedOn w:val="DefaultParagraphFont"/>
    <w:rsid w:val="005D6343"/>
  </w:style>
  <w:style w:type="character" w:customStyle="1" w:styleId="epub-state">
    <w:name w:val="epub-state"/>
    <w:basedOn w:val="DefaultParagraphFont"/>
    <w:rsid w:val="005D6343"/>
  </w:style>
  <w:style w:type="character" w:customStyle="1" w:styleId="epub-date">
    <w:name w:val="epub-date"/>
    <w:basedOn w:val="DefaultParagraphFont"/>
    <w:rsid w:val="005D6343"/>
  </w:style>
  <w:style w:type="character" w:styleId="UnresolvedMention">
    <w:name w:val="Unresolved Mention"/>
    <w:basedOn w:val="DefaultParagraphFont"/>
    <w:uiPriority w:val="99"/>
    <w:semiHidden/>
    <w:unhideWhenUsed/>
    <w:rsid w:val="00AE34B8"/>
    <w:rPr>
      <w:color w:val="605E5C"/>
      <w:shd w:val="clear" w:color="auto" w:fill="E1DFDD"/>
    </w:rPr>
  </w:style>
  <w:style w:type="paragraph" w:styleId="CommentText">
    <w:name w:val="annotation text"/>
    <w:basedOn w:val="Normal"/>
    <w:link w:val="CommentTextChar"/>
    <w:uiPriority w:val="99"/>
    <w:rsid w:val="00C76EE8"/>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C76E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276038">
      <w:bodyDiv w:val="1"/>
      <w:marLeft w:val="0"/>
      <w:marRight w:val="0"/>
      <w:marTop w:val="0"/>
      <w:marBottom w:val="0"/>
      <w:divBdr>
        <w:top w:val="none" w:sz="0" w:space="0" w:color="auto"/>
        <w:left w:val="none" w:sz="0" w:space="0" w:color="auto"/>
        <w:bottom w:val="none" w:sz="0" w:space="0" w:color="auto"/>
        <w:right w:val="none" w:sz="0" w:space="0" w:color="auto"/>
      </w:divBdr>
      <w:divsChild>
        <w:div w:id="622493299">
          <w:marLeft w:val="0"/>
          <w:marRight w:val="0"/>
          <w:marTop w:val="0"/>
          <w:marBottom w:val="0"/>
          <w:divBdr>
            <w:top w:val="none" w:sz="0" w:space="0" w:color="auto"/>
            <w:left w:val="none" w:sz="0" w:space="0" w:color="auto"/>
            <w:bottom w:val="none" w:sz="0" w:space="0" w:color="auto"/>
            <w:right w:val="none" w:sz="0" w:space="0" w:color="auto"/>
          </w:divBdr>
          <w:divsChild>
            <w:div w:id="1301152419">
              <w:marLeft w:val="0"/>
              <w:marRight w:val="0"/>
              <w:marTop w:val="0"/>
              <w:marBottom w:val="0"/>
              <w:divBdr>
                <w:top w:val="none" w:sz="0" w:space="0" w:color="auto"/>
                <w:left w:val="none" w:sz="0" w:space="0" w:color="auto"/>
                <w:bottom w:val="none" w:sz="0" w:space="0" w:color="auto"/>
                <w:right w:val="none" w:sz="0" w:space="0" w:color="auto"/>
              </w:divBdr>
              <w:divsChild>
                <w:div w:id="3946295">
                  <w:marLeft w:val="0"/>
                  <w:marRight w:val="0"/>
                  <w:marTop w:val="0"/>
                  <w:marBottom w:val="0"/>
                  <w:divBdr>
                    <w:top w:val="none" w:sz="0" w:space="0" w:color="auto"/>
                    <w:left w:val="none" w:sz="0" w:space="0" w:color="auto"/>
                    <w:bottom w:val="none" w:sz="0" w:space="0" w:color="auto"/>
                    <w:right w:val="none" w:sz="0" w:space="0" w:color="auto"/>
                  </w:divBdr>
                  <w:divsChild>
                    <w:div w:id="1010982945">
                      <w:marLeft w:val="0"/>
                      <w:marRight w:val="0"/>
                      <w:marTop w:val="0"/>
                      <w:marBottom w:val="0"/>
                      <w:divBdr>
                        <w:top w:val="none" w:sz="0" w:space="0" w:color="auto"/>
                        <w:left w:val="none" w:sz="0" w:space="0" w:color="auto"/>
                        <w:bottom w:val="none" w:sz="0" w:space="0" w:color="auto"/>
                        <w:right w:val="none" w:sz="0" w:space="0" w:color="auto"/>
                      </w:divBdr>
                      <w:divsChild>
                        <w:div w:id="916399231">
                          <w:marLeft w:val="0"/>
                          <w:marRight w:val="0"/>
                          <w:marTop w:val="0"/>
                          <w:marBottom w:val="0"/>
                          <w:divBdr>
                            <w:top w:val="none" w:sz="0" w:space="0" w:color="auto"/>
                            <w:left w:val="none" w:sz="0" w:space="0" w:color="auto"/>
                            <w:bottom w:val="none" w:sz="0" w:space="0" w:color="auto"/>
                            <w:right w:val="none" w:sz="0" w:space="0" w:color="auto"/>
                          </w:divBdr>
                        </w:div>
                      </w:divsChild>
                    </w:div>
                    <w:div w:id="899443523">
                      <w:marLeft w:val="0"/>
                      <w:marRight w:val="0"/>
                      <w:marTop w:val="0"/>
                      <w:marBottom w:val="0"/>
                      <w:divBdr>
                        <w:top w:val="none" w:sz="0" w:space="0" w:color="auto"/>
                        <w:left w:val="none" w:sz="0" w:space="0" w:color="auto"/>
                        <w:bottom w:val="none" w:sz="0" w:space="0" w:color="auto"/>
                        <w:right w:val="none" w:sz="0" w:space="0" w:color="auto"/>
                      </w:divBdr>
                      <w:divsChild>
                        <w:div w:id="16700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0369">
          <w:marLeft w:val="0"/>
          <w:marRight w:val="0"/>
          <w:marTop w:val="0"/>
          <w:marBottom w:val="0"/>
          <w:divBdr>
            <w:top w:val="none" w:sz="0" w:space="0" w:color="auto"/>
            <w:left w:val="none" w:sz="0" w:space="0" w:color="auto"/>
            <w:bottom w:val="none" w:sz="0" w:space="0" w:color="auto"/>
            <w:right w:val="none" w:sz="0" w:space="0" w:color="auto"/>
          </w:divBdr>
          <w:divsChild>
            <w:div w:id="1588417421">
              <w:marLeft w:val="0"/>
              <w:marRight w:val="0"/>
              <w:marTop w:val="0"/>
              <w:marBottom w:val="0"/>
              <w:divBdr>
                <w:top w:val="none" w:sz="0" w:space="0" w:color="auto"/>
                <w:left w:val="none" w:sz="0" w:space="0" w:color="auto"/>
                <w:bottom w:val="none" w:sz="0" w:space="0" w:color="auto"/>
                <w:right w:val="none" w:sz="0" w:space="0" w:color="auto"/>
              </w:divBdr>
              <w:divsChild>
                <w:div w:id="1403212521">
                  <w:marLeft w:val="0"/>
                  <w:marRight w:val="0"/>
                  <w:marTop w:val="0"/>
                  <w:marBottom w:val="0"/>
                  <w:divBdr>
                    <w:top w:val="none" w:sz="0" w:space="0" w:color="auto"/>
                    <w:left w:val="none" w:sz="0" w:space="0" w:color="auto"/>
                    <w:bottom w:val="none" w:sz="0" w:space="0" w:color="auto"/>
                    <w:right w:val="none" w:sz="0" w:space="0" w:color="auto"/>
                  </w:divBdr>
                  <w:divsChild>
                    <w:div w:id="1266615348">
                      <w:marLeft w:val="0"/>
                      <w:marRight w:val="0"/>
                      <w:marTop w:val="0"/>
                      <w:marBottom w:val="0"/>
                      <w:divBdr>
                        <w:top w:val="none" w:sz="0" w:space="0" w:color="auto"/>
                        <w:left w:val="none" w:sz="0" w:space="0" w:color="auto"/>
                        <w:bottom w:val="none" w:sz="0" w:space="0" w:color="auto"/>
                        <w:right w:val="none" w:sz="0" w:space="0" w:color="auto"/>
                      </w:divBdr>
                      <w:divsChild>
                        <w:div w:id="9251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88799">
      <w:bodyDiv w:val="1"/>
      <w:marLeft w:val="0"/>
      <w:marRight w:val="0"/>
      <w:marTop w:val="0"/>
      <w:marBottom w:val="0"/>
      <w:divBdr>
        <w:top w:val="none" w:sz="0" w:space="0" w:color="auto"/>
        <w:left w:val="none" w:sz="0" w:space="0" w:color="auto"/>
        <w:bottom w:val="none" w:sz="0" w:space="0" w:color="auto"/>
        <w:right w:val="none" w:sz="0" w:space="0" w:color="auto"/>
      </w:divBdr>
      <w:divsChild>
        <w:div w:id="640306099">
          <w:marLeft w:val="0"/>
          <w:marRight w:val="0"/>
          <w:marTop w:val="0"/>
          <w:marBottom w:val="0"/>
          <w:divBdr>
            <w:top w:val="none" w:sz="0" w:space="0" w:color="auto"/>
            <w:left w:val="none" w:sz="0" w:space="0" w:color="auto"/>
            <w:bottom w:val="none" w:sz="0" w:space="0" w:color="auto"/>
            <w:right w:val="none" w:sz="0" w:space="0" w:color="auto"/>
          </w:divBdr>
        </w:div>
        <w:div w:id="843283156">
          <w:marLeft w:val="0"/>
          <w:marRight w:val="0"/>
          <w:marTop w:val="0"/>
          <w:marBottom w:val="0"/>
          <w:divBdr>
            <w:top w:val="none" w:sz="0" w:space="0" w:color="auto"/>
            <w:left w:val="none" w:sz="0" w:space="0" w:color="auto"/>
            <w:bottom w:val="none" w:sz="0" w:space="0" w:color="auto"/>
            <w:right w:val="none" w:sz="0" w:space="0" w:color="auto"/>
          </w:divBdr>
          <w:divsChild>
            <w:div w:id="1470200758">
              <w:marLeft w:val="0"/>
              <w:marRight w:val="0"/>
              <w:marTop w:val="0"/>
              <w:marBottom w:val="0"/>
              <w:divBdr>
                <w:top w:val="none" w:sz="0" w:space="0" w:color="auto"/>
                <w:left w:val="none" w:sz="0" w:space="0" w:color="auto"/>
                <w:bottom w:val="none" w:sz="0" w:space="0" w:color="auto"/>
                <w:right w:val="none" w:sz="0" w:space="0" w:color="auto"/>
              </w:divBdr>
              <w:divsChild>
                <w:div w:id="796334870">
                  <w:marLeft w:val="0"/>
                  <w:marRight w:val="0"/>
                  <w:marTop w:val="0"/>
                  <w:marBottom w:val="0"/>
                  <w:divBdr>
                    <w:top w:val="none" w:sz="0" w:space="0" w:color="auto"/>
                    <w:left w:val="none" w:sz="0" w:space="0" w:color="auto"/>
                    <w:bottom w:val="none" w:sz="0" w:space="0" w:color="auto"/>
                    <w:right w:val="none" w:sz="0" w:space="0" w:color="auto"/>
                  </w:divBdr>
                </w:div>
                <w:div w:id="558396343">
                  <w:marLeft w:val="0"/>
                  <w:marRight w:val="0"/>
                  <w:marTop w:val="0"/>
                  <w:marBottom w:val="0"/>
                  <w:divBdr>
                    <w:top w:val="none" w:sz="0" w:space="0" w:color="auto"/>
                    <w:left w:val="none" w:sz="0" w:space="0" w:color="auto"/>
                    <w:bottom w:val="none" w:sz="0" w:space="0" w:color="auto"/>
                    <w:right w:val="none" w:sz="0" w:space="0" w:color="auto"/>
                  </w:divBdr>
                </w:div>
                <w:div w:id="17938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38664">
      <w:bodyDiv w:val="1"/>
      <w:marLeft w:val="0"/>
      <w:marRight w:val="0"/>
      <w:marTop w:val="0"/>
      <w:marBottom w:val="0"/>
      <w:divBdr>
        <w:top w:val="none" w:sz="0" w:space="0" w:color="auto"/>
        <w:left w:val="none" w:sz="0" w:space="0" w:color="auto"/>
        <w:bottom w:val="none" w:sz="0" w:space="0" w:color="auto"/>
        <w:right w:val="none" w:sz="0" w:space="0" w:color="auto"/>
      </w:divBdr>
      <w:divsChild>
        <w:div w:id="378286865">
          <w:marLeft w:val="0"/>
          <w:marRight w:val="0"/>
          <w:marTop w:val="0"/>
          <w:marBottom w:val="0"/>
          <w:divBdr>
            <w:top w:val="none" w:sz="0" w:space="0" w:color="auto"/>
            <w:left w:val="none" w:sz="0" w:space="0" w:color="auto"/>
            <w:bottom w:val="none" w:sz="0" w:space="0" w:color="auto"/>
            <w:right w:val="none" w:sz="0" w:space="0" w:color="auto"/>
          </w:divBdr>
          <w:divsChild>
            <w:div w:id="1841460246">
              <w:marLeft w:val="0"/>
              <w:marRight w:val="0"/>
              <w:marTop w:val="0"/>
              <w:marBottom w:val="0"/>
              <w:divBdr>
                <w:top w:val="none" w:sz="0" w:space="0" w:color="auto"/>
                <w:left w:val="none" w:sz="0" w:space="0" w:color="auto"/>
                <w:bottom w:val="none" w:sz="0" w:space="0" w:color="auto"/>
                <w:right w:val="none" w:sz="0" w:space="0" w:color="auto"/>
              </w:divBdr>
              <w:divsChild>
                <w:div w:id="316767911">
                  <w:marLeft w:val="0"/>
                  <w:marRight w:val="0"/>
                  <w:marTop w:val="0"/>
                  <w:marBottom w:val="0"/>
                  <w:divBdr>
                    <w:top w:val="none" w:sz="0" w:space="0" w:color="auto"/>
                    <w:left w:val="none" w:sz="0" w:space="0" w:color="auto"/>
                    <w:bottom w:val="none" w:sz="0" w:space="0" w:color="auto"/>
                    <w:right w:val="none" w:sz="0" w:space="0" w:color="auto"/>
                  </w:divBdr>
                  <w:divsChild>
                    <w:div w:id="7903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76605">
          <w:marLeft w:val="0"/>
          <w:marRight w:val="0"/>
          <w:marTop w:val="0"/>
          <w:marBottom w:val="0"/>
          <w:divBdr>
            <w:top w:val="none" w:sz="0" w:space="0" w:color="auto"/>
            <w:left w:val="none" w:sz="0" w:space="0" w:color="auto"/>
            <w:bottom w:val="none" w:sz="0" w:space="0" w:color="auto"/>
            <w:right w:val="none" w:sz="0" w:space="0" w:color="auto"/>
          </w:divBdr>
          <w:divsChild>
            <w:div w:id="553660857">
              <w:marLeft w:val="0"/>
              <w:marRight w:val="0"/>
              <w:marTop w:val="0"/>
              <w:marBottom w:val="0"/>
              <w:divBdr>
                <w:top w:val="none" w:sz="0" w:space="0" w:color="auto"/>
                <w:left w:val="none" w:sz="0" w:space="0" w:color="auto"/>
                <w:bottom w:val="none" w:sz="0" w:space="0" w:color="auto"/>
                <w:right w:val="none" w:sz="0" w:space="0" w:color="auto"/>
              </w:divBdr>
            </w:div>
            <w:div w:id="752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chuyt@vu.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besjournals.onlinelibrary.wiley.com/authored-by/Bodin/%C3%96rjan" TargetMode="External"/><Relationship Id="rId7" Type="http://schemas.openxmlformats.org/officeDocument/2006/relationships/hyperlink" Target="http://www.phisiconference.eu" TargetMode="External"/><Relationship Id="rId2" Type="http://schemas.openxmlformats.org/officeDocument/2006/relationships/hyperlink" Target="https://besjournals.onlinelibrary.wiley.com/authored-by/Hedlund/Johanna" TargetMode="External"/><Relationship Id="rId1" Type="http://schemas.openxmlformats.org/officeDocument/2006/relationships/hyperlink" Target="https://doi.org/10.1093/acrefore/9780190224851.013.158" TargetMode="External"/><Relationship Id="rId6" Type="http://schemas.openxmlformats.org/officeDocument/2006/relationships/hyperlink" Target="http://www.euforistudy.eu" TargetMode="External"/><Relationship Id="rId5" Type="http://schemas.openxmlformats.org/officeDocument/2006/relationships/hyperlink" Target="https://doi.org/10.1002/pan3.10170" TargetMode="External"/><Relationship Id="rId4" Type="http://schemas.openxmlformats.org/officeDocument/2006/relationships/hyperlink" Target="https://besjournals.onlinelibrary.wiley.com/authored-by/Nohrstedt/Dani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B35B5-8EEF-4FEA-A4D0-1E4227A5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5</Pages>
  <Words>2208</Words>
  <Characters>12587</Characters>
  <Application>Microsoft Office Word</Application>
  <DocSecurity>0</DocSecurity>
  <Lines>104</Lines>
  <Paragraphs>29</Paragraphs>
  <ScaleCrop>false</ScaleCrop>
  <Company>Vrije Universiteit</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Schuyt, T.N.M. (Theo)</dc:creator>
  <cp:keywords/>
  <dc:description/>
  <cp:lastModifiedBy>Mats Heemskerk</cp:lastModifiedBy>
  <cp:revision>368</cp:revision>
  <dcterms:created xsi:type="dcterms:W3CDTF">2023-05-30T10:43:00Z</dcterms:created>
  <dcterms:modified xsi:type="dcterms:W3CDTF">2023-06-06T11:04:00Z</dcterms:modified>
</cp:coreProperties>
</file>