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2FBA2C7" w:rsidR="004C4CF5" w:rsidRDefault="50371EC9" w:rsidP="6FF1A3C2">
      <w:pPr>
        <w:pStyle w:val="Normal0"/>
        <w:widowControl/>
        <w:pBdr>
          <w:top w:val="nil"/>
          <w:left w:val="nil"/>
          <w:bottom w:val="nil"/>
          <w:right w:val="nil"/>
          <w:between w:val="nil"/>
        </w:pBdr>
        <w:spacing w:after="240" w:line="400" w:lineRule="auto"/>
        <w:jc w:val="center"/>
        <w:rPr>
          <w:rFonts w:ascii="Calibri" w:eastAsia="Calibri" w:hAnsi="Calibri" w:cs="Calibri"/>
          <w:sz w:val="36"/>
          <w:szCs w:val="36"/>
        </w:rPr>
      </w:pPr>
      <w:r w:rsidRPr="6FF1A3C2">
        <w:rPr>
          <w:rFonts w:ascii="Calibri" w:eastAsia="Calibri" w:hAnsi="Calibri" w:cs="Calibri"/>
          <w:sz w:val="36"/>
          <w:szCs w:val="36"/>
        </w:rPr>
        <w:t xml:space="preserve">"It’s my </w:t>
      </w:r>
      <w:proofErr w:type="gramStart"/>
      <w:r w:rsidRPr="6FF1A3C2">
        <w:rPr>
          <w:rFonts w:ascii="Calibri" w:eastAsia="Calibri" w:hAnsi="Calibri" w:cs="Calibri"/>
          <w:sz w:val="36"/>
          <w:szCs w:val="36"/>
        </w:rPr>
        <w:t>money</w:t>
      </w:r>
      <w:proofErr w:type="gramEnd"/>
      <w:r w:rsidRPr="6FF1A3C2">
        <w:rPr>
          <w:rFonts w:ascii="Calibri" w:eastAsia="Calibri" w:hAnsi="Calibri" w:cs="Calibri"/>
          <w:sz w:val="36"/>
          <w:szCs w:val="36"/>
        </w:rPr>
        <w:t>”</w:t>
      </w:r>
    </w:p>
    <w:p w14:paraId="00000002" w14:textId="6BB8DDDA" w:rsidR="004C4CF5" w:rsidRDefault="50371EC9" w:rsidP="6FF1A3C2">
      <w:pPr>
        <w:widowControl/>
        <w:pBdr>
          <w:top w:val="nil"/>
          <w:left w:val="nil"/>
          <w:bottom w:val="nil"/>
          <w:right w:val="nil"/>
          <w:between w:val="nil"/>
        </w:pBdr>
        <w:spacing w:after="240" w:line="400" w:lineRule="auto"/>
        <w:jc w:val="center"/>
        <w:rPr>
          <w:rFonts w:ascii="Calibri" w:eastAsia="Calibri" w:hAnsi="Calibri" w:cs="Calibri"/>
          <w:sz w:val="36"/>
          <w:szCs w:val="36"/>
        </w:rPr>
      </w:pPr>
      <w:r w:rsidRPr="6FF1A3C2">
        <w:rPr>
          <w:rFonts w:ascii="Calibri" w:eastAsia="Calibri" w:hAnsi="Calibri" w:cs="Calibri"/>
          <w:sz w:val="36"/>
          <w:szCs w:val="36"/>
        </w:rPr>
        <w:t xml:space="preserve">Accountability in </w:t>
      </w:r>
      <w:proofErr w:type="gramStart"/>
      <w:r w:rsidRPr="6FF1A3C2">
        <w:rPr>
          <w:rFonts w:ascii="Calibri" w:eastAsia="Calibri" w:hAnsi="Calibri" w:cs="Calibri"/>
          <w:sz w:val="36"/>
          <w:szCs w:val="36"/>
        </w:rPr>
        <w:t>High Net Worth</w:t>
      </w:r>
      <w:proofErr w:type="gramEnd"/>
      <w:r w:rsidRPr="6FF1A3C2">
        <w:rPr>
          <w:rFonts w:ascii="Calibri" w:eastAsia="Calibri" w:hAnsi="Calibri" w:cs="Calibri"/>
          <w:sz w:val="36"/>
          <w:szCs w:val="36"/>
        </w:rPr>
        <w:t xml:space="preserve"> Philanthropy</w:t>
      </w:r>
    </w:p>
    <w:p w14:paraId="00000003" w14:textId="591BF937" w:rsidR="004C4CF5" w:rsidRDefault="50371EC9" w:rsidP="6FF1A3C2">
      <w:pPr>
        <w:pStyle w:val="Normal0"/>
        <w:keepNext/>
        <w:widowControl/>
        <w:pBdr>
          <w:top w:val="nil"/>
          <w:left w:val="nil"/>
          <w:bottom w:val="nil"/>
          <w:right w:val="nil"/>
          <w:between w:val="nil"/>
        </w:pBdr>
        <w:spacing w:after="160" w:line="300" w:lineRule="auto"/>
        <w:jc w:val="center"/>
        <w:rPr>
          <w:rFonts w:ascii="Calibri" w:eastAsia="Calibri" w:hAnsi="Calibri" w:cs="Calibri"/>
          <w:sz w:val="26"/>
          <w:szCs w:val="26"/>
        </w:rPr>
      </w:pPr>
      <w:r w:rsidRPr="6FF1A3C2">
        <w:rPr>
          <w:rFonts w:ascii="Calibri" w:eastAsia="Calibri" w:hAnsi="Calibri" w:cs="Calibri"/>
          <w:sz w:val="26"/>
          <w:szCs w:val="26"/>
        </w:rPr>
        <w:t>Steph Haydon (University of Birmingham</w:t>
      </w:r>
    </w:p>
    <w:p w14:paraId="00000004" w14:textId="77777777" w:rsidR="004C4CF5" w:rsidRDefault="004C4CF5">
      <w:pPr>
        <w:pStyle w:val="Normal0"/>
        <w:widowControl/>
        <w:pBdr>
          <w:top w:val="nil"/>
          <w:left w:val="nil"/>
          <w:bottom w:val="nil"/>
          <w:right w:val="nil"/>
          <w:between w:val="nil"/>
        </w:pBdr>
        <w:spacing w:line="200" w:lineRule="auto"/>
        <w:jc w:val="center"/>
        <w:rPr>
          <w:rFonts w:ascii="Calibri" w:eastAsia="Calibri" w:hAnsi="Calibri" w:cs="Calibri"/>
          <w:i/>
          <w:color w:val="000000"/>
          <w:sz w:val="16"/>
          <w:szCs w:val="16"/>
        </w:rPr>
      </w:pPr>
    </w:p>
    <w:p w14:paraId="00000005" w14:textId="77777777" w:rsidR="004C4CF5" w:rsidRDefault="00000000">
      <w:pPr>
        <w:pStyle w:val="Normal0"/>
        <w:widowControl/>
        <w:pBdr>
          <w:top w:val="nil"/>
          <w:left w:val="nil"/>
          <w:bottom w:val="nil"/>
          <w:right w:val="nil"/>
          <w:between w:val="nil"/>
        </w:pBdr>
        <w:spacing w:line="200" w:lineRule="auto"/>
        <w:jc w:val="center"/>
        <w:rPr>
          <w:rFonts w:ascii="Calibri" w:eastAsia="Calibri" w:hAnsi="Calibri" w:cs="Calibri"/>
          <w:i/>
          <w:color w:val="000000"/>
          <w:sz w:val="16"/>
          <w:szCs w:val="16"/>
        </w:rPr>
      </w:pPr>
      <w:r>
        <w:rPr>
          <w:rFonts w:ascii="Calibri" w:eastAsia="Calibri" w:hAnsi="Calibri" w:cs="Calibri"/>
          <w:i/>
          <w:color w:val="000000"/>
          <w:sz w:val="16"/>
          <w:szCs w:val="16"/>
        </w:rPr>
        <w:t xml:space="preserve"> </w:t>
      </w:r>
    </w:p>
    <w:p w14:paraId="00000006" w14:textId="77777777" w:rsidR="004C4CF5" w:rsidRDefault="6FF1A3C2">
      <w:pPr>
        <w:pStyle w:val="Normal0"/>
        <w:keepNext/>
        <w:widowControl/>
        <w:numPr>
          <w:ilvl w:val="0"/>
          <w:numId w:val="1"/>
        </w:numPr>
        <w:pBdr>
          <w:top w:val="nil"/>
          <w:left w:val="nil"/>
          <w:bottom w:val="nil"/>
          <w:right w:val="nil"/>
          <w:between w:val="nil"/>
        </w:pBdr>
        <w:spacing w:before="240" w:after="240"/>
        <w:rPr>
          <w:rFonts w:ascii="Calibri" w:eastAsia="Calibri" w:hAnsi="Calibri" w:cs="Calibri"/>
          <w:b/>
          <w:color w:val="000000"/>
        </w:rPr>
      </w:pPr>
      <w:r w:rsidRPr="6FF1A3C2">
        <w:rPr>
          <w:rFonts w:ascii="Calibri" w:eastAsia="Calibri" w:hAnsi="Calibri" w:cs="Calibri"/>
          <w:b/>
          <w:bCs/>
          <w:color w:val="000000"/>
        </w:rPr>
        <w:t>Abstract (please do not exceed 250 words)</w:t>
      </w:r>
    </w:p>
    <w:p w14:paraId="0BF48ADB" w14:textId="1CE081D4" w:rsidR="3EC52798" w:rsidRDefault="3EC52798" w:rsidP="6FF1A3C2">
      <w:pPr>
        <w:widowControl/>
        <w:ind w:right="-28" w:firstLine="238"/>
        <w:jc w:val="both"/>
      </w:pPr>
      <w:r w:rsidRPr="6FF1A3C2">
        <w:rPr>
          <w:rFonts w:ascii="Calibri" w:eastAsia="Calibri" w:hAnsi="Calibri" w:cs="Calibri"/>
          <w:color w:val="000000" w:themeColor="text1"/>
        </w:rPr>
        <w:t xml:space="preserve">Philanthropic actors have unique freedoms and abilities to pursue their own activities with </w:t>
      </w:r>
    </w:p>
    <w:p w14:paraId="7A847A8F" w14:textId="12315904" w:rsidR="6FF1A3C2" w:rsidRDefault="6FF1A3C2" w:rsidP="6FF1A3C2">
      <w:pPr>
        <w:widowControl/>
        <w:pBdr>
          <w:top w:val="nil"/>
          <w:left w:val="nil"/>
          <w:bottom w:val="nil"/>
          <w:right w:val="nil"/>
          <w:between w:val="nil"/>
        </w:pBdr>
        <w:ind w:right="-28" w:firstLine="238"/>
        <w:jc w:val="both"/>
        <w:rPr>
          <w:rFonts w:ascii="Calibri" w:eastAsia="Calibri" w:hAnsi="Calibri" w:cs="Calibri"/>
          <w:color w:val="000000" w:themeColor="text1"/>
        </w:rPr>
      </w:pPr>
    </w:p>
    <w:p w14:paraId="1EB8C5DD" w14:textId="77777777" w:rsidR="00B9481C" w:rsidRDefault="00B9481C" w:rsidP="6FF1A3C2">
      <w:pPr>
        <w:widowControl/>
        <w:pBdr>
          <w:top w:val="nil"/>
          <w:left w:val="nil"/>
          <w:bottom w:val="nil"/>
          <w:right w:val="nil"/>
          <w:between w:val="nil"/>
        </w:pBdr>
        <w:ind w:right="-28"/>
        <w:jc w:val="both"/>
        <w:rPr>
          <w:rFonts w:ascii="Calibri" w:eastAsia="Calibri" w:hAnsi="Calibri" w:cs="Calibri"/>
          <w:b/>
          <w:bCs/>
          <w:color w:val="000000" w:themeColor="text1"/>
        </w:rPr>
      </w:pPr>
    </w:p>
    <w:p w14:paraId="4F0E8F73" w14:textId="36CE2D9E" w:rsidR="13763821" w:rsidRDefault="13763821" w:rsidP="6FF1A3C2">
      <w:pPr>
        <w:widowControl/>
        <w:pBdr>
          <w:top w:val="nil"/>
          <w:left w:val="nil"/>
          <w:bottom w:val="nil"/>
          <w:right w:val="nil"/>
          <w:between w:val="nil"/>
        </w:pBdr>
        <w:ind w:right="-28"/>
        <w:jc w:val="both"/>
        <w:rPr>
          <w:rFonts w:ascii="Calibri" w:eastAsia="Calibri" w:hAnsi="Calibri" w:cs="Calibri"/>
          <w:color w:val="000000" w:themeColor="text1"/>
        </w:rPr>
      </w:pPr>
      <w:r w:rsidRPr="6FF1A3C2">
        <w:rPr>
          <w:rFonts w:ascii="Calibri" w:eastAsia="Calibri" w:hAnsi="Calibri" w:cs="Calibri"/>
          <w:b/>
          <w:bCs/>
          <w:color w:val="000000" w:themeColor="text1"/>
        </w:rPr>
        <w:t xml:space="preserve">Main text </w:t>
      </w:r>
    </w:p>
    <w:p w14:paraId="3D026083" w14:textId="4BAC9D63" w:rsidR="6FF1A3C2" w:rsidRDefault="6FF1A3C2" w:rsidP="6FF1A3C2">
      <w:pPr>
        <w:widowControl/>
        <w:pBdr>
          <w:top w:val="nil"/>
          <w:left w:val="nil"/>
          <w:bottom w:val="nil"/>
          <w:right w:val="nil"/>
          <w:between w:val="nil"/>
        </w:pBdr>
        <w:ind w:right="-28"/>
        <w:jc w:val="both"/>
        <w:rPr>
          <w:rFonts w:ascii="Calibri" w:eastAsia="Calibri" w:hAnsi="Calibri" w:cs="Calibri"/>
          <w:color w:val="000000" w:themeColor="text1"/>
        </w:rPr>
      </w:pPr>
    </w:p>
    <w:p w14:paraId="177C2BAE" w14:textId="47EAA4D5" w:rsidR="13763821" w:rsidRDefault="13763821" w:rsidP="6FF1A3C2">
      <w:pPr>
        <w:keepNext/>
        <w:widowControl/>
        <w:numPr>
          <w:ilvl w:val="0"/>
          <w:numId w:val="1"/>
        </w:numPr>
        <w:spacing w:before="240" w:after="240"/>
        <w:rPr>
          <w:rFonts w:ascii="Calibri" w:eastAsia="Calibri" w:hAnsi="Calibri" w:cs="Calibri"/>
          <w:b/>
          <w:bCs/>
          <w:color w:val="000000" w:themeColor="text1"/>
        </w:rPr>
      </w:pPr>
      <w:r w:rsidRPr="6FF1A3C2">
        <w:rPr>
          <w:rFonts w:ascii="Calibri" w:eastAsia="Calibri" w:hAnsi="Calibri" w:cs="Calibri"/>
          <w:b/>
          <w:bCs/>
          <w:color w:val="000000" w:themeColor="text1"/>
        </w:rPr>
        <w:t>Introduction</w:t>
      </w:r>
      <w:r w:rsidR="001F7F52">
        <w:rPr>
          <w:rFonts w:ascii="Calibri" w:eastAsia="Calibri" w:hAnsi="Calibri" w:cs="Calibri"/>
          <w:b/>
          <w:bCs/>
          <w:color w:val="000000" w:themeColor="text1"/>
        </w:rPr>
        <w:t>: HNWI-Philanthropy &amp; Accountability</w:t>
      </w:r>
    </w:p>
    <w:p w14:paraId="516E9085" w14:textId="2D66850D" w:rsidR="27A643D0" w:rsidRDefault="27A643D0" w:rsidP="6FF1A3C2">
      <w:pPr>
        <w:widowControl/>
        <w:pBdr>
          <w:top w:val="nil"/>
          <w:left w:val="nil"/>
          <w:bottom w:val="nil"/>
          <w:right w:val="nil"/>
          <w:between w:val="nil"/>
        </w:pBdr>
        <w:spacing w:before="240"/>
        <w:ind w:right="-28" w:firstLine="238"/>
        <w:jc w:val="both"/>
        <w:rPr>
          <w:rFonts w:ascii="Calibri" w:eastAsia="Calibri" w:hAnsi="Calibri" w:cs="Calibri"/>
          <w:color w:val="000000" w:themeColor="text1"/>
        </w:rPr>
      </w:pPr>
      <w:r w:rsidRPr="6FF1A3C2">
        <w:rPr>
          <w:rFonts w:ascii="Calibri" w:eastAsia="Calibri" w:hAnsi="Calibri" w:cs="Calibri"/>
          <w:color w:val="000000" w:themeColor="text1"/>
        </w:rPr>
        <w:t>Philanthropic actors in the UK are increasingly under pressure to justify how their grantmaking practices are accountable to uncertain and demanding public needs (Jung, 2018; Jung &amp; Harrow, 2015). Whilst attention on and expectations of philanthropic accountability have grown, philanthropists have far fewer legal accountability and transparency requirements compared with public and private sectors (</w:t>
      </w:r>
      <w:proofErr w:type="spellStart"/>
      <w:r w:rsidRPr="6FF1A3C2">
        <w:rPr>
          <w:rFonts w:ascii="Calibri" w:eastAsia="Calibri" w:hAnsi="Calibri" w:cs="Calibri"/>
          <w:color w:val="000000" w:themeColor="text1"/>
        </w:rPr>
        <w:t>Anheier</w:t>
      </w:r>
      <w:proofErr w:type="spellEnd"/>
      <w:r w:rsidRPr="6FF1A3C2">
        <w:rPr>
          <w:rFonts w:ascii="Calibri" w:eastAsia="Calibri" w:hAnsi="Calibri" w:cs="Calibri"/>
          <w:color w:val="000000" w:themeColor="text1"/>
        </w:rPr>
        <w:t xml:space="preserve"> and </w:t>
      </w:r>
      <w:proofErr w:type="spellStart"/>
      <w:r w:rsidRPr="6FF1A3C2">
        <w:rPr>
          <w:rFonts w:ascii="Calibri" w:eastAsia="Calibri" w:hAnsi="Calibri" w:cs="Calibri"/>
          <w:color w:val="000000" w:themeColor="text1"/>
        </w:rPr>
        <w:t>Leat</w:t>
      </w:r>
      <w:proofErr w:type="spellEnd"/>
      <w:r w:rsidRPr="6FF1A3C2">
        <w:rPr>
          <w:rFonts w:ascii="Calibri" w:eastAsia="Calibri" w:hAnsi="Calibri" w:cs="Calibri"/>
          <w:color w:val="000000" w:themeColor="text1"/>
        </w:rPr>
        <w:t xml:space="preserve">, 2006). Advocates argue that this provides a unique opportunity to take greater risks and a longer-term focus (Fleishman, 2007; Prewitt et al., 2006); critics raise concerns about unaccountable philanthropists shaping agendas and activities of recipients (Reich, 2018; </w:t>
      </w:r>
      <w:proofErr w:type="spellStart"/>
      <w:r w:rsidRPr="6FF1A3C2">
        <w:rPr>
          <w:rFonts w:ascii="Calibri" w:eastAsia="Calibri" w:hAnsi="Calibri" w:cs="Calibri"/>
          <w:color w:val="000000" w:themeColor="text1"/>
        </w:rPr>
        <w:t>Arnove</w:t>
      </w:r>
      <w:proofErr w:type="spellEnd"/>
      <w:r w:rsidRPr="6FF1A3C2">
        <w:rPr>
          <w:rFonts w:ascii="Calibri" w:eastAsia="Calibri" w:hAnsi="Calibri" w:cs="Calibri"/>
          <w:color w:val="000000" w:themeColor="text1"/>
        </w:rPr>
        <w:t>, 1980).</w:t>
      </w:r>
    </w:p>
    <w:p w14:paraId="176D8812" w14:textId="61977FA6" w:rsidR="735D801C" w:rsidRDefault="735D801C" w:rsidP="6FF1A3C2">
      <w:pPr>
        <w:widowControl/>
        <w:pBdr>
          <w:top w:val="nil"/>
          <w:left w:val="nil"/>
          <w:bottom w:val="nil"/>
          <w:right w:val="nil"/>
          <w:between w:val="nil"/>
        </w:pBdr>
        <w:spacing w:before="240"/>
        <w:ind w:right="-28" w:firstLine="238"/>
        <w:jc w:val="both"/>
        <w:rPr>
          <w:rFonts w:ascii="Calibri" w:eastAsia="Calibri" w:hAnsi="Calibri" w:cs="Calibri"/>
          <w:color w:val="000000" w:themeColor="text1"/>
        </w:rPr>
      </w:pPr>
      <w:r w:rsidRPr="6FF1A3C2">
        <w:rPr>
          <w:rFonts w:ascii="Calibri" w:eastAsia="Calibri" w:hAnsi="Calibri" w:cs="Calibri"/>
          <w:color w:val="000000" w:themeColor="text1"/>
        </w:rPr>
        <w:t xml:space="preserve">Unlike public-sector organisations which are accountable to the public, and private-sector organisations which are accountable to their shareholders, philanthropic individuals and organisations can determine for themselves how to best approach their activities with limited legal accountability or transparency requirements (Simon 2016; </w:t>
      </w:r>
      <w:proofErr w:type="spellStart"/>
      <w:r w:rsidRPr="6FF1A3C2">
        <w:rPr>
          <w:rFonts w:ascii="Calibri" w:eastAsia="Calibri" w:hAnsi="Calibri" w:cs="Calibri"/>
          <w:color w:val="000000" w:themeColor="text1"/>
        </w:rPr>
        <w:t>Deboskey</w:t>
      </w:r>
      <w:proofErr w:type="spellEnd"/>
      <w:r w:rsidRPr="6FF1A3C2">
        <w:rPr>
          <w:rFonts w:ascii="Calibri" w:eastAsia="Calibri" w:hAnsi="Calibri" w:cs="Calibri"/>
          <w:color w:val="000000" w:themeColor="text1"/>
        </w:rPr>
        <w:t>, 2019)</w:t>
      </w:r>
      <w:r w:rsidR="7DA3F43F" w:rsidRPr="6FF1A3C2">
        <w:rPr>
          <w:rFonts w:ascii="Calibri" w:eastAsia="Calibri" w:hAnsi="Calibri" w:cs="Calibri"/>
          <w:color w:val="000000" w:themeColor="text1"/>
        </w:rPr>
        <w:t>.</w:t>
      </w:r>
      <w:r w:rsidR="4C5F78C0" w:rsidRPr="6FF1A3C2">
        <w:rPr>
          <w:rFonts w:ascii="Calibri" w:eastAsia="Calibri" w:hAnsi="Calibri" w:cs="Calibri"/>
          <w:color w:val="000000" w:themeColor="text1"/>
        </w:rPr>
        <w:t xml:space="preserve"> This has been heralded as a key advantage of philanthropy: philanthropists can take greater risks and a longer-term focus than either public- or private-sector actors (Davies, 2015). </w:t>
      </w:r>
      <w:r w:rsidR="7EA43444" w:rsidRPr="6FF1A3C2">
        <w:rPr>
          <w:rFonts w:ascii="Calibri" w:eastAsia="Calibri" w:hAnsi="Calibri" w:cs="Calibri"/>
          <w:color w:val="000000" w:themeColor="text1"/>
        </w:rPr>
        <w:t>Philanthropy has hence been described as the “ultimate risk capital” (</w:t>
      </w:r>
      <w:proofErr w:type="spellStart"/>
      <w:r w:rsidR="7EA43444" w:rsidRPr="6FF1A3C2">
        <w:rPr>
          <w:rFonts w:ascii="Calibri" w:eastAsia="Calibri" w:hAnsi="Calibri" w:cs="Calibri"/>
          <w:color w:val="000000" w:themeColor="text1"/>
        </w:rPr>
        <w:t>Deboskey</w:t>
      </w:r>
      <w:proofErr w:type="spellEnd"/>
      <w:r w:rsidR="7EA43444" w:rsidRPr="6FF1A3C2">
        <w:rPr>
          <w:rFonts w:ascii="Calibri" w:eastAsia="Calibri" w:hAnsi="Calibri" w:cs="Calibri"/>
          <w:color w:val="000000" w:themeColor="text1"/>
        </w:rPr>
        <w:t xml:space="preserve">, 2019, </w:t>
      </w:r>
      <w:proofErr w:type="spellStart"/>
      <w:r w:rsidR="7EA43444" w:rsidRPr="6FF1A3C2">
        <w:rPr>
          <w:rFonts w:ascii="Calibri" w:eastAsia="Calibri" w:hAnsi="Calibri" w:cs="Calibri"/>
          <w:color w:val="000000" w:themeColor="text1"/>
        </w:rPr>
        <w:t>n.p.</w:t>
      </w:r>
      <w:proofErr w:type="spellEnd"/>
      <w:r w:rsidR="7EA43444" w:rsidRPr="6FF1A3C2">
        <w:rPr>
          <w:rFonts w:ascii="Calibri" w:eastAsia="Calibri" w:hAnsi="Calibri" w:cs="Calibri"/>
          <w:color w:val="000000" w:themeColor="text1"/>
        </w:rPr>
        <w:t xml:space="preserve">) as philanthropists are able to support riskier innovations and address issues that are politically sensitive or socially unfashionable (Bishop, 2006; Davies, 2015). </w:t>
      </w:r>
    </w:p>
    <w:p w14:paraId="03F8DD0D" w14:textId="47CD454B" w:rsidR="7EA43444" w:rsidRDefault="7EA43444" w:rsidP="6FF1A3C2">
      <w:pPr>
        <w:widowControl/>
        <w:pBdr>
          <w:top w:val="nil"/>
          <w:left w:val="nil"/>
          <w:bottom w:val="nil"/>
          <w:right w:val="nil"/>
          <w:between w:val="nil"/>
        </w:pBdr>
        <w:spacing w:before="240"/>
        <w:ind w:right="-28" w:firstLine="238"/>
        <w:jc w:val="both"/>
        <w:rPr>
          <w:rFonts w:ascii="Calibri" w:eastAsia="Calibri" w:hAnsi="Calibri" w:cs="Calibri"/>
          <w:color w:val="000000" w:themeColor="text1"/>
        </w:rPr>
      </w:pPr>
      <w:r w:rsidRPr="6FF1A3C2">
        <w:rPr>
          <w:rFonts w:ascii="Calibri" w:eastAsia="Calibri" w:hAnsi="Calibri" w:cs="Calibri"/>
          <w:color w:val="000000" w:themeColor="text1"/>
        </w:rPr>
        <w:t>However, philanthropists have been increasingly criticised for avoiding rather than actively seeking risks: a mix of academics (</w:t>
      </w:r>
      <w:proofErr w:type="gramStart"/>
      <w:r w:rsidRPr="6FF1A3C2">
        <w:rPr>
          <w:rFonts w:ascii="Calibri" w:eastAsia="Calibri" w:hAnsi="Calibri" w:cs="Calibri"/>
          <w:color w:val="000000" w:themeColor="text1"/>
        </w:rPr>
        <w:t>e.g.</w:t>
      </w:r>
      <w:proofErr w:type="gramEnd"/>
      <w:r w:rsidRPr="6FF1A3C2">
        <w:rPr>
          <w:rFonts w:ascii="Calibri" w:eastAsia="Calibri" w:hAnsi="Calibri" w:cs="Calibri"/>
          <w:color w:val="000000" w:themeColor="text1"/>
        </w:rPr>
        <w:t xml:space="preserve"> </w:t>
      </w:r>
      <w:proofErr w:type="spellStart"/>
      <w:r w:rsidRPr="6FF1A3C2">
        <w:rPr>
          <w:rFonts w:ascii="Calibri" w:eastAsia="Calibri" w:hAnsi="Calibri" w:cs="Calibri"/>
          <w:color w:val="000000" w:themeColor="text1"/>
        </w:rPr>
        <w:t>Anheier</w:t>
      </w:r>
      <w:proofErr w:type="spellEnd"/>
      <w:r w:rsidRPr="6FF1A3C2">
        <w:rPr>
          <w:rFonts w:ascii="Calibri" w:eastAsia="Calibri" w:hAnsi="Calibri" w:cs="Calibri"/>
          <w:color w:val="000000" w:themeColor="text1"/>
        </w:rPr>
        <w:t xml:space="preserve"> &amp; </w:t>
      </w:r>
      <w:proofErr w:type="spellStart"/>
      <w:r w:rsidRPr="6FF1A3C2">
        <w:rPr>
          <w:rFonts w:ascii="Calibri" w:eastAsia="Calibri" w:hAnsi="Calibri" w:cs="Calibri"/>
          <w:color w:val="000000" w:themeColor="text1"/>
        </w:rPr>
        <w:t>Leat</w:t>
      </w:r>
      <w:proofErr w:type="spellEnd"/>
      <w:r w:rsidRPr="6FF1A3C2">
        <w:rPr>
          <w:rFonts w:ascii="Calibri" w:eastAsia="Calibri" w:hAnsi="Calibri" w:cs="Calibri"/>
          <w:color w:val="000000" w:themeColor="text1"/>
        </w:rPr>
        <w:t>, 200</w:t>
      </w:r>
      <w:r w:rsidR="1A263835" w:rsidRPr="6FF1A3C2">
        <w:rPr>
          <w:rFonts w:ascii="Calibri" w:eastAsia="Calibri" w:hAnsi="Calibri" w:cs="Calibri"/>
          <w:color w:val="000000" w:themeColor="text1"/>
        </w:rPr>
        <w:t>6</w:t>
      </w:r>
      <w:r w:rsidRPr="6FF1A3C2">
        <w:rPr>
          <w:rFonts w:ascii="Calibri" w:eastAsia="Calibri" w:hAnsi="Calibri" w:cs="Calibri"/>
          <w:color w:val="000000" w:themeColor="text1"/>
        </w:rPr>
        <w:t xml:space="preserve">; Ealy, 2014) and practitioners (e.g. Simon, 2016; </w:t>
      </w:r>
      <w:proofErr w:type="spellStart"/>
      <w:r w:rsidRPr="6FF1A3C2">
        <w:rPr>
          <w:rFonts w:ascii="Calibri" w:eastAsia="Calibri" w:hAnsi="Calibri" w:cs="Calibri"/>
          <w:color w:val="000000" w:themeColor="text1"/>
        </w:rPr>
        <w:t>Deboskey</w:t>
      </w:r>
      <w:proofErr w:type="spellEnd"/>
      <w:r w:rsidRPr="6FF1A3C2">
        <w:rPr>
          <w:rFonts w:ascii="Calibri" w:eastAsia="Calibri" w:hAnsi="Calibri" w:cs="Calibri"/>
          <w:color w:val="000000" w:themeColor="text1"/>
        </w:rPr>
        <w:t xml:space="preserve">, 2019) have advocated a more risk-seeking, experimental approach to philanthropy, but evidence of philanthropists embracing such experimental approaches remain limited (Phillips &amp; Jung, 2016b). Discussion in academic </w:t>
      </w:r>
      <w:r w:rsidRPr="6FF1A3C2">
        <w:rPr>
          <w:rFonts w:ascii="Calibri" w:eastAsia="Calibri" w:hAnsi="Calibri" w:cs="Calibri"/>
          <w:color w:val="000000" w:themeColor="text1"/>
        </w:rPr>
        <w:lastRenderedPageBreak/>
        <w:t>publications about philanthropy and risk has focused predominantly on the use of philanthropy as a risk management tool, using philanthropy to protect against reputational damage (</w:t>
      </w:r>
      <w:proofErr w:type="gramStart"/>
      <w:r w:rsidRPr="6FF1A3C2">
        <w:rPr>
          <w:rFonts w:ascii="Calibri" w:eastAsia="Calibri" w:hAnsi="Calibri" w:cs="Calibri"/>
          <w:color w:val="000000" w:themeColor="text1"/>
        </w:rPr>
        <w:t>e.g.</w:t>
      </w:r>
      <w:proofErr w:type="gramEnd"/>
      <w:r w:rsidRPr="6FF1A3C2">
        <w:rPr>
          <w:rFonts w:ascii="Calibri" w:eastAsia="Calibri" w:hAnsi="Calibri" w:cs="Calibri"/>
          <w:color w:val="000000" w:themeColor="text1"/>
        </w:rPr>
        <w:t xml:space="preserve"> Godfrey, 2005; </w:t>
      </w:r>
      <w:proofErr w:type="spellStart"/>
      <w:r w:rsidRPr="6FF1A3C2">
        <w:rPr>
          <w:rFonts w:ascii="Calibri" w:eastAsia="Calibri" w:hAnsi="Calibri" w:cs="Calibri"/>
          <w:color w:val="000000" w:themeColor="text1"/>
        </w:rPr>
        <w:t>Kuldova</w:t>
      </w:r>
      <w:proofErr w:type="spellEnd"/>
      <w:r w:rsidRPr="6FF1A3C2">
        <w:rPr>
          <w:rFonts w:ascii="Calibri" w:eastAsia="Calibri" w:hAnsi="Calibri" w:cs="Calibri"/>
          <w:color w:val="000000" w:themeColor="text1"/>
        </w:rPr>
        <w:t>, 2018; Walker &amp; Sarkodie, 2019). The popular and practitioner literature has contrastingly focused on the identification of different risks involved in philanthropy and how these can be managed.</w:t>
      </w:r>
    </w:p>
    <w:p w14:paraId="4D623207" w14:textId="047A8025" w:rsidR="00B9481C" w:rsidRDefault="404CF417" w:rsidP="00B9481C">
      <w:pPr>
        <w:widowControl/>
        <w:spacing w:before="240"/>
        <w:ind w:right="-28" w:firstLine="238"/>
        <w:jc w:val="both"/>
      </w:pPr>
      <w:r w:rsidRPr="6FF1A3C2">
        <w:rPr>
          <w:rFonts w:ascii="Calibri" w:eastAsia="Calibri" w:hAnsi="Calibri" w:cs="Calibri"/>
          <w:color w:val="000000" w:themeColor="text1"/>
        </w:rPr>
        <w:t xml:space="preserve">The lack of accountability in high-net-worth-individual (HNWI) philanthropy has long been criticized as enabling unelected ‘elites’ to provide, shape, or control social </w:t>
      </w:r>
      <w:proofErr w:type="spellStart"/>
      <w:r w:rsidRPr="6FF1A3C2">
        <w:rPr>
          <w:rFonts w:ascii="Calibri" w:eastAsia="Calibri" w:hAnsi="Calibri" w:cs="Calibri"/>
          <w:color w:val="000000" w:themeColor="text1"/>
        </w:rPr>
        <w:t>programmes</w:t>
      </w:r>
      <w:proofErr w:type="spellEnd"/>
      <w:r w:rsidRPr="6FF1A3C2">
        <w:rPr>
          <w:rFonts w:ascii="Calibri" w:eastAsia="Calibri" w:hAnsi="Calibri" w:cs="Calibri"/>
          <w:color w:val="000000" w:themeColor="text1"/>
        </w:rPr>
        <w:t xml:space="preserve"> (</w:t>
      </w:r>
      <w:proofErr w:type="gramStart"/>
      <w:r w:rsidRPr="6FF1A3C2">
        <w:rPr>
          <w:rFonts w:ascii="Calibri" w:eastAsia="Calibri" w:hAnsi="Calibri" w:cs="Calibri"/>
          <w:color w:val="000000" w:themeColor="text1"/>
        </w:rPr>
        <w:t>e.g.</w:t>
      </w:r>
      <w:proofErr w:type="gramEnd"/>
      <w:r w:rsidRPr="6FF1A3C2">
        <w:rPr>
          <w:rFonts w:ascii="Calibri" w:eastAsia="Calibri" w:hAnsi="Calibri" w:cs="Calibri"/>
          <w:color w:val="000000" w:themeColor="text1"/>
        </w:rPr>
        <w:t xml:space="preserve"> Goss, 2016).</w:t>
      </w:r>
      <w:r w:rsidR="00B9481C">
        <w:rPr>
          <w:rFonts w:ascii="Calibri" w:eastAsia="Calibri" w:hAnsi="Calibri" w:cs="Calibri"/>
          <w:color w:val="000000" w:themeColor="text1"/>
        </w:rPr>
        <w:t xml:space="preserve"> HNWI-philanthropists have been described as </w:t>
      </w:r>
      <w:r w:rsidR="00B9481C" w:rsidRPr="6FF1A3C2">
        <w:rPr>
          <w:rFonts w:ascii="Calibri" w:eastAsia="Calibri" w:hAnsi="Calibri" w:cs="Calibri"/>
          <w:color w:val="000000" w:themeColor="text1"/>
        </w:rPr>
        <w:t>policy-plutocrats</w:t>
      </w:r>
      <w:r w:rsidR="00B9481C">
        <w:rPr>
          <w:rFonts w:ascii="Calibri" w:eastAsia="Calibri" w:hAnsi="Calibri" w:cs="Calibri"/>
          <w:color w:val="000000" w:themeColor="text1"/>
        </w:rPr>
        <w:t xml:space="preserve"> (ibid.)</w:t>
      </w:r>
      <w:r w:rsidR="00B9481C" w:rsidRPr="6FF1A3C2">
        <w:rPr>
          <w:rFonts w:ascii="Calibri" w:eastAsia="Calibri" w:hAnsi="Calibri" w:cs="Calibri"/>
          <w:color w:val="000000" w:themeColor="text1"/>
        </w:rPr>
        <w:t xml:space="preserve">, </w:t>
      </w:r>
      <w:r w:rsidR="00B9481C">
        <w:rPr>
          <w:rFonts w:ascii="Calibri" w:eastAsia="Calibri" w:hAnsi="Calibri" w:cs="Calibri"/>
          <w:color w:val="000000" w:themeColor="text1"/>
        </w:rPr>
        <w:t xml:space="preserve">engaging in </w:t>
      </w:r>
      <w:r w:rsidR="00B9481C" w:rsidRPr="6FF1A3C2">
        <w:rPr>
          <w:rFonts w:ascii="Calibri" w:eastAsia="Calibri" w:hAnsi="Calibri" w:cs="Calibri"/>
          <w:color w:val="000000" w:themeColor="text1"/>
        </w:rPr>
        <w:t>philanthro-policymaking</w:t>
      </w:r>
      <w:r w:rsidR="00B9481C">
        <w:rPr>
          <w:rFonts w:ascii="Calibri" w:eastAsia="Calibri" w:hAnsi="Calibri" w:cs="Calibri"/>
          <w:color w:val="000000" w:themeColor="text1"/>
        </w:rPr>
        <w:t xml:space="preserve"> (Rogers, 201</w:t>
      </w:r>
      <w:r w:rsidR="001F7F52">
        <w:rPr>
          <w:rFonts w:ascii="Calibri" w:eastAsia="Calibri" w:hAnsi="Calibri" w:cs="Calibri"/>
          <w:color w:val="000000" w:themeColor="text1"/>
        </w:rPr>
        <w:t>1</w:t>
      </w:r>
      <w:r w:rsidR="00B9481C">
        <w:rPr>
          <w:rFonts w:ascii="Calibri" w:eastAsia="Calibri" w:hAnsi="Calibri" w:cs="Calibri"/>
          <w:color w:val="000000" w:themeColor="text1"/>
        </w:rPr>
        <w:t xml:space="preserve">) – using their disproportionate wealth, power, and influence </w:t>
      </w:r>
      <w:proofErr w:type="gramStart"/>
      <w:r w:rsidR="00B9481C">
        <w:rPr>
          <w:rFonts w:ascii="Calibri" w:eastAsia="Calibri" w:hAnsi="Calibri" w:cs="Calibri"/>
          <w:color w:val="000000" w:themeColor="text1"/>
        </w:rPr>
        <w:t>to</w:t>
      </w:r>
      <w:proofErr w:type="gramEnd"/>
      <w:r w:rsidR="00B9481C">
        <w:rPr>
          <w:rFonts w:ascii="Calibri" w:eastAsia="Calibri" w:hAnsi="Calibri" w:cs="Calibri"/>
          <w:color w:val="000000" w:themeColor="text1"/>
        </w:rPr>
        <w:t xml:space="preserve"> (unfairly) influence policy and, therefore, the lives of others. </w:t>
      </w:r>
    </w:p>
    <w:p w14:paraId="7E6B2D1B" w14:textId="4B260CA3" w:rsidR="404CF417" w:rsidRDefault="404CF417" w:rsidP="6FF1A3C2">
      <w:pPr>
        <w:widowControl/>
        <w:pBdr>
          <w:top w:val="nil"/>
          <w:left w:val="nil"/>
          <w:bottom w:val="nil"/>
          <w:right w:val="nil"/>
          <w:between w:val="nil"/>
        </w:pBdr>
        <w:spacing w:before="240"/>
        <w:ind w:right="-28" w:firstLine="238"/>
        <w:jc w:val="both"/>
        <w:rPr>
          <w:rFonts w:ascii="Calibri" w:eastAsia="Calibri" w:hAnsi="Calibri" w:cs="Calibri"/>
          <w:color w:val="000000" w:themeColor="text1"/>
        </w:rPr>
      </w:pPr>
      <w:r w:rsidRPr="6FF1A3C2">
        <w:rPr>
          <w:rFonts w:ascii="Calibri" w:eastAsia="Calibri" w:hAnsi="Calibri" w:cs="Calibri"/>
          <w:color w:val="000000" w:themeColor="text1"/>
        </w:rPr>
        <w:t xml:space="preserve">However, questions have remained regarding how HNWIs themselves view and approach accountability. Addressing this empirical gap. </w:t>
      </w:r>
      <w:r w:rsidR="6B2F5E85" w:rsidRPr="6FF1A3C2">
        <w:rPr>
          <w:rFonts w:ascii="Calibri" w:eastAsia="Calibri" w:hAnsi="Calibri" w:cs="Calibri"/>
          <w:color w:val="000000" w:themeColor="text1"/>
        </w:rPr>
        <w:t xml:space="preserve">In this paper, I examine HNWI’s attitudes towards philanthropy, providing first-hand empirical insights into their practices and perspectives. </w:t>
      </w:r>
    </w:p>
    <w:p w14:paraId="2D2B7A69" w14:textId="2BCEBD78" w:rsidR="6B2F5E85" w:rsidRDefault="6B2F5E85" w:rsidP="6FF1A3C2">
      <w:pPr>
        <w:widowControl/>
        <w:pBdr>
          <w:top w:val="nil"/>
          <w:left w:val="nil"/>
          <w:bottom w:val="nil"/>
          <w:right w:val="nil"/>
          <w:between w:val="nil"/>
        </w:pBdr>
        <w:spacing w:before="240"/>
        <w:ind w:right="-28" w:firstLine="238"/>
        <w:jc w:val="both"/>
        <w:rPr>
          <w:rFonts w:ascii="Calibri" w:eastAsia="Calibri" w:hAnsi="Calibri" w:cs="Calibri"/>
          <w:color w:val="000000" w:themeColor="text1"/>
        </w:rPr>
      </w:pPr>
      <w:r w:rsidRPr="6FF1A3C2">
        <w:rPr>
          <w:rFonts w:ascii="Calibri" w:eastAsia="Calibri" w:hAnsi="Calibri" w:cs="Calibri"/>
          <w:color w:val="000000" w:themeColor="text1"/>
        </w:rPr>
        <w:t xml:space="preserve">I proceed first by examining debates and trends in philanthropic accountability, primarily impact measurement. Second, I </w:t>
      </w:r>
      <w:r w:rsidR="008F0929" w:rsidRPr="6FF1A3C2">
        <w:rPr>
          <w:rFonts w:ascii="Calibri" w:eastAsia="Calibri" w:hAnsi="Calibri" w:cs="Calibri"/>
          <w:color w:val="000000" w:themeColor="text1"/>
        </w:rPr>
        <w:t>outline the methods of data collection – interviews with 42 UK-based HNWI-philanthropists, supported by extensive document analysis – and thematic approach to data analysis taken. Third, I examine par</w:t>
      </w:r>
      <w:r w:rsidR="08551289" w:rsidRPr="6FF1A3C2">
        <w:rPr>
          <w:rFonts w:ascii="Calibri" w:eastAsia="Calibri" w:hAnsi="Calibri" w:cs="Calibri"/>
          <w:color w:val="000000" w:themeColor="text1"/>
        </w:rPr>
        <w:t>ticipant’s attitudes towards, and described practices in, accountability. I distinguish between two accountability mechanisms – transparency and impact measurement – and how methods adopted by participants varies with their assumptions of who should be held accountable in philanthropic relationships, and their pr</w:t>
      </w:r>
      <w:r w:rsidR="7A3B60DA" w:rsidRPr="6FF1A3C2">
        <w:rPr>
          <w:rFonts w:ascii="Calibri" w:eastAsia="Calibri" w:hAnsi="Calibri" w:cs="Calibri"/>
          <w:color w:val="000000" w:themeColor="text1"/>
        </w:rPr>
        <w:t>imary approach to philanthropy (</w:t>
      </w:r>
      <w:proofErr w:type="gramStart"/>
      <w:r w:rsidR="7A3B60DA" w:rsidRPr="6FF1A3C2">
        <w:rPr>
          <w:rFonts w:ascii="Calibri" w:eastAsia="Calibri" w:hAnsi="Calibri" w:cs="Calibri"/>
          <w:color w:val="000000" w:themeColor="text1"/>
        </w:rPr>
        <w:t>e.g.</w:t>
      </w:r>
      <w:proofErr w:type="gramEnd"/>
      <w:r w:rsidR="7A3B60DA" w:rsidRPr="6FF1A3C2">
        <w:rPr>
          <w:rFonts w:ascii="Calibri" w:eastAsia="Calibri" w:hAnsi="Calibri" w:cs="Calibri"/>
          <w:color w:val="000000" w:themeColor="text1"/>
        </w:rPr>
        <w:t xml:space="preserve"> venture philanthropy, strategic philanthropy). I conclude with considerations of these insights for wider debates on accountability and philanthro-policymaking. </w:t>
      </w:r>
    </w:p>
    <w:p w14:paraId="2F1C19CE" w14:textId="620AB7F3" w:rsidR="7A3B60DA" w:rsidRDefault="00B9481C" w:rsidP="6FF1A3C2">
      <w:pPr>
        <w:keepNext/>
        <w:widowControl/>
        <w:numPr>
          <w:ilvl w:val="0"/>
          <w:numId w:val="1"/>
        </w:numPr>
        <w:spacing w:before="240" w:after="240"/>
        <w:rPr>
          <w:rFonts w:ascii="Calibri" w:eastAsia="Calibri" w:hAnsi="Calibri" w:cs="Calibri"/>
          <w:b/>
          <w:bCs/>
          <w:color w:val="000000" w:themeColor="text1"/>
        </w:rPr>
      </w:pPr>
      <w:r>
        <w:rPr>
          <w:rFonts w:ascii="Calibri" w:eastAsia="Calibri" w:hAnsi="Calibri" w:cs="Calibri"/>
          <w:b/>
          <w:bCs/>
          <w:color w:val="000000" w:themeColor="text1"/>
        </w:rPr>
        <w:t>The rise of impact measurement</w:t>
      </w:r>
    </w:p>
    <w:p w14:paraId="311715B3" w14:textId="07F28681" w:rsidR="00B9481C" w:rsidRDefault="3B8CDCEB" w:rsidP="6FF1A3C2">
      <w:pPr>
        <w:widowControl/>
        <w:spacing w:before="240"/>
        <w:ind w:right="-28" w:firstLine="238"/>
        <w:jc w:val="both"/>
        <w:rPr>
          <w:rFonts w:ascii="Calibri" w:eastAsia="Calibri" w:hAnsi="Calibri" w:cs="Calibri"/>
          <w:color w:val="000000" w:themeColor="text1"/>
        </w:rPr>
      </w:pPr>
      <w:r w:rsidRPr="6FF1A3C2">
        <w:rPr>
          <w:rFonts w:ascii="Calibri" w:eastAsia="Calibri" w:hAnsi="Calibri" w:cs="Calibri"/>
          <w:color w:val="000000" w:themeColor="text1"/>
        </w:rPr>
        <w:t>Increasingly offered as a means of ensuring philanthropic accountability, impact measurement has gained traction in recent decades. Proponents claim that by measuring social and financial performance, they raise awareness amongst social purpose organisations (SPOs)</w:t>
      </w:r>
      <w:r w:rsidR="79C26974" w:rsidRPr="6FF1A3C2">
        <w:rPr>
          <w:rFonts w:ascii="Calibri" w:eastAsia="Calibri" w:hAnsi="Calibri" w:cs="Calibri"/>
          <w:color w:val="000000" w:themeColor="text1"/>
        </w:rPr>
        <w:t xml:space="preserve">, </w:t>
      </w:r>
      <w:proofErr w:type="gramStart"/>
      <w:r w:rsidR="79C26974" w:rsidRPr="6FF1A3C2">
        <w:rPr>
          <w:rFonts w:ascii="Calibri" w:eastAsia="Calibri" w:hAnsi="Calibri" w:cs="Calibri"/>
          <w:color w:val="000000" w:themeColor="text1"/>
        </w:rPr>
        <w:t>policy-makers</w:t>
      </w:r>
      <w:proofErr w:type="gramEnd"/>
      <w:r w:rsidR="79C26974" w:rsidRPr="6FF1A3C2">
        <w:rPr>
          <w:rFonts w:ascii="Calibri" w:eastAsia="Calibri" w:hAnsi="Calibri" w:cs="Calibri"/>
          <w:color w:val="000000" w:themeColor="text1"/>
        </w:rPr>
        <w:t>, and capital providers (e.g. philanthropists) of ‘what works’ and hence which initiatives to support</w:t>
      </w:r>
      <w:r w:rsidR="00E44A1C">
        <w:rPr>
          <w:rFonts w:ascii="Calibri" w:eastAsia="Calibri" w:hAnsi="Calibri" w:cs="Calibri"/>
          <w:color w:val="000000" w:themeColor="text1"/>
        </w:rPr>
        <w:t>, whilst demonstrating the ‘success’ and value of their philanthropic efforts to stakeholders</w:t>
      </w:r>
      <w:r w:rsidR="79C26974" w:rsidRPr="6FF1A3C2">
        <w:rPr>
          <w:rFonts w:ascii="Calibri" w:eastAsia="Calibri" w:hAnsi="Calibri" w:cs="Calibri"/>
          <w:color w:val="000000" w:themeColor="text1"/>
        </w:rPr>
        <w:t xml:space="preserve"> (Bishop &amp; Green, 2008; Davies, 2015). Impact measurement is seen to promote sharing of best practice amongst SPOs, whilst also supporting strategic planning and decision-</w:t>
      </w:r>
      <w:r w:rsidR="2CA5D542" w:rsidRPr="6FF1A3C2">
        <w:rPr>
          <w:rFonts w:ascii="Calibri" w:eastAsia="Calibri" w:hAnsi="Calibri" w:cs="Calibri"/>
          <w:color w:val="000000" w:themeColor="text1"/>
        </w:rPr>
        <w:t xml:space="preserve">making by SPOs and funders to </w:t>
      </w:r>
      <w:proofErr w:type="spellStart"/>
      <w:r w:rsidR="2CA5D542" w:rsidRPr="6FF1A3C2">
        <w:rPr>
          <w:rFonts w:ascii="Calibri" w:eastAsia="Calibri" w:hAnsi="Calibri" w:cs="Calibri"/>
          <w:color w:val="000000" w:themeColor="text1"/>
        </w:rPr>
        <w:t>optimise</w:t>
      </w:r>
      <w:proofErr w:type="spellEnd"/>
      <w:r w:rsidR="2CA5D542" w:rsidRPr="6FF1A3C2">
        <w:rPr>
          <w:rFonts w:ascii="Calibri" w:eastAsia="Calibri" w:hAnsi="Calibri" w:cs="Calibri"/>
          <w:color w:val="000000" w:themeColor="text1"/>
        </w:rPr>
        <w:t xml:space="preserve"> social value achieved (Nicholls et al., 2015). This data is further claimed to benefit </w:t>
      </w:r>
      <w:proofErr w:type="gramStart"/>
      <w:r w:rsidR="2CA5D542" w:rsidRPr="6FF1A3C2">
        <w:rPr>
          <w:rFonts w:ascii="Calibri" w:eastAsia="Calibri" w:hAnsi="Calibri" w:cs="Calibri"/>
          <w:color w:val="000000" w:themeColor="text1"/>
        </w:rPr>
        <w:t>policy-makers</w:t>
      </w:r>
      <w:proofErr w:type="gramEnd"/>
      <w:r w:rsidR="2CA5D542" w:rsidRPr="6FF1A3C2">
        <w:rPr>
          <w:rFonts w:ascii="Calibri" w:eastAsia="Calibri" w:hAnsi="Calibri" w:cs="Calibri"/>
          <w:color w:val="000000" w:themeColor="text1"/>
        </w:rPr>
        <w:t xml:space="preserve"> who can integrate this knowledge into policymaking strategies (Addis, 2015). Despite these potential benefits, impact measurement also raises several concerns, primarily regarding what gets measured and how, who decides, and – ultimately – whether philanthropic outcomes should be measured at all. Each is discussed in this section.</w:t>
      </w:r>
    </w:p>
    <w:p w14:paraId="5DA839DC" w14:textId="77777777" w:rsidR="00B9481C" w:rsidRDefault="00B9481C" w:rsidP="00B9481C">
      <w:pPr>
        <w:keepNext/>
        <w:widowControl/>
        <w:numPr>
          <w:ilvl w:val="1"/>
          <w:numId w:val="2"/>
        </w:numPr>
        <w:spacing w:before="240" w:after="240"/>
        <w:rPr>
          <w:rFonts w:ascii="Calibri" w:eastAsia="Calibri" w:hAnsi="Calibri" w:cs="Calibri"/>
          <w:i/>
          <w:iCs/>
          <w:color w:val="000000" w:themeColor="text1"/>
        </w:rPr>
      </w:pPr>
      <w:r>
        <w:rPr>
          <w:rFonts w:ascii="Calibri" w:eastAsia="Calibri" w:hAnsi="Calibri" w:cs="Calibri"/>
          <w:i/>
          <w:iCs/>
          <w:color w:val="000000" w:themeColor="text1"/>
        </w:rPr>
        <w:t>How to measure</w:t>
      </w:r>
    </w:p>
    <w:p w14:paraId="3CF4A2CF" w14:textId="5E0543A3" w:rsidR="2CA5D542" w:rsidRDefault="2CA5D542" w:rsidP="6FF1A3C2">
      <w:pPr>
        <w:widowControl/>
        <w:spacing w:before="240"/>
        <w:ind w:right="-28" w:firstLine="238"/>
        <w:jc w:val="both"/>
        <w:rPr>
          <w:rFonts w:ascii="Calibri" w:eastAsia="Calibri" w:hAnsi="Calibri" w:cs="Calibri"/>
          <w:color w:val="000000" w:themeColor="text1"/>
        </w:rPr>
      </w:pPr>
      <w:r w:rsidRPr="6FF1A3C2">
        <w:rPr>
          <w:rFonts w:ascii="Calibri" w:eastAsia="Calibri" w:hAnsi="Calibri" w:cs="Calibri"/>
          <w:color w:val="000000" w:themeColor="text1"/>
        </w:rPr>
        <w:t xml:space="preserve">First, HNWI-philanthropists demonstrate a preference for quantitative measurement of social impact – a trend dubbed ‘quantiphilia’ (Bosworth, 2011) – using tools such as Social Return on Investment (SROI) (Brest &amp; Harvey, 2008), </w:t>
      </w:r>
      <w:proofErr w:type="spellStart"/>
      <w:r w:rsidRPr="6FF1A3C2">
        <w:rPr>
          <w:rFonts w:ascii="Calibri" w:eastAsia="Calibri" w:hAnsi="Calibri" w:cs="Calibri"/>
          <w:color w:val="000000" w:themeColor="text1"/>
        </w:rPr>
        <w:t>Randomised</w:t>
      </w:r>
      <w:proofErr w:type="spellEnd"/>
      <w:r w:rsidRPr="6FF1A3C2">
        <w:rPr>
          <w:rFonts w:ascii="Calibri" w:eastAsia="Calibri" w:hAnsi="Calibri" w:cs="Calibri"/>
          <w:color w:val="000000" w:themeColor="text1"/>
        </w:rPr>
        <w:t xml:space="preserve"> Controlled Trials (RCTs) (de Souza </w:t>
      </w:r>
      <w:proofErr w:type="spellStart"/>
      <w:r w:rsidRPr="6FF1A3C2">
        <w:rPr>
          <w:rFonts w:ascii="Calibri" w:eastAsia="Calibri" w:hAnsi="Calibri" w:cs="Calibri"/>
          <w:color w:val="000000" w:themeColor="text1"/>
        </w:rPr>
        <w:t>Leão</w:t>
      </w:r>
      <w:proofErr w:type="spellEnd"/>
      <w:r w:rsidRPr="6FF1A3C2">
        <w:rPr>
          <w:rFonts w:ascii="Calibri" w:eastAsia="Calibri" w:hAnsi="Calibri" w:cs="Calibri"/>
          <w:color w:val="000000" w:themeColor="text1"/>
        </w:rPr>
        <w:t xml:space="preserve"> &amp; </w:t>
      </w:r>
      <w:proofErr w:type="spellStart"/>
      <w:r w:rsidRPr="6FF1A3C2">
        <w:rPr>
          <w:rFonts w:ascii="Calibri" w:eastAsia="Calibri" w:hAnsi="Calibri" w:cs="Calibri"/>
          <w:color w:val="000000" w:themeColor="text1"/>
        </w:rPr>
        <w:t>Eyal</w:t>
      </w:r>
      <w:proofErr w:type="spellEnd"/>
      <w:r w:rsidRPr="6FF1A3C2">
        <w:rPr>
          <w:rFonts w:ascii="Calibri" w:eastAsia="Calibri" w:hAnsi="Calibri" w:cs="Calibri"/>
          <w:color w:val="000000" w:themeColor="text1"/>
        </w:rPr>
        <w:t xml:space="preserve">, 2019; Kumar &amp; Brooks, 2021), or Quality-Adjusted Life Years (QUALYs) (MacAskill, 2015; Kumar, 2019). Each of these seeks to objectify and quantify social impact, allowing funders to compare different options and identify who is most efficient and </w:t>
      </w:r>
      <w:r w:rsidRPr="6FF1A3C2">
        <w:rPr>
          <w:rFonts w:ascii="Calibri" w:eastAsia="Calibri" w:hAnsi="Calibri" w:cs="Calibri"/>
          <w:color w:val="000000" w:themeColor="text1"/>
        </w:rPr>
        <w:lastRenderedPageBreak/>
        <w:t xml:space="preserve">effective (Kumar &amp; Brooks, 2021). However, such techniques have been criticised for over-simplifying highly subjective social situations. Social performance is a multifaceted, multidimensional concept that cannot be reduced into a single, meaningful value through a </w:t>
      </w:r>
      <w:proofErr w:type="spellStart"/>
      <w:r w:rsidRPr="6FF1A3C2">
        <w:rPr>
          <w:rFonts w:ascii="Calibri" w:eastAsia="Calibri" w:hAnsi="Calibri" w:cs="Calibri"/>
          <w:color w:val="000000" w:themeColor="text1"/>
        </w:rPr>
        <w:t>standardised</w:t>
      </w:r>
      <w:proofErr w:type="spellEnd"/>
      <w:r w:rsidRPr="6FF1A3C2">
        <w:rPr>
          <w:rFonts w:ascii="Calibri" w:eastAsia="Calibri" w:hAnsi="Calibri" w:cs="Calibri"/>
          <w:color w:val="000000" w:themeColor="text1"/>
        </w:rPr>
        <w:t xml:space="preserve"> system (McGoey, 2015). Indeed, it is arguably naïve to assume that social impact can be so easily measured given the difficulties faced in the less challenging financial accounting (Nicholls et al., 2015). There are further challenges in demonstrating causality; it is perhaps impossible to definitively prove that an observed social impact was caused by the </w:t>
      </w:r>
      <w:proofErr w:type="gramStart"/>
      <w:r w:rsidRPr="6FF1A3C2">
        <w:rPr>
          <w:rFonts w:ascii="Calibri" w:eastAsia="Calibri" w:hAnsi="Calibri" w:cs="Calibri"/>
          <w:color w:val="000000" w:themeColor="text1"/>
        </w:rPr>
        <w:t>particular intervention</w:t>
      </w:r>
      <w:proofErr w:type="gramEnd"/>
      <w:r w:rsidRPr="6FF1A3C2">
        <w:rPr>
          <w:rFonts w:ascii="Calibri" w:eastAsia="Calibri" w:hAnsi="Calibri" w:cs="Calibri"/>
          <w:color w:val="000000" w:themeColor="text1"/>
        </w:rPr>
        <w:t xml:space="preserve"> in question (Tierney &amp; Fleishman, 2011; McGoey, 2015; Nicholls &amp; Patton, 2015). Impact measurement techniques may therefore result in a preference for supporting more measurable, rather than more needed, </w:t>
      </w:r>
      <w:proofErr w:type="spellStart"/>
      <w:r w:rsidRPr="6FF1A3C2">
        <w:rPr>
          <w:rFonts w:ascii="Calibri" w:eastAsia="Calibri" w:hAnsi="Calibri" w:cs="Calibri"/>
          <w:color w:val="000000" w:themeColor="text1"/>
        </w:rPr>
        <w:t>programmes</w:t>
      </w:r>
      <w:proofErr w:type="spellEnd"/>
      <w:r w:rsidRPr="6FF1A3C2">
        <w:rPr>
          <w:rFonts w:ascii="Calibri" w:eastAsia="Calibri" w:hAnsi="Calibri" w:cs="Calibri"/>
          <w:color w:val="000000" w:themeColor="text1"/>
        </w:rPr>
        <w:t xml:space="preserve"> or objectives (Buchanan, 2019). </w:t>
      </w:r>
      <w:proofErr w:type="gramStart"/>
      <w:r w:rsidRPr="6FF1A3C2">
        <w:rPr>
          <w:rFonts w:ascii="Calibri" w:eastAsia="Calibri" w:hAnsi="Calibri" w:cs="Calibri"/>
          <w:color w:val="000000" w:themeColor="text1"/>
        </w:rPr>
        <w:t>In particular, longer-term</w:t>
      </w:r>
      <w:proofErr w:type="gramEnd"/>
      <w:r w:rsidRPr="6FF1A3C2">
        <w:rPr>
          <w:rFonts w:ascii="Calibri" w:eastAsia="Calibri" w:hAnsi="Calibri" w:cs="Calibri"/>
          <w:color w:val="000000" w:themeColor="text1"/>
        </w:rPr>
        <w:t xml:space="preserve"> or advocacy-based initiatives are more complex to measure and, consequently, are likely to go unsupported by HNWI-philanthropists (Davies, 2015; Kumar, 2019). Finally, the pressure to yield a measurable return can reduce incentives for philanthropists to take risks. Given a key </w:t>
      </w:r>
      <w:r w:rsidR="2281FF90" w:rsidRPr="6FF1A3C2">
        <w:rPr>
          <w:rFonts w:ascii="Calibri" w:eastAsia="Calibri" w:hAnsi="Calibri" w:cs="Calibri"/>
          <w:color w:val="000000" w:themeColor="text1"/>
        </w:rPr>
        <w:t xml:space="preserve">proclaimed benefit of HNWI-philanthropists' lack of accountability </w:t>
      </w:r>
      <w:r w:rsidRPr="6FF1A3C2">
        <w:rPr>
          <w:rFonts w:ascii="Calibri" w:eastAsia="Calibri" w:hAnsi="Calibri" w:cs="Calibri"/>
          <w:color w:val="000000" w:themeColor="text1"/>
        </w:rPr>
        <w:t xml:space="preserve">is </w:t>
      </w:r>
      <w:r w:rsidR="31A84C57" w:rsidRPr="6FF1A3C2">
        <w:rPr>
          <w:rFonts w:ascii="Calibri" w:eastAsia="Calibri" w:hAnsi="Calibri" w:cs="Calibri"/>
          <w:color w:val="000000" w:themeColor="text1"/>
        </w:rPr>
        <w:t xml:space="preserve">the ability </w:t>
      </w:r>
      <w:r w:rsidRPr="6FF1A3C2">
        <w:rPr>
          <w:rFonts w:ascii="Calibri" w:eastAsia="Calibri" w:hAnsi="Calibri" w:cs="Calibri"/>
          <w:color w:val="000000" w:themeColor="text1"/>
        </w:rPr>
        <w:t xml:space="preserve">to pursue </w:t>
      </w:r>
      <w:proofErr w:type="gramStart"/>
      <w:r w:rsidRPr="6FF1A3C2">
        <w:rPr>
          <w:rFonts w:ascii="Calibri" w:eastAsia="Calibri" w:hAnsi="Calibri" w:cs="Calibri"/>
          <w:color w:val="000000" w:themeColor="text1"/>
        </w:rPr>
        <w:t>risks</w:t>
      </w:r>
      <w:proofErr w:type="gramEnd"/>
      <w:r w:rsidRPr="6FF1A3C2">
        <w:rPr>
          <w:rFonts w:ascii="Calibri" w:eastAsia="Calibri" w:hAnsi="Calibri" w:cs="Calibri"/>
          <w:color w:val="000000" w:themeColor="text1"/>
        </w:rPr>
        <w:t xml:space="preserve"> the risk-aversion embedded in current measurement practice is a substantial limitation by its own values. </w:t>
      </w:r>
    </w:p>
    <w:p w14:paraId="2937C55A" w14:textId="6E0808AF" w:rsidR="00B9481C" w:rsidRDefault="00B9481C" w:rsidP="00B9481C">
      <w:pPr>
        <w:keepNext/>
        <w:widowControl/>
        <w:numPr>
          <w:ilvl w:val="1"/>
          <w:numId w:val="2"/>
        </w:numPr>
        <w:spacing w:before="240" w:after="240"/>
        <w:rPr>
          <w:rFonts w:ascii="Calibri" w:eastAsia="Calibri" w:hAnsi="Calibri" w:cs="Calibri"/>
          <w:i/>
          <w:iCs/>
          <w:color w:val="000000" w:themeColor="text1"/>
        </w:rPr>
      </w:pPr>
      <w:r>
        <w:rPr>
          <w:rFonts w:ascii="Calibri" w:eastAsia="Calibri" w:hAnsi="Calibri" w:cs="Calibri"/>
          <w:i/>
          <w:iCs/>
          <w:color w:val="000000" w:themeColor="text1"/>
        </w:rPr>
        <w:t xml:space="preserve">Who </w:t>
      </w:r>
      <w:proofErr w:type="gramStart"/>
      <w:r>
        <w:rPr>
          <w:rFonts w:ascii="Calibri" w:eastAsia="Calibri" w:hAnsi="Calibri" w:cs="Calibri"/>
          <w:i/>
          <w:iCs/>
          <w:color w:val="000000" w:themeColor="text1"/>
        </w:rPr>
        <w:t>decides</w:t>
      </w:r>
      <w:proofErr w:type="gramEnd"/>
    </w:p>
    <w:p w14:paraId="794A5A8B" w14:textId="19C01054" w:rsidR="2CA5D542" w:rsidRDefault="742B2D4E" w:rsidP="6FF1A3C2">
      <w:pPr>
        <w:widowControl/>
        <w:spacing w:before="240"/>
        <w:ind w:right="-28" w:firstLine="238"/>
        <w:jc w:val="both"/>
        <w:rPr>
          <w:rFonts w:ascii="Calibri" w:eastAsia="Calibri" w:hAnsi="Calibri" w:cs="Calibri"/>
          <w:color w:val="000000" w:themeColor="text1"/>
        </w:rPr>
      </w:pPr>
      <w:r w:rsidRPr="6FF1A3C2">
        <w:rPr>
          <w:rFonts w:ascii="Calibri" w:eastAsia="Calibri" w:hAnsi="Calibri" w:cs="Calibri"/>
          <w:color w:val="000000" w:themeColor="text1"/>
        </w:rPr>
        <w:t xml:space="preserve">HNWI-philanthropists </w:t>
      </w:r>
      <w:r w:rsidR="2CA5D542" w:rsidRPr="6FF1A3C2">
        <w:rPr>
          <w:rFonts w:ascii="Calibri" w:eastAsia="Calibri" w:hAnsi="Calibri" w:cs="Calibri"/>
          <w:color w:val="000000" w:themeColor="text1"/>
        </w:rPr>
        <w:t xml:space="preserve">have great influence in the philanthropic </w:t>
      </w:r>
      <w:proofErr w:type="gramStart"/>
      <w:r w:rsidR="2CA5D542" w:rsidRPr="6FF1A3C2">
        <w:rPr>
          <w:rFonts w:ascii="Calibri" w:eastAsia="Calibri" w:hAnsi="Calibri" w:cs="Calibri"/>
          <w:color w:val="000000" w:themeColor="text1"/>
        </w:rPr>
        <w:t>relationship:</w:t>
      </w:r>
      <w:proofErr w:type="gramEnd"/>
      <w:r w:rsidR="2CA5D542" w:rsidRPr="6FF1A3C2">
        <w:rPr>
          <w:rFonts w:ascii="Calibri" w:eastAsia="Calibri" w:hAnsi="Calibri" w:cs="Calibri"/>
          <w:color w:val="000000" w:themeColor="text1"/>
        </w:rPr>
        <w:t xml:space="preserve"> given their extreme wealth, they hold immense power over recipients who may feel forced to succumb to their donors’ wishes in order to (continue to) receive their support (Ostrander, 2007; Tierney &amp; Fleishman, 2011). Due to the difficulties experienced in impact measurement, the choice of how to measure performance and which aspects of performance are measured will directly affect whether an initiative is deemed ‘effective’ or not (Davies, 2015). Measurement systems are performative (Power, 1994); by setting </w:t>
      </w:r>
      <w:proofErr w:type="gramStart"/>
      <w:r w:rsidR="2CA5D542" w:rsidRPr="6FF1A3C2">
        <w:rPr>
          <w:rFonts w:ascii="Calibri" w:eastAsia="Calibri" w:hAnsi="Calibri" w:cs="Calibri"/>
          <w:color w:val="000000" w:themeColor="text1"/>
        </w:rPr>
        <w:t>particular standards</w:t>
      </w:r>
      <w:proofErr w:type="gramEnd"/>
      <w:r w:rsidR="2CA5D542" w:rsidRPr="6FF1A3C2">
        <w:rPr>
          <w:rFonts w:ascii="Calibri" w:eastAsia="Calibri" w:hAnsi="Calibri" w:cs="Calibri"/>
          <w:color w:val="000000" w:themeColor="text1"/>
        </w:rPr>
        <w:t xml:space="preserve">, they affect the nature of organisations as they alter practices to become more ‘measurable’. Private individuals – who are not necessarily experts in that </w:t>
      </w:r>
      <w:proofErr w:type="gramStart"/>
      <w:r w:rsidR="2CA5D542" w:rsidRPr="6FF1A3C2">
        <w:rPr>
          <w:rFonts w:ascii="Calibri" w:eastAsia="Calibri" w:hAnsi="Calibri" w:cs="Calibri"/>
          <w:color w:val="000000" w:themeColor="text1"/>
        </w:rPr>
        <w:t>particular area</w:t>
      </w:r>
      <w:proofErr w:type="gramEnd"/>
      <w:r w:rsidR="2CA5D542" w:rsidRPr="6FF1A3C2">
        <w:rPr>
          <w:rFonts w:ascii="Calibri" w:eastAsia="Calibri" w:hAnsi="Calibri" w:cs="Calibri"/>
          <w:color w:val="000000" w:themeColor="text1"/>
        </w:rPr>
        <w:t xml:space="preserve"> (McGoey, 2015) – are hence placed in a position of power, shaping what matters and what </w:t>
      </w:r>
      <w:proofErr w:type="spellStart"/>
      <w:r w:rsidR="2CA5D542" w:rsidRPr="6FF1A3C2">
        <w:rPr>
          <w:rFonts w:ascii="Calibri" w:eastAsia="Calibri" w:hAnsi="Calibri" w:cs="Calibri"/>
          <w:color w:val="000000" w:themeColor="text1"/>
        </w:rPr>
        <w:t>programmes</w:t>
      </w:r>
      <w:proofErr w:type="spellEnd"/>
      <w:r w:rsidR="2CA5D542" w:rsidRPr="6FF1A3C2">
        <w:rPr>
          <w:rFonts w:ascii="Calibri" w:eastAsia="Calibri" w:hAnsi="Calibri" w:cs="Calibri"/>
          <w:color w:val="000000" w:themeColor="text1"/>
        </w:rPr>
        <w:t xml:space="preserve"> get funding. These individuals often have competing logics, both with each other and with the SPOs they engage with (Nicholls, 2010). This therefore raises concerns of ‘mission drift’ – SPOs may deviate from their primary social objectives to secure funding.</w:t>
      </w:r>
    </w:p>
    <w:p w14:paraId="12BAA392" w14:textId="41653E8B" w:rsidR="00B9481C" w:rsidRDefault="00B9481C" w:rsidP="00B9481C">
      <w:pPr>
        <w:keepNext/>
        <w:widowControl/>
        <w:numPr>
          <w:ilvl w:val="1"/>
          <w:numId w:val="2"/>
        </w:numPr>
        <w:spacing w:before="240" w:after="240"/>
        <w:rPr>
          <w:rFonts w:ascii="Calibri" w:eastAsia="Calibri" w:hAnsi="Calibri" w:cs="Calibri"/>
          <w:i/>
          <w:iCs/>
          <w:color w:val="000000" w:themeColor="text1"/>
        </w:rPr>
      </w:pPr>
      <w:r>
        <w:rPr>
          <w:rFonts w:ascii="Calibri" w:eastAsia="Calibri" w:hAnsi="Calibri" w:cs="Calibri"/>
          <w:i/>
          <w:iCs/>
          <w:color w:val="000000" w:themeColor="text1"/>
        </w:rPr>
        <w:t>Whether</w:t>
      </w:r>
      <w:r>
        <w:rPr>
          <w:rFonts w:ascii="Calibri" w:eastAsia="Calibri" w:hAnsi="Calibri" w:cs="Calibri"/>
          <w:i/>
          <w:iCs/>
          <w:color w:val="000000" w:themeColor="text1"/>
        </w:rPr>
        <w:t xml:space="preserve"> to measure</w:t>
      </w:r>
    </w:p>
    <w:p w14:paraId="045DC5F9" w14:textId="641D250C" w:rsidR="2CA5D542" w:rsidRDefault="2CA5D542" w:rsidP="6FF1A3C2">
      <w:pPr>
        <w:widowControl/>
        <w:spacing w:before="240"/>
        <w:ind w:right="-28" w:firstLine="238"/>
        <w:jc w:val="both"/>
        <w:rPr>
          <w:rFonts w:ascii="Calibri" w:eastAsia="Calibri" w:hAnsi="Calibri" w:cs="Calibri"/>
          <w:color w:val="000000" w:themeColor="text1"/>
        </w:rPr>
      </w:pPr>
      <w:r w:rsidRPr="6FF1A3C2">
        <w:rPr>
          <w:rFonts w:ascii="Calibri" w:eastAsia="Calibri" w:hAnsi="Calibri" w:cs="Calibri"/>
          <w:color w:val="000000" w:themeColor="text1"/>
        </w:rPr>
        <w:t xml:space="preserve">Alongside these practical concerns of impact measurement, there remains a philosophical debate regarding why impact ‘needs’ to be measured at all and whether it contributes to public good (Mathison, 2018; de Souza </w:t>
      </w:r>
      <w:proofErr w:type="spellStart"/>
      <w:r w:rsidRPr="6FF1A3C2">
        <w:rPr>
          <w:rFonts w:ascii="Calibri" w:eastAsia="Calibri" w:hAnsi="Calibri" w:cs="Calibri"/>
          <w:color w:val="000000" w:themeColor="text1"/>
        </w:rPr>
        <w:t>Leão</w:t>
      </w:r>
      <w:proofErr w:type="spellEnd"/>
      <w:r w:rsidRPr="6FF1A3C2">
        <w:rPr>
          <w:rFonts w:ascii="Calibri" w:eastAsia="Calibri" w:hAnsi="Calibri" w:cs="Calibri"/>
          <w:color w:val="000000" w:themeColor="text1"/>
        </w:rPr>
        <w:t xml:space="preserve"> &amp; </w:t>
      </w:r>
      <w:proofErr w:type="spellStart"/>
      <w:r w:rsidRPr="6FF1A3C2">
        <w:rPr>
          <w:rFonts w:ascii="Calibri" w:eastAsia="Calibri" w:hAnsi="Calibri" w:cs="Calibri"/>
          <w:color w:val="000000" w:themeColor="text1"/>
        </w:rPr>
        <w:t>Eyal</w:t>
      </w:r>
      <w:proofErr w:type="spellEnd"/>
      <w:r w:rsidRPr="6FF1A3C2">
        <w:rPr>
          <w:rFonts w:ascii="Calibri" w:eastAsia="Calibri" w:hAnsi="Calibri" w:cs="Calibri"/>
          <w:color w:val="000000" w:themeColor="text1"/>
        </w:rPr>
        <w:t>, 2019). Notably, many advocates of impact measurement acknowledge limitations of present measurement methods (</w:t>
      </w:r>
      <w:proofErr w:type="gramStart"/>
      <w:r w:rsidRPr="6FF1A3C2">
        <w:rPr>
          <w:rFonts w:ascii="Calibri" w:eastAsia="Calibri" w:hAnsi="Calibri" w:cs="Calibri"/>
          <w:color w:val="000000" w:themeColor="text1"/>
        </w:rPr>
        <w:t>e.g.</w:t>
      </w:r>
      <w:proofErr w:type="gramEnd"/>
      <w:r w:rsidRPr="6FF1A3C2">
        <w:rPr>
          <w:rFonts w:ascii="Calibri" w:eastAsia="Calibri" w:hAnsi="Calibri" w:cs="Calibri"/>
          <w:color w:val="000000" w:themeColor="text1"/>
        </w:rPr>
        <w:t xml:space="preserve"> Grant, 2012; Friedman, 2013; Buchanan, 2019; Kumar, 2019). However, they largely maintain that despite the lack of – and inability to ever create – a ‘perfect’ means of impact measurement, measuring performance remains essential to philanthropy (Buchanan, 2019; Kumar, 2019). As </w:t>
      </w:r>
      <w:proofErr w:type="spellStart"/>
      <w:r w:rsidRPr="6FF1A3C2">
        <w:rPr>
          <w:rFonts w:ascii="Calibri" w:eastAsia="Calibri" w:hAnsi="Calibri" w:cs="Calibri"/>
          <w:color w:val="000000" w:themeColor="text1"/>
        </w:rPr>
        <w:t>summarised</w:t>
      </w:r>
      <w:proofErr w:type="spellEnd"/>
      <w:r w:rsidRPr="6FF1A3C2">
        <w:rPr>
          <w:rFonts w:ascii="Calibri" w:eastAsia="Calibri" w:hAnsi="Calibri" w:cs="Calibri"/>
          <w:color w:val="000000" w:themeColor="text1"/>
        </w:rPr>
        <w:t xml:space="preserve"> by Bronfman and Solomon (2010, p.3): “If you cannot measure the impact of your gift, you should not make it. Without measurement, there can be no confidence in success”. </w:t>
      </w:r>
    </w:p>
    <w:p w14:paraId="67C16014" w14:textId="0E0D2BBA" w:rsidR="2CA5D542" w:rsidRDefault="2CA5D542" w:rsidP="6FF1A3C2">
      <w:pPr>
        <w:widowControl/>
        <w:spacing w:before="240"/>
        <w:ind w:right="-28" w:firstLine="238"/>
        <w:jc w:val="both"/>
        <w:rPr>
          <w:rFonts w:ascii="Calibri" w:eastAsia="Calibri" w:hAnsi="Calibri" w:cs="Calibri"/>
          <w:color w:val="000000" w:themeColor="text1"/>
        </w:rPr>
      </w:pPr>
      <w:r w:rsidRPr="6FF1A3C2">
        <w:rPr>
          <w:rFonts w:ascii="Calibri" w:eastAsia="Calibri" w:hAnsi="Calibri" w:cs="Calibri"/>
          <w:color w:val="000000" w:themeColor="text1"/>
        </w:rPr>
        <w:t xml:space="preserve">Contrastingly, critics argue that regardless of the relative merits and limitations of specific measurement techniques, the act of measuring social impact is problematic because it avoids and may even obscure more difficult questions regarding entrenched social issues (de Souza </w:t>
      </w:r>
      <w:proofErr w:type="spellStart"/>
      <w:r w:rsidRPr="6FF1A3C2">
        <w:rPr>
          <w:rFonts w:ascii="Calibri" w:eastAsia="Calibri" w:hAnsi="Calibri" w:cs="Calibri"/>
          <w:color w:val="000000" w:themeColor="text1"/>
        </w:rPr>
        <w:t>Leão</w:t>
      </w:r>
      <w:proofErr w:type="spellEnd"/>
      <w:r w:rsidRPr="6FF1A3C2">
        <w:rPr>
          <w:rFonts w:ascii="Calibri" w:eastAsia="Calibri" w:hAnsi="Calibri" w:cs="Calibri"/>
          <w:color w:val="000000" w:themeColor="text1"/>
        </w:rPr>
        <w:t xml:space="preserve"> &amp; </w:t>
      </w:r>
      <w:proofErr w:type="spellStart"/>
      <w:r w:rsidRPr="6FF1A3C2">
        <w:rPr>
          <w:rFonts w:ascii="Calibri" w:eastAsia="Calibri" w:hAnsi="Calibri" w:cs="Calibri"/>
          <w:color w:val="000000" w:themeColor="text1"/>
        </w:rPr>
        <w:t>Eyal</w:t>
      </w:r>
      <w:proofErr w:type="spellEnd"/>
      <w:r w:rsidRPr="6FF1A3C2">
        <w:rPr>
          <w:rFonts w:ascii="Calibri" w:eastAsia="Calibri" w:hAnsi="Calibri" w:cs="Calibri"/>
          <w:color w:val="000000" w:themeColor="text1"/>
        </w:rPr>
        <w:t>, 2019). As any evaluation method will inherently be based on, and hence constrained by, the prevailing values of the context in which they are developed, their use “fundamentally lacks independence”, serving to embed the status quo rather than advance a public good (Mathison, 2018, p.114).</w:t>
      </w:r>
    </w:p>
    <w:p w14:paraId="20CCC785" w14:textId="073AD8D5" w:rsidR="13763821" w:rsidRDefault="13763821" w:rsidP="6FF1A3C2">
      <w:pPr>
        <w:keepNext/>
        <w:widowControl/>
        <w:numPr>
          <w:ilvl w:val="0"/>
          <w:numId w:val="1"/>
        </w:numPr>
        <w:spacing w:before="240" w:after="240"/>
        <w:rPr>
          <w:rFonts w:ascii="Calibri" w:eastAsia="Calibri" w:hAnsi="Calibri" w:cs="Calibri"/>
          <w:b/>
          <w:bCs/>
          <w:color w:val="000000" w:themeColor="text1"/>
        </w:rPr>
      </w:pPr>
      <w:r w:rsidRPr="6FF1A3C2">
        <w:rPr>
          <w:rFonts w:ascii="Calibri" w:eastAsia="Calibri" w:hAnsi="Calibri" w:cs="Calibri"/>
          <w:b/>
          <w:bCs/>
          <w:color w:val="000000" w:themeColor="text1"/>
        </w:rPr>
        <w:lastRenderedPageBreak/>
        <w:t>Methods</w:t>
      </w:r>
    </w:p>
    <w:p w14:paraId="2598618A" w14:textId="1301C6D7" w:rsidR="479F0375" w:rsidRDefault="479F0375" w:rsidP="6FF1A3C2">
      <w:pPr>
        <w:widowControl/>
        <w:pBdr>
          <w:top w:val="nil"/>
          <w:left w:val="nil"/>
          <w:bottom w:val="nil"/>
          <w:right w:val="nil"/>
          <w:between w:val="nil"/>
        </w:pBdr>
        <w:ind w:right="-28" w:firstLine="238"/>
        <w:jc w:val="both"/>
        <w:rPr>
          <w:rFonts w:ascii="Calibri" w:eastAsia="Calibri" w:hAnsi="Calibri" w:cs="Calibri"/>
          <w:color w:val="000000" w:themeColor="text1"/>
        </w:rPr>
      </w:pPr>
      <w:r w:rsidRPr="6FF1A3C2">
        <w:rPr>
          <w:rFonts w:ascii="Calibri" w:eastAsia="Calibri" w:hAnsi="Calibri" w:cs="Calibri"/>
          <w:color w:val="000000" w:themeColor="text1"/>
        </w:rPr>
        <w:t>Research exploring HNWI-philanthropy has typically relied on small sample sizes (</w:t>
      </w:r>
      <w:proofErr w:type="gramStart"/>
      <w:r w:rsidRPr="6FF1A3C2">
        <w:rPr>
          <w:rFonts w:ascii="Calibri" w:eastAsia="Calibri" w:hAnsi="Calibri" w:cs="Calibri"/>
          <w:color w:val="000000" w:themeColor="text1"/>
        </w:rPr>
        <w:t>e.g.</w:t>
      </w:r>
      <w:proofErr w:type="gramEnd"/>
      <w:r w:rsidRPr="6FF1A3C2">
        <w:rPr>
          <w:rFonts w:ascii="Calibri" w:eastAsia="Calibri" w:hAnsi="Calibri" w:cs="Calibri"/>
          <w:color w:val="000000" w:themeColor="text1"/>
        </w:rPr>
        <w:t xml:space="preserve"> Godfrey, 2016) or secondary data sources (e.g. Goss, 2016; Hassid &amp; Jeffreys, 2015; Worth et al., 2020). This reflects methodological difficulties in researching HNWIs: definitions of how much wealth constitutes ‘high-net-worth’ vary, only the wealthiest and most public minority are typically recorded in publications such as The Sunday Times Rich List, and many HNWIs prefer to keep their philanthropy private (Hay and Muller 2012). To address the relative lack of first-hand insights into HNWI-philanthropy, I interviewed 42 HNWIs about their philanthropic activities.</w:t>
      </w:r>
    </w:p>
    <w:p w14:paraId="242777FD" w14:textId="04B04214" w:rsidR="09209128" w:rsidRDefault="09209128" w:rsidP="00B9481C">
      <w:pPr>
        <w:pStyle w:val="Normal0"/>
        <w:keepNext/>
        <w:widowControl/>
        <w:numPr>
          <w:ilvl w:val="1"/>
          <w:numId w:val="13"/>
        </w:numPr>
        <w:pBdr>
          <w:top w:val="nil"/>
          <w:left w:val="nil"/>
          <w:bottom w:val="nil"/>
          <w:right w:val="nil"/>
          <w:between w:val="nil"/>
        </w:pBdr>
        <w:spacing w:before="240" w:after="240"/>
        <w:rPr>
          <w:rFonts w:ascii="Calibri" w:eastAsia="Calibri" w:hAnsi="Calibri" w:cs="Calibri"/>
          <w:i/>
          <w:iCs/>
          <w:color w:val="000000" w:themeColor="text1"/>
        </w:rPr>
      </w:pPr>
      <w:r w:rsidRPr="6FF1A3C2">
        <w:rPr>
          <w:rFonts w:ascii="Calibri" w:eastAsia="Calibri" w:hAnsi="Calibri" w:cs="Calibri"/>
          <w:i/>
          <w:iCs/>
          <w:color w:val="000000" w:themeColor="text1"/>
        </w:rPr>
        <w:t>Semi-Structured Interviews</w:t>
      </w:r>
    </w:p>
    <w:p w14:paraId="790B2284" w14:textId="5EE5D3C5" w:rsidR="09209128" w:rsidRDefault="09209128" w:rsidP="6FF1A3C2">
      <w:pPr>
        <w:widowControl/>
        <w:pBdr>
          <w:top w:val="nil"/>
          <w:left w:val="nil"/>
          <w:bottom w:val="nil"/>
          <w:right w:val="nil"/>
          <w:between w:val="nil"/>
        </w:pBdr>
        <w:ind w:right="-28" w:firstLine="238"/>
        <w:jc w:val="both"/>
        <w:rPr>
          <w:rFonts w:ascii="Calibri" w:eastAsia="Calibri" w:hAnsi="Calibri" w:cs="Calibri"/>
          <w:color w:val="000000" w:themeColor="text1"/>
        </w:rPr>
      </w:pPr>
      <w:r w:rsidRPr="6FF1A3C2">
        <w:rPr>
          <w:rFonts w:ascii="Calibri" w:eastAsia="Calibri" w:hAnsi="Calibri" w:cs="Calibri"/>
          <w:color w:val="000000" w:themeColor="text1"/>
        </w:rPr>
        <w:t>The primary method of data collection used in this study was semi-structured interviews with UK-based HNWI-philanthropists. The semi-structured approach provided a productive balance between structure and flexibility: participants were able to raise issues they considered important and provide responses in their own terms and language; the interviewer was able to adapt the question order and ask follow-up questions based on responses given (Eriksson and Kovalainen 2016). All interviews took place between January and June 2019. Each interview lasted, on average, 60 minutes, and took place in a mutually convenient location – most often at the participant’s place of work. Interviewees were asked about their philanthropic activities including why and how they give, how much they give, who they give to, and what influences these decisions and actions.</w:t>
      </w:r>
    </w:p>
    <w:p w14:paraId="24DFFB22" w14:textId="04B04214" w:rsidR="09209128" w:rsidRDefault="09209128" w:rsidP="00B9481C">
      <w:pPr>
        <w:pStyle w:val="Normal0"/>
        <w:keepNext/>
        <w:widowControl/>
        <w:numPr>
          <w:ilvl w:val="1"/>
          <w:numId w:val="13"/>
        </w:numPr>
        <w:pBdr>
          <w:top w:val="nil"/>
          <w:left w:val="nil"/>
          <w:bottom w:val="nil"/>
          <w:right w:val="nil"/>
          <w:between w:val="nil"/>
        </w:pBdr>
        <w:spacing w:before="240" w:after="240"/>
        <w:rPr>
          <w:rFonts w:ascii="Calibri" w:eastAsia="Calibri" w:hAnsi="Calibri" w:cs="Calibri"/>
          <w:i/>
          <w:iCs/>
          <w:color w:val="000000" w:themeColor="text1"/>
        </w:rPr>
      </w:pPr>
      <w:r w:rsidRPr="6FF1A3C2">
        <w:rPr>
          <w:rFonts w:ascii="Calibri" w:eastAsia="Calibri" w:hAnsi="Calibri" w:cs="Calibri"/>
          <w:i/>
          <w:iCs/>
          <w:color w:val="000000" w:themeColor="text1"/>
        </w:rPr>
        <w:t>Semi-Structured Interviews</w:t>
      </w:r>
    </w:p>
    <w:p w14:paraId="44575DB8" w14:textId="233868B3" w:rsidR="09209128" w:rsidRDefault="09209128" w:rsidP="6FF1A3C2">
      <w:pPr>
        <w:widowControl/>
        <w:pBdr>
          <w:top w:val="nil"/>
          <w:left w:val="nil"/>
          <w:bottom w:val="nil"/>
          <w:right w:val="nil"/>
          <w:between w:val="nil"/>
        </w:pBdr>
        <w:ind w:right="-28" w:firstLine="238"/>
        <w:jc w:val="both"/>
        <w:rPr>
          <w:rFonts w:ascii="Calibri" w:eastAsia="Calibri" w:hAnsi="Calibri" w:cs="Calibri"/>
          <w:color w:val="000000" w:themeColor="text1"/>
        </w:rPr>
      </w:pPr>
      <w:r w:rsidRPr="6FF1A3C2">
        <w:rPr>
          <w:rFonts w:ascii="Calibri" w:eastAsia="Calibri" w:hAnsi="Calibri" w:cs="Calibri"/>
          <w:color w:val="000000" w:themeColor="text1"/>
        </w:rPr>
        <w:t xml:space="preserve">Initial interviewees were recruited via gatekeepers; subsequent interviewees were recruited via snowball sampling. Given the restrictions typically impeding research on HNWIs (Hay and Muller 2012), these recruitment methods were essential for identifying and accessing participants. Indeed, several interviewees noted they had only agreed to participate as either a recommendation from or </w:t>
      </w:r>
      <w:proofErr w:type="spellStart"/>
      <w:r w:rsidRPr="6FF1A3C2">
        <w:rPr>
          <w:rFonts w:ascii="Calibri" w:eastAsia="Calibri" w:hAnsi="Calibri" w:cs="Calibri"/>
          <w:color w:val="000000" w:themeColor="text1"/>
        </w:rPr>
        <w:t>favour</w:t>
      </w:r>
      <w:proofErr w:type="spellEnd"/>
      <w:r w:rsidRPr="6FF1A3C2">
        <w:rPr>
          <w:rFonts w:ascii="Calibri" w:eastAsia="Calibri" w:hAnsi="Calibri" w:cs="Calibri"/>
          <w:color w:val="000000" w:themeColor="text1"/>
        </w:rPr>
        <w:t xml:space="preserve"> to one of these gatekeepers. Gatekeepers broadly represented prominent institutional funders and intermediary organisations in the UK philanthropy landscape (Table </w:t>
      </w:r>
      <w:r w:rsidR="00310043">
        <w:rPr>
          <w:rFonts w:ascii="Calibri" w:eastAsia="Calibri" w:hAnsi="Calibri" w:cs="Calibri"/>
          <w:color w:val="000000" w:themeColor="text1"/>
        </w:rPr>
        <w:t>1</w:t>
      </w:r>
      <w:r w:rsidRPr="6FF1A3C2">
        <w:rPr>
          <w:rFonts w:ascii="Calibri" w:eastAsia="Calibri" w:hAnsi="Calibri" w:cs="Calibri"/>
          <w:color w:val="000000" w:themeColor="text1"/>
        </w:rPr>
        <w:t>). Gatekeepers 1, 2, 6, and 8 were already known to the lead author; gatekeeper 4 was contacted after their organisation was identified as a relevant leader in the UK philanthropy landscape; gatekeepers 3, 7, and 5 were referrals from other gatekeepers. In November and December 2018, gatekeepers were met with for scoping meetings to: aid understanding of field-specific terminology; identify and understand current trends in the UK philanthropy landscape; and establish rapport, aiding identification of and access to potential interviewees.</w:t>
      </w:r>
    </w:p>
    <w:p w14:paraId="40CC10ED" w14:textId="6A13F55B" w:rsidR="6FF1A3C2" w:rsidRDefault="6FF1A3C2" w:rsidP="6FF1A3C2">
      <w:pPr>
        <w:widowControl/>
        <w:pBdr>
          <w:top w:val="nil"/>
          <w:left w:val="nil"/>
          <w:bottom w:val="nil"/>
          <w:right w:val="nil"/>
          <w:between w:val="nil"/>
        </w:pBdr>
        <w:ind w:right="-28" w:firstLine="238"/>
        <w:jc w:val="both"/>
        <w:rPr>
          <w:rFonts w:ascii="Calibri" w:eastAsia="Calibri" w:hAnsi="Calibri" w:cs="Calibri"/>
          <w:color w:val="000000" w:themeColor="text1"/>
        </w:rPr>
      </w:pPr>
    </w:p>
    <w:p w14:paraId="2B7E66B1" w14:textId="77777777" w:rsidR="001F7F52" w:rsidRDefault="001F7F52">
      <w:pPr>
        <w:rPr>
          <w:rFonts w:ascii="Calibri" w:eastAsia="Calibri" w:hAnsi="Calibri" w:cs="Calibri"/>
          <w:color w:val="000000" w:themeColor="text1"/>
          <w:sz w:val="16"/>
          <w:szCs w:val="16"/>
          <w:lang w:eastAsia="en-US"/>
        </w:rPr>
      </w:pPr>
      <w:r>
        <w:rPr>
          <w:rFonts w:ascii="Calibri" w:eastAsia="Calibri" w:hAnsi="Calibri" w:cs="Calibri"/>
          <w:color w:val="000000" w:themeColor="text1"/>
          <w:sz w:val="16"/>
          <w:szCs w:val="16"/>
        </w:rPr>
        <w:br w:type="page"/>
      </w:r>
    </w:p>
    <w:p w14:paraId="2A7DDA4E" w14:textId="0FC24930" w:rsidR="09209128" w:rsidRDefault="09209128" w:rsidP="6FF1A3C2">
      <w:pPr>
        <w:pStyle w:val="Normal0"/>
        <w:keepLines/>
        <w:widowControl/>
        <w:pBdr>
          <w:top w:val="nil"/>
          <w:left w:val="nil"/>
          <w:bottom w:val="nil"/>
          <w:right w:val="nil"/>
          <w:between w:val="nil"/>
        </w:pBdr>
        <w:spacing w:before="200" w:after="240"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lastRenderedPageBreak/>
        <w:t>Table 1. Overview of gatekeepers.</w:t>
      </w:r>
    </w:p>
    <w:tbl>
      <w:tblPr>
        <w:tblStyle w:val="NormalTable0"/>
        <w:tblW w:w="0" w:type="auto"/>
        <w:jc w:val="center"/>
        <w:tblLook w:val="0000" w:firstRow="0" w:lastRow="0" w:firstColumn="0" w:lastColumn="0" w:noHBand="0" w:noVBand="0"/>
      </w:tblPr>
      <w:tblGrid>
        <w:gridCol w:w="1350"/>
        <w:gridCol w:w="5505"/>
      </w:tblGrid>
      <w:tr w:rsidR="6FF1A3C2" w14:paraId="28DCEFCE" w14:textId="77777777" w:rsidTr="6FF1A3C2">
        <w:trPr>
          <w:trHeight w:val="300"/>
          <w:jc w:val="center"/>
        </w:trPr>
        <w:tc>
          <w:tcPr>
            <w:tcW w:w="1350" w:type="dxa"/>
            <w:tcBorders>
              <w:top w:val="single" w:sz="4" w:space="0" w:color="000000" w:themeColor="text1"/>
              <w:bottom w:val="single" w:sz="4" w:space="0" w:color="000000" w:themeColor="text1"/>
            </w:tcBorders>
          </w:tcPr>
          <w:p w14:paraId="0A84FFCC" w14:textId="7E4404F4" w:rsidR="09209128" w:rsidRDefault="09209128" w:rsidP="6FF1A3C2">
            <w:pPr>
              <w:widowControl/>
              <w:spacing w:after="80" w:line="200" w:lineRule="auto"/>
            </w:pPr>
            <w:r w:rsidRPr="6FF1A3C2">
              <w:rPr>
                <w:rFonts w:ascii="Calibri" w:eastAsia="Calibri" w:hAnsi="Calibri" w:cs="Calibri"/>
                <w:color w:val="000000" w:themeColor="text1"/>
                <w:sz w:val="16"/>
                <w:szCs w:val="16"/>
              </w:rPr>
              <w:t>Gatekeeper</w:t>
            </w:r>
          </w:p>
        </w:tc>
        <w:tc>
          <w:tcPr>
            <w:tcW w:w="5505" w:type="dxa"/>
            <w:tcBorders>
              <w:top w:val="single" w:sz="4" w:space="0" w:color="000000" w:themeColor="text1"/>
              <w:bottom w:val="single" w:sz="4" w:space="0" w:color="000000" w:themeColor="text1"/>
            </w:tcBorders>
          </w:tcPr>
          <w:p w14:paraId="688F0E6C" w14:textId="1A99C87B" w:rsidR="09209128" w:rsidRDefault="09209128" w:rsidP="6FF1A3C2">
            <w:pPr>
              <w:widowControl/>
              <w:spacing w:after="80" w:line="200" w:lineRule="auto"/>
            </w:pPr>
            <w:r w:rsidRPr="6FF1A3C2">
              <w:rPr>
                <w:rFonts w:ascii="Calibri" w:eastAsia="Calibri" w:hAnsi="Calibri" w:cs="Calibri"/>
                <w:color w:val="000000" w:themeColor="text1"/>
                <w:sz w:val="16"/>
                <w:szCs w:val="16"/>
              </w:rPr>
              <w:t>Description</w:t>
            </w:r>
          </w:p>
        </w:tc>
      </w:tr>
      <w:tr w:rsidR="6FF1A3C2" w14:paraId="65ACA5E1" w14:textId="77777777" w:rsidTr="6FF1A3C2">
        <w:trPr>
          <w:trHeight w:val="300"/>
          <w:jc w:val="center"/>
        </w:trPr>
        <w:tc>
          <w:tcPr>
            <w:tcW w:w="1350" w:type="dxa"/>
            <w:tcBorders>
              <w:top w:val="single" w:sz="4" w:space="0" w:color="000000" w:themeColor="text1"/>
            </w:tcBorders>
          </w:tcPr>
          <w:p w14:paraId="20EEC2D4" w14:textId="1018A466" w:rsidR="09209128" w:rsidRDefault="09209128" w:rsidP="6FF1A3C2">
            <w:pPr>
              <w:widowControl/>
              <w:spacing w:after="80" w:line="200" w:lineRule="auto"/>
            </w:pPr>
            <w:r w:rsidRPr="6FF1A3C2">
              <w:rPr>
                <w:rFonts w:ascii="Calibri" w:eastAsia="Calibri" w:hAnsi="Calibri" w:cs="Calibri"/>
                <w:color w:val="000000" w:themeColor="text1"/>
                <w:sz w:val="16"/>
                <w:szCs w:val="16"/>
              </w:rPr>
              <w:t>1</w:t>
            </w:r>
          </w:p>
        </w:tc>
        <w:tc>
          <w:tcPr>
            <w:tcW w:w="5505" w:type="dxa"/>
            <w:tcBorders>
              <w:top w:val="single" w:sz="4" w:space="0" w:color="000000" w:themeColor="text1"/>
            </w:tcBorders>
          </w:tcPr>
          <w:p w14:paraId="3C78763B" w14:textId="3025A818" w:rsidR="78FFFCF7" w:rsidRDefault="78FFFCF7" w:rsidP="6FF1A3C2">
            <w:pPr>
              <w:pStyle w:val="Normal0"/>
              <w:widowControl/>
              <w:pBdr>
                <w:top w:val="nil"/>
                <w:left w:val="nil"/>
                <w:bottom w:val="nil"/>
                <w:right w:val="nil"/>
                <w:between w:val="nil"/>
              </w:pBdr>
              <w:spacing w:after="80"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Former leader of, and consultant to, multiple UK philanthropy organisations</w:t>
            </w:r>
          </w:p>
        </w:tc>
      </w:tr>
      <w:tr w:rsidR="6FF1A3C2" w14:paraId="0E988C82" w14:textId="77777777" w:rsidTr="6FF1A3C2">
        <w:trPr>
          <w:trHeight w:val="300"/>
          <w:jc w:val="center"/>
        </w:trPr>
        <w:tc>
          <w:tcPr>
            <w:tcW w:w="1350" w:type="dxa"/>
          </w:tcPr>
          <w:p w14:paraId="2407DB33" w14:textId="0B520AA1" w:rsidR="4A9B8D9E" w:rsidRDefault="4A9B8D9E" w:rsidP="6FF1A3C2">
            <w:pPr>
              <w:pStyle w:val="Normal0"/>
              <w:widowControl/>
              <w:pBdr>
                <w:top w:val="nil"/>
                <w:left w:val="nil"/>
                <w:bottom w:val="nil"/>
                <w:right w:val="nil"/>
                <w:between w:val="nil"/>
              </w:pBdr>
              <w:spacing w:after="80"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2</w:t>
            </w:r>
          </w:p>
        </w:tc>
        <w:tc>
          <w:tcPr>
            <w:tcW w:w="5505" w:type="dxa"/>
          </w:tcPr>
          <w:p w14:paraId="03745727" w14:textId="32A9AD59" w:rsidR="0A80641D" w:rsidRDefault="0A80641D" w:rsidP="6FF1A3C2">
            <w:pPr>
              <w:pStyle w:val="Normal0"/>
              <w:widowControl/>
              <w:pBdr>
                <w:top w:val="nil"/>
                <w:left w:val="nil"/>
                <w:bottom w:val="nil"/>
                <w:right w:val="nil"/>
                <w:between w:val="nil"/>
              </w:pBdr>
              <w:spacing w:after="80"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Co-founder and leader of a UK philanthropic foundation</w:t>
            </w:r>
          </w:p>
        </w:tc>
      </w:tr>
      <w:tr w:rsidR="6FF1A3C2" w14:paraId="168E5A13" w14:textId="77777777" w:rsidTr="6FF1A3C2">
        <w:trPr>
          <w:trHeight w:val="300"/>
          <w:jc w:val="center"/>
        </w:trPr>
        <w:tc>
          <w:tcPr>
            <w:tcW w:w="1350" w:type="dxa"/>
          </w:tcPr>
          <w:p w14:paraId="49606982" w14:textId="41BC3BA2" w:rsidR="6FF1A3C2" w:rsidRDefault="6FF1A3C2" w:rsidP="6FF1A3C2">
            <w:pPr>
              <w:pStyle w:val="Normal0"/>
              <w:widowControl/>
              <w:pBdr>
                <w:top w:val="nil"/>
                <w:left w:val="nil"/>
                <w:bottom w:val="nil"/>
                <w:right w:val="nil"/>
                <w:between w:val="nil"/>
              </w:pBdr>
              <w:spacing w:after="80"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3</w:t>
            </w:r>
          </w:p>
        </w:tc>
        <w:tc>
          <w:tcPr>
            <w:tcW w:w="5505" w:type="dxa"/>
          </w:tcPr>
          <w:p w14:paraId="7773AC98" w14:textId="0D2FFFE5" w:rsidR="6FF1A3C2" w:rsidRDefault="6FF1A3C2" w:rsidP="6FF1A3C2">
            <w:pPr>
              <w:pStyle w:val="Normal0"/>
              <w:widowControl/>
              <w:pBdr>
                <w:top w:val="nil"/>
                <w:left w:val="nil"/>
                <w:bottom w:val="nil"/>
                <w:right w:val="nil"/>
                <w:between w:val="nil"/>
              </w:pBdr>
              <w:spacing w:after="80"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Co-founder and former chair of several philanthropic organisations, previously based in the UK</w:t>
            </w:r>
          </w:p>
        </w:tc>
      </w:tr>
      <w:tr w:rsidR="6FF1A3C2" w14:paraId="4BFE909E" w14:textId="77777777" w:rsidTr="6FF1A3C2">
        <w:trPr>
          <w:trHeight w:val="300"/>
          <w:jc w:val="center"/>
        </w:trPr>
        <w:tc>
          <w:tcPr>
            <w:tcW w:w="1350" w:type="dxa"/>
          </w:tcPr>
          <w:p w14:paraId="44AA7B60" w14:textId="380B8701" w:rsidR="257B37C5" w:rsidRDefault="257B37C5" w:rsidP="6FF1A3C2">
            <w:pPr>
              <w:spacing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4</w:t>
            </w:r>
          </w:p>
        </w:tc>
        <w:tc>
          <w:tcPr>
            <w:tcW w:w="5505" w:type="dxa"/>
          </w:tcPr>
          <w:p w14:paraId="292AED87" w14:textId="2363EFA9" w:rsidR="257B37C5" w:rsidRDefault="257B37C5" w:rsidP="6FF1A3C2">
            <w:pPr>
              <w:spacing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Director of a UK social investment fund</w:t>
            </w:r>
          </w:p>
        </w:tc>
      </w:tr>
      <w:tr w:rsidR="6FF1A3C2" w14:paraId="3C64DA52" w14:textId="77777777" w:rsidTr="6FF1A3C2">
        <w:trPr>
          <w:trHeight w:val="300"/>
          <w:jc w:val="center"/>
        </w:trPr>
        <w:tc>
          <w:tcPr>
            <w:tcW w:w="1350" w:type="dxa"/>
          </w:tcPr>
          <w:p w14:paraId="23DC3FF7" w14:textId="63B77CBA" w:rsidR="257B37C5" w:rsidRDefault="257B37C5" w:rsidP="6FF1A3C2">
            <w:pPr>
              <w:spacing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5</w:t>
            </w:r>
          </w:p>
        </w:tc>
        <w:tc>
          <w:tcPr>
            <w:tcW w:w="5505" w:type="dxa"/>
          </w:tcPr>
          <w:p w14:paraId="23B4A630" w14:textId="6161CABD" w:rsidR="257B37C5" w:rsidRDefault="257B37C5" w:rsidP="6FF1A3C2">
            <w:pPr>
              <w:spacing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Executive at a UK social investment fund</w:t>
            </w:r>
          </w:p>
        </w:tc>
      </w:tr>
      <w:tr w:rsidR="6FF1A3C2" w14:paraId="40E3EABC" w14:textId="77777777" w:rsidTr="6FF1A3C2">
        <w:trPr>
          <w:trHeight w:val="300"/>
          <w:jc w:val="center"/>
        </w:trPr>
        <w:tc>
          <w:tcPr>
            <w:tcW w:w="1350" w:type="dxa"/>
          </w:tcPr>
          <w:p w14:paraId="79452B2D" w14:textId="7CAD60B7" w:rsidR="257B37C5" w:rsidRDefault="257B37C5" w:rsidP="6FF1A3C2">
            <w:pPr>
              <w:spacing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6</w:t>
            </w:r>
          </w:p>
        </w:tc>
        <w:tc>
          <w:tcPr>
            <w:tcW w:w="5505" w:type="dxa"/>
          </w:tcPr>
          <w:p w14:paraId="0C0FB0F6" w14:textId="42AF90CF" w:rsidR="257B37C5" w:rsidRDefault="257B37C5" w:rsidP="6FF1A3C2">
            <w:pPr>
              <w:spacing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Partner and social impact advisor at a UK legal and financial services firm</w:t>
            </w:r>
          </w:p>
        </w:tc>
      </w:tr>
      <w:tr w:rsidR="6FF1A3C2" w14:paraId="37A7A165" w14:textId="77777777" w:rsidTr="6FF1A3C2">
        <w:trPr>
          <w:trHeight w:val="300"/>
          <w:jc w:val="center"/>
        </w:trPr>
        <w:tc>
          <w:tcPr>
            <w:tcW w:w="1350" w:type="dxa"/>
          </w:tcPr>
          <w:p w14:paraId="0A264509" w14:textId="6BFE9DF6" w:rsidR="257B37C5" w:rsidRDefault="257B37C5" w:rsidP="6FF1A3C2">
            <w:pPr>
              <w:spacing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7</w:t>
            </w:r>
          </w:p>
        </w:tc>
        <w:tc>
          <w:tcPr>
            <w:tcW w:w="5505" w:type="dxa"/>
          </w:tcPr>
          <w:p w14:paraId="054A16C2" w14:textId="2AB5AE14" w:rsidR="257B37C5" w:rsidRDefault="257B37C5" w:rsidP="6FF1A3C2">
            <w:pPr>
              <w:spacing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Philanthropy advisor at a UK legal and financial services firm</w:t>
            </w:r>
          </w:p>
        </w:tc>
      </w:tr>
      <w:tr w:rsidR="6FF1A3C2" w14:paraId="19B987CE" w14:textId="77777777" w:rsidTr="6FF1A3C2">
        <w:trPr>
          <w:trHeight w:val="300"/>
          <w:jc w:val="center"/>
        </w:trPr>
        <w:tc>
          <w:tcPr>
            <w:tcW w:w="1350" w:type="dxa"/>
            <w:tcBorders>
              <w:bottom w:val="single" w:sz="4" w:space="0" w:color="000000" w:themeColor="text1"/>
            </w:tcBorders>
          </w:tcPr>
          <w:p w14:paraId="0B8ED266" w14:textId="01CD7293" w:rsidR="257B37C5" w:rsidRDefault="257B37C5" w:rsidP="6FF1A3C2">
            <w:pPr>
              <w:spacing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8</w:t>
            </w:r>
          </w:p>
        </w:tc>
        <w:tc>
          <w:tcPr>
            <w:tcW w:w="5505" w:type="dxa"/>
            <w:tcBorders>
              <w:bottom w:val="single" w:sz="4" w:space="0" w:color="000000" w:themeColor="text1"/>
            </w:tcBorders>
          </w:tcPr>
          <w:p w14:paraId="54A859FB" w14:textId="1F24A94B" w:rsidR="257B37C5" w:rsidRDefault="257B37C5" w:rsidP="6FF1A3C2">
            <w:pPr>
              <w:spacing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Political economist</w:t>
            </w:r>
          </w:p>
        </w:tc>
      </w:tr>
    </w:tbl>
    <w:p w14:paraId="49FD5072" w14:textId="1000F7B3" w:rsidR="6FF1A3C2" w:rsidRDefault="6FF1A3C2">
      <w:pPr>
        <w:pStyle w:val="Normal0"/>
      </w:pPr>
    </w:p>
    <w:p w14:paraId="7AC07021" w14:textId="39C85392" w:rsidR="257B37C5" w:rsidRDefault="257B37C5" w:rsidP="6FF1A3C2">
      <w:pPr>
        <w:widowControl/>
        <w:pBdr>
          <w:top w:val="nil"/>
          <w:left w:val="nil"/>
          <w:bottom w:val="nil"/>
          <w:right w:val="nil"/>
          <w:between w:val="nil"/>
        </w:pBdr>
        <w:ind w:right="-28" w:firstLine="238"/>
        <w:jc w:val="both"/>
        <w:rPr>
          <w:rFonts w:ascii="Calibri" w:eastAsia="Calibri" w:hAnsi="Calibri" w:cs="Calibri"/>
          <w:color w:val="000000" w:themeColor="text1"/>
        </w:rPr>
      </w:pPr>
      <w:r w:rsidRPr="6FF1A3C2">
        <w:rPr>
          <w:rFonts w:ascii="Calibri" w:eastAsia="Calibri" w:hAnsi="Calibri" w:cs="Calibri"/>
          <w:color w:val="000000" w:themeColor="text1"/>
        </w:rPr>
        <w:t>Following scoping meetings, gatekeepers provided access to their extensive networks, supporting identification of and access to HNWI-philanthropists, including those who are private with their philanthropy and therefore could not otherwise have been identified. Gatekeepers also acted as ‘screens’ (Noy, 2008) to ensure only individuals relevant to this study were recruited.</w:t>
      </w:r>
    </w:p>
    <w:p w14:paraId="20878ADE" w14:textId="3E02AE03" w:rsidR="257B37C5" w:rsidRDefault="257B37C5" w:rsidP="00B9481C">
      <w:pPr>
        <w:keepNext/>
        <w:widowControl/>
        <w:numPr>
          <w:ilvl w:val="1"/>
          <w:numId w:val="13"/>
        </w:numPr>
        <w:spacing w:before="240" w:after="240"/>
        <w:rPr>
          <w:rFonts w:ascii="Calibri" w:eastAsia="Calibri" w:hAnsi="Calibri" w:cs="Calibri"/>
          <w:i/>
          <w:iCs/>
          <w:color w:val="000000" w:themeColor="text1"/>
        </w:rPr>
      </w:pPr>
      <w:r w:rsidRPr="6FF1A3C2">
        <w:rPr>
          <w:rFonts w:ascii="Calibri" w:eastAsia="Calibri" w:hAnsi="Calibri" w:cs="Calibri"/>
          <w:i/>
          <w:iCs/>
          <w:color w:val="000000" w:themeColor="text1"/>
        </w:rPr>
        <w:t>Inclusion criteria</w:t>
      </w:r>
    </w:p>
    <w:p w14:paraId="07F49A1B" w14:textId="4E4E6981" w:rsidR="257B37C5" w:rsidRDefault="257B37C5" w:rsidP="6FF1A3C2">
      <w:pPr>
        <w:widowControl/>
        <w:pBdr>
          <w:top w:val="nil"/>
          <w:left w:val="nil"/>
          <w:bottom w:val="nil"/>
          <w:right w:val="nil"/>
          <w:between w:val="nil"/>
        </w:pBdr>
        <w:spacing w:before="240"/>
        <w:ind w:right="-28" w:firstLine="238"/>
        <w:jc w:val="both"/>
        <w:rPr>
          <w:rFonts w:ascii="Calibri" w:eastAsia="Calibri" w:hAnsi="Calibri" w:cs="Calibri"/>
          <w:color w:val="000000" w:themeColor="text1"/>
        </w:rPr>
      </w:pPr>
      <w:r w:rsidRPr="6FF1A3C2">
        <w:rPr>
          <w:rFonts w:ascii="Calibri" w:eastAsia="Calibri" w:hAnsi="Calibri" w:cs="Calibri"/>
          <w:color w:val="000000" w:themeColor="text1"/>
        </w:rPr>
        <w:t xml:space="preserve">Inclusion criteria for selecting participants </w:t>
      </w:r>
      <w:proofErr w:type="gramStart"/>
      <w:r w:rsidRPr="6FF1A3C2">
        <w:rPr>
          <w:rFonts w:ascii="Calibri" w:eastAsia="Calibri" w:hAnsi="Calibri" w:cs="Calibri"/>
          <w:color w:val="000000" w:themeColor="text1"/>
        </w:rPr>
        <w:t>were:</w:t>
      </w:r>
      <w:proofErr w:type="gramEnd"/>
      <w:r w:rsidRPr="6FF1A3C2">
        <w:rPr>
          <w:rFonts w:ascii="Calibri" w:eastAsia="Calibri" w:hAnsi="Calibri" w:cs="Calibri"/>
          <w:color w:val="000000" w:themeColor="text1"/>
        </w:rPr>
        <w:t xml:space="preserve"> based predominantly in the UK; classed as HNWI; and engaging in philanthropy. We focus on the UK context to address the (over)dominance of US perspectives in the HNWI-philanthropy literature. The UK is home to </w:t>
      </w:r>
      <w:proofErr w:type="gramStart"/>
      <w:r w:rsidRPr="6FF1A3C2">
        <w:rPr>
          <w:rFonts w:ascii="Calibri" w:eastAsia="Calibri" w:hAnsi="Calibri" w:cs="Calibri"/>
          <w:color w:val="000000" w:themeColor="text1"/>
        </w:rPr>
        <w:t>a number of</w:t>
      </w:r>
      <w:proofErr w:type="gramEnd"/>
      <w:r w:rsidRPr="6FF1A3C2">
        <w:rPr>
          <w:rFonts w:ascii="Calibri" w:eastAsia="Calibri" w:hAnsi="Calibri" w:cs="Calibri"/>
          <w:color w:val="000000" w:themeColor="text1"/>
        </w:rPr>
        <w:t xml:space="preserve"> influential HNWI-philanthropists (Breeze and Lloyd 2013), yet there remains a relative lack of recent empirical research examining their attitudes and experiences towards reciprocity. We classified HNWIs using the UK Financial Conduct Authority’s</w:t>
      </w:r>
      <w:r w:rsidRPr="6FF1A3C2">
        <w:rPr>
          <w:rStyle w:val="FootnoteReference"/>
          <w:rFonts w:ascii="Calibri" w:eastAsia="Calibri" w:hAnsi="Calibri" w:cs="Calibri"/>
          <w:color w:val="000000" w:themeColor="text1"/>
          <w:vertAlign w:val="baseline"/>
        </w:rPr>
        <w:footnoteReference w:id="1"/>
      </w:r>
      <w:r w:rsidRPr="6FF1A3C2">
        <w:rPr>
          <w:rFonts w:ascii="Calibri" w:eastAsia="Calibri" w:hAnsi="Calibri" w:cs="Calibri"/>
          <w:color w:val="000000" w:themeColor="text1"/>
        </w:rPr>
        <w:t xml:space="preserve"> definition: at least £250,000 in net assets, excluding primary residence, and/or at least £100,000 in annual income (FCA, 2017). This definition is broadly aligned with criteria used in other studies of HNWI-philanthropists, and only a minority of the UK population meet the FCA’s required thresholds to be a ‘certified HNWI’, specifically the top 2-3% of earners (Office for National Statistics, 2020) and/or top 5% of wealth holders (</w:t>
      </w:r>
      <w:proofErr w:type="spellStart"/>
      <w:r w:rsidRPr="6FF1A3C2">
        <w:rPr>
          <w:rFonts w:ascii="Calibri" w:eastAsia="Calibri" w:hAnsi="Calibri" w:cs="Calibri"/>
          <w:color w:val="000000" w:themeColor="text1"/>
        </w:rPr>
        <w:t>Arudvani</w:t>
      </w:r>
      <w:proofErr w:type="spellEnd"/>
      <w:r w:rsidRPr="6FF1A3C2">
        <w:rPr>
          <w:rFonts w:ascii="Calibri" w:eastAsia="Calibri" w:hAnsi="Calibri" w:cs="Calibri"/>
          <w:color w:val="000000" w:themeColor="text1"/>
        </w:rPr>
        <w:t xml:space="preserve"> et al., 2020). </w:t>
      </w:r>
    </w:p>
    <w:p w14:paraId="12123B65" w14:textId="6381EEA6" w:rsidR="257B37C5" w:rsidRDefault="257B37C5" w:rsidP="6FF1A3C2">
      <w:pPr>
        <w:widowControl/>
        <w:spacing w:before="240"/>
        <w:ind w:right="-28" w:firstLine="238"/>
        <w:jc w:val="both"/>
        <w:rPr>
          <w:rFonts w:ascii="Calibri" w:eastAsia="Calibri" w:hAnsi="Calibri" w:cs="Calibri"/>
          <w:color w:val="000000" w:themeColor="text1"/>
        </w:rPr>
      </w:pPr>
      <w:r w:rsidRPr="6FF1A3C2">
        <w:rPr>
          <w:rFonts w:ascii="Calibri" w:eastAsia="Calibri" w:hAnsi="Calibri" w:cs="Calibri"/>
          <w:color w:val="000000" w:themeColor="text1"/>
        </w:rPr>
        <w:t xml:space="preserve">Sampling and data collection were continued until data saturation was reached (Saunders et al. 2018). The resulting sample of this study included 42 UK-based HNWI-philanthropists (Table </w:t>
      </w:r>
      <w:r w:rsidR="00B9481C">
        <w:rPr>
          <w:rFonts w:ascii="Calibri" w:eastAsia="Calibri" w:hAnsi="Calibri" w:cs="Calibri"/>
          <w:color w:val="000000" w:themeColor="text1"/>
        </w:rPr>
        <w:t>2</w:t>
      </w:r>
      <w:r w:rsidRPr="6FF1A3C2">
        <w:rPr>
          <w:rFonts w:ascii="Calibri" w:eastAsia="Calibri" w:hAnsi="Calibri" w:cs="Calibri"/>
          <w:color w:val="000000" w:themeColor="text1"/>
        </w:rPr>
        <w:t xml:space="preserve">). To maintain confidentiality, identifiers are used when referring to or quoting participants. The letter included in identifiers signifies their self-attributed professional background; the number is researcher-attributed to differentiate between participants. Most participants give directly to charities, non-profits, and social enterprises, though several established their own </w:t>
      </w:r>
      <w:proofErr w:type="gramStart"/>
      <w:r w:rsidRPr="6FF1A3C2">
        <w:rPr>
          <w:rFonts w:ascii="Calibri" w:eastAsia="Calibri" w:hAnsi="Calibri" w:cs="Calibri"/>
          <w:color w:val="000000" w:themeColor="text1"/>
        </w:rPr>
        <w:t>such organisation</w:t>
      </w:r>
      <w:proofErr w:type="gramEnd"/>
      <w:r w:rsidRPr="6FF1A3C2">
        <w:rPr>
          <w:rFonts w:ascii="Calibri" w:eastAsia="Calibri" w:hAnsi="Calibri" w:cs="Calibri"/>
          <w:color w:val="000000" w:themeColor="text1"/>
        </w:rPr>
        <w:t xml:space="preserve">(s) to target their causes of interest or established a foundation as a vehicle to manage their philanthropy. The causes supported by participants are </w:t>
      </w:r>
      <w:proofErr w:type="spellStart"/>
      <w:r w:rsidRPr="6FF1A3C2">
        <w:rPr>
          <w:rFonts w:ascii="Calibri" w:eastAsia="Calibri" w:hAnsi="Calibri" w:cs="Calibri"/>
          <w:color w:val="000000" w:themeColor="text1"/>
        </w:rPr>
        <w:t>summarised</w:t>
      </w:r>
      <w:proofErr w:type="spellEnd"/>
      <w:r w:rsidRPr="6FF1A3C2">
        <w:rPr>
          <w:rFonts w:ascii="Calibri" w:eastAsia="Calibri" w:hAnsi="Calibri" w:cs="Calibri"/>
          <w:color w:val="000000" w:themeColor="text1"/>
        </w:rPr>
        <w:t xml:space="preserve"> in Table </w:t>
      </w:r>
      <w:r w:rsidR="00B9481C">
        <w:rPr>
          <w:rFonts w:ascii="Calibri" w:eastAsia="Calibri" w:hAnsi="Calibri" w:cs="Calibri"/>
          <w:color w:val="000000" w:themeColor="text1"/>
        </w:rPr>
        <w:t>3</w:t>
      </w:r>
      <w:r w:rsidRPr="6FF1A3C2">
        <w:rPr>
          <w:rFonts w:ascii="Calibri" w:eastAsia="Calibri" w:hAnsi="Calibri" w:cs="Calibri"/>
          <w:color w:val="000000" w:themeColor="text1"/>
        </w:rPr>
        <w:t>.</w:t>
      </w:r>
    </w:p>
    <w:p w14:paraId="0D5B3740" w14:textId="77777777" w:rsidR="00B9481C" w:rsidRDefault="00B9481C" w:rsidP="6FF1A3C2">
      <w:pPr>
        <w:widowControl/>
        <w:spacing w:before="240"/>
        <w:ind w:right="-28" w:firstLine="238"/>
        <w:jc w:val="both"/>
        <w:rPr>
          <w:rFonts w:ascii="Calibri" w:eastAsia="Calibri" w:hAnsi="Calibri" w:cs="Calibri"/>
          <w:color w:val="000000" w:themeColor="text1"/>
        </w:rPr>
        <w:sectPr w:rsidR="00B9481C">
          <w:headerReference w:type="even" r:id="rId8"/>
          <w:headerReference w:type="default" r:id="rId9"/>
          <w:footerReference w:type="even" r:id="rId10"/>
          <w:footerReference w:type="default" r:id="rId11"/>
          <w:headerReference w:type="first" r:id="rId12"/>
          <w:footerReference w:type="first" r:id="rId13"/>
          <w:pgSz w:w="10773" w:h="14742"/>
          <w:pgMar w:top="754" w:right="1191" w:bottom="2126" w:left="737" w:header="510" w:footer="907" w:gutter="0"/>
          <w:pgNumType w:start="1"/>
          <w:cols w:space="720"/>
          <w:titlePg/>
        </w:sectPr>
      </w:pPr>
    </w:p>
    <w:p w14:paraId="0DF78B5B" w14:textId="56739053" w:rsidR="00B9481C" w:rsidRPr="00B9481C" w:rsidRDefault="00B9481C" w:rsidP="001F7F52">
      <w:pPr>
        <w:spacing w:after="240"/>
        <w:rPr>
          <w:rFonts w:asciiTheme="minorHAnsi" w:hAnsiTheme="minorHAnsi" w:cstheme="minorHAnsi"/>
          <w:sz w:val="16"/>
          <w:szCs w:val="16"/>
        </w:rPr>
      </w:pPr>
      <w:r w:rsidRPr="00B9481C">
        <w:rPr>
          <w:rFonts w:asciiTheme="minorHAnsi" w:hAnsiTheme="minorHAnsi" w:cstheme="minorHAnsi"/>
          <w:sz w:val="16"/>
          <w:szCs w:val="16"/>
        </w:rPr>
        <w:lastRenderedPageBreak/>
        <w:t xml:space="preserve">Table </w:t>
      </w:r>
      <w:r>
        <w:rPr>
          <w:rFonts w:asciiTheme="minorHAnsi" w:hAnsiTheme="minorHAnsi" w:cstheme="minorHAnsi"/>
          <w:sz w:val="16"/>
          <w:szCs w:val="16"/>
        </w:rPr>
        <w:t>2</w:t>
      </w:r>
      <w:r w:rsidRPr="00B9481C">
        <w:rPr>
          <w:rFonts w:asciiTheme="minorHAnsi" w:hAnsiTheme="minorHAnsi" w:cstheme="minorHAnsi"/>
          <w:sz w:val="16"/>
          <w:szCs w:val="16"/>
        </w:rPr>
        <w:t>.</w:t>
      </w:r>
      <w:r w:rsidRPr="00B9481C">
        <w:rPr>
          <w:rFonts w:asciiTheme="minorHAnsi" w:hAnsiTheme="minorHAnsi" w:cstheme="minorHAnsi"/>
          <w:sz w:val="16"/>
          <w:szCs w:val="16"/>
        </w:rPr>
        <w:t xml:space="preserve"> Overview of participants' characteristics. All figures are provided in ranges to avoid identifying participants. Financial estimates are as of 2019 (year interviews were conducted) and based on self-reporting by participants, publicly available data (</w:t>
      </w:r>
      <w:proofErr w:type="gramStart"/>
      <w:r w:rsidRPr="00B9481C">
        <w:rPr>
          <w:rFonts w:asciiTheme="minorHAnsi" w:hAnsiTheme="minorHAnsi" w:cstheme="minorHAnsi"/>
          <w:sz w:val="16"/>
          <w:szCs w:val="16"/>
        </w:rPr>
        <w:t>e.g.</w:t>
      </w:r>
      <w:proofErr w:type="gramEnd"/>
      <w:r w:rsidRPr="00B9481C">
        <w:rPr>
          <w:rFonts w:asciiTheme="minorHAnsi" w:hAnsiTheme="minorHAnsi" w:cstheme="minorHAnsi"/>
          <w:sz w:val="16"/>
          <w:szCs w:val="16"/>
        </w:rPr>
        <w:t xml:space="preserve"> participant’s website), and/or reports in </w:t>
      </w:r>
      <w:r w:rsidRPr="00B9481C">
        <w:rPr>
          <w:rFonts w:asciiTheme="minorHAnsi" w:hAnsiTheme="minorHAnsi" w:cstheme="minorHAnsi"/>
          <w:i/>
          <w:iCs/>
          <w:sz w:val="16"/>
          <w:szCs w:val="16"/>
        </w:rPr>
        <w:t>The Sunday Times Rich List 2019</w:t>
      </w:r>
      <w:r w:rsidRPr="00B9481C">
        <w:rPr>
          <w:rFonts w:asciiTheme="minorHAnsi" w:hAnsiTheme="minorHAnsi" w:cstheme="minorHAnsi"/>
          <w:sz w:val="16"/>
          <w:szCs w:val="16"/>
        </w:rPr>
        <w:t xml:space="preserve"> and </w:t>
      </w:r>
      <w:r w:rsidRPr="00B9481C">
        <w:rPr>
          <w:rFonts w:asciiTheme="minorHAnsi" w:hAnsiTheme="minorHAnsi" w:cstheme="minorHAnsi"/>
          <w:i/>
          <w:iCs/>
          <w:sz w:val="16"/>
          <w:szCs w:val="16"/>
        </w:rPr>
        <w:t>Giving List 2019</w:t>
      </w:r>
      <w:r w:rsidRPr="00B9481C">
        <w:rPr>
          <w:rFonts w:asciiTheme="minorHAnsi" w:hAnsiTheme="minorHAnsi" w:cstheme="minorHAnsi"/>
          <w:sz w:val="16"/>
          <w:szCs w:val="16"/>
        </w:rPr>
        <w:t>.</w:t>
      </w:r>
    </w:p>
    <w:tbl>
      <w:tblPr>
        <w:tblStyle w:val="TableGrid"/>
        <w:tblW w:w="13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1417"/>
        <w:gridCol w:w="1134"/>
        <w:gridCol w:w="2127"/>
        <w:gridCol w:w="2126"/>
        <w:gridCol w:w="2580"/>
      </w:tblGrid>
      <w:tr w:rsidR="00B9481C" w:rsidRPr="00B9481C" w14:paraId="3B46E38D" w14:textId="77777777" w:rsidTr="00B9481C">
        <w:trPr>
          <w:trHeight w:val="302"/>
        </w:trPr>
        <w:tc>
          <w:tcPr>
            <w:tcW w:w="3794" w:type="dxa"/>
            <w:tcBorders>
              <w:top w:val="single" w:sz="4" w:space="0" w:color="auto"/>
              <w:bottom w:val="single" w:sz="4" w:space="0" w:color="auto"/>
            </w:tcBorders>
          </w:tcPr>
          <w:p w14:paraId="6CA9D29C" w14:textId="77777777" w:rsidR="00B9481C" w:rsidRPr="00B9481C" w:rsidRDefault="00B9481C" w:rsidP="00FB4A53">
            <w:pPr>
              <w:spacing w:line="276" w:lineRule="auto"/>
              <w:rPr>
                <w:rFonts w:asciiTheme="minorHAnsi" w:hAnsiTheme="minorHAnsi" w:cstheme="minorHAnsi"/>
                <w:b/>
                <w:bCs/>
                <w:sz w:val="16"/>
                <w:szCs w:val="16"/>
              </w:rPr>
            </w:pPr>
            <w:r w:rsidRPr="00B9481C">
              <w:rPr>
                <w:rFonts w:asciiTheme="minorHAnsi" w:hAnsiTheme="minorHAnsi" w:cstheme="minorHAnsi"/>
                <w:b/>
                <w:bCs/>
                <w:sz w:val="16"/>
                <w:szCs w:val="16"/>
              </w:rPr>
              <w:t>Primary Professional Background</w:t>
            </w:r>
          </w:p>
        </w:tc>
        <w:tc>
          <w:tcPr>
            <w:tcW w:w="1417" w:type="dxa"/>
            <w:tcBorders>
              <w:top w:val="single" w:sz="4" w:space="0" w:color="auto"/>
              <w:bottom w:val="single" w:sz="4" w:space="0" w:color="auto"/>
            </w:tcBorders>
          </w:tcPr>
          <w:p w14:paraId="4A019F7C" w14:textId="77777777" w:rsidR="00B9481C" w:rsidRPr="00B9481C" w:rsidRDefault="00B9481C" w:rsidP="00FB4A53">
            <w:pPr>
              <w:spacing w:line="276" w:lineRule="auto"/>
              <w:rPr>
                <w:rFonts w:asciiTheme="minorHAnsi" w:hAnsiTheme="minorHAnsi" w:cstheme="minorHAnsi"/>
                <w:b/>
                <w:bCs/>
                <w:sz w:val="16"/>
                <w:szCs w:val="16"/>
              </w:rPr>
            </w:pPr>
            <w:r w:rsidRPr="00B9481C">
              <w:rPr>
                <w:rFonts w:asciiTheme="minorHAnsi" w:hAnsiTheme="minorHAnsi" w:cstheme="minorHAnsi"/>
                <w:b/>
                <w:bCs/>
                <w:sz w:val="16"/>
                <w:szCs w:val="16"/>
              </w:rPr>
              <w:t>Participant</w:t>
            </w:r>
          </w:p>
        </w:tc>
        <w:tc>
          <w:tcPr>
            <w:tcW w:w="1134" w:type="dxa"/>
            <w:tcBorders>
              <w:top w:val="single" w:sz="4" w:space="0" w:color="auto"/>
              <w:bottom w:val="single" w:sz="4" w:space="0" w:color="auto"/>
            </w:tcBorders>
          </w:tcPr>
          <w:p w14:paraId="3B5038C8" w14:textId="77777777" w:rsidR="00B9481C" w:rsidRPr="00B9481C" w:rsidRDefault="00B9481C" w:rsidP="00FB4A53">
            <w:pPr>
              <w:spacing w:line="276" w:lineRule="auto"/>
              <w:rPr>
                <w:rFonts w:asciiTheme="minorHAnsi" w:hAnsiTheme="minorHAnsi" w:cstheme="minorHAnsi"/>
                <w:b/>
                <w:bCs/>
                <w:sz w:val="16"/>
                <w:szCs w:val="16"/>
              </w:rPr>
            </w:pPr>
            <w:r w:rsidRPr="00B9481C">
              <w:rPr>
                <w:rFonts w:asciiTheme="minorHAnsi" w:hAnsiTheme="minorHAnsi" w:cstheme="minorHAnsi"/>
                <w:b/>
                <w:bCs/>
                <w:sz w:val="16"/>
                <w:szCs w:val="16"/>
              </w:rPr>
              <w:t xml:space="preserve">Age </w:t>
            </w:r>
          </w:p>
        </w:tc>
        <w:tc>
          <w:tcPr>
            <w:tcW w:w="2127" w:type="dxa"/>
            <w:tcBorders>
              <w:top w:val="single" w:sz="4" w:space="0" w:color="auto"/>
              <w:bottom w:val="single" w:sz="4" w:space="0" w:color="auto"/>
            </w:tcBorders>
          </w:tcPr>
          <w:p w14:paraId="0F9F173E" w14:textId="77777777" w:rsidR="00B9481C" w:rsidRPr="00B9481C" w:rsidRDefault="00B9481C" w:rsidP="00FB4A53">
            <w:pPr>
              <w:spacing w:line="276" w:lineRule="auto"/>
              <w:rPr>
                <w:rFonts w:asciiTheme="minorHAnsi" w:hAnsiTheme="minorHAnsi" w:cstheme="minorHAnsi"/>
                <w:b/>
                <w:bCs/>
                <w:sz w:val="16"/>
                <w:szCs w:val="16"/>
              </w:rPr>
            </w:pPr>
            <w:r w:rsidRPr="00B9481C">
              <w:rPr>
                <w:rFonts w:asciiTheme="minorHAnsi" w:hAnsiTheme="minorHAnsi" w:cstheme="minorHAnsi"/>
                <w:b/>
                <w:bCs/>
                <w:sz w:val="16"/>
                <w:szCs w:val="16"/>
              </w:rPr>
              <w:t xml:space="preserve">Estimated Wealth </w:t>
            </w:r>
          </w:p>
          <w:p w14:paraId="654B5D0B" w14:textId="77777777" w:rsidR="00B9481C" w:rsidRPr="00B9481C" w:rsidRDefault="00B9481C" w:rsidP="00FB4A53">
            <w:pPr>
              <w:spacing w:line="276" w:lineRule="auto"/>
              <w:rPr>
                <w:rFonts w:asciiTheme="minorHAnsi" w:hAnsiTheme="minorHAnsi" w:cstheme="minorHAnsi"/>
                <w:b/>
                <w:bCs/>
                <w:sz w:val="16"/>
                <w:szCs w:val="16"/>
              </w:rPr>
            </w:pPr>
            <w:r w:rsidRPr="00B9481C">
              <w:rPr>
                <w:rFonts w:asciiTheme="minorHAnsi" w:hAnsiTheme="minorHAnsi" w:cstheme="minorHAnsi"/>
                <w:b/>
                <w:bCs/>
                <w:sz w:val="16"/>
                <w:szCs w:val="16"/>
              </w:rPr>
              <w:t>(£ million)</w:t>
            </w:r>
          </w:p>
        </w:tc>
        <w:tc>
          <w:tcPr>
            <w:tcW w:w="2126" w:type="dxa"/>
            <w:tcBorders>
              <w:top w:val="single" w:sz="4" w:space="0" w:color="auto"/>
              <w:bottom w:val="single" w:sz="4" w:space="0" w:color="auto"/>
            </w:tcBorders>
          </w:tcPr>
          <w:p w14:paraId="173D5FB1" w14:textId="77777777" w:rsidR="00B9481C" w:rsidRPr="00B9481C" w:rsidRDefault="00B9481C" w:rsidP="00FB4A53">
            <w:pPr>
              <w:spacing w:line="276" w:lineRule="auto"/>
              <w:rPr>
                <w:rFonts w:asciiTheme="minorHAnsi" w:hAnsiTheme="minorHAnsi" w:cstheme="minorHAnsi"/>
                <w:b/>
                <w:bCs/>
                <w:sz w:val="16"/>
                <w:szCs w:val="16"/>
              </w:rPr>
            </w:pPr>
            <w:r w:rsidRPr="00B9481C">
              <w:rPr>
                <w:rFonts w:asciiTheme="minorHAnsi" w:hAnsiTheme="minorHAnsi" w:cstheme="minorHAnsi"/>
                <w:b/>
                <w:bCs/>
                <w:sz w:val="16"/>
                <w:szCs w:val="16"/>
              </w:rPr>
              <w:t>Estimated Annual Income (£ million)</w:t>
            </w:r>
          </w:p>
        </w:tc>
        <w:tc>
          <w:tcPr>
            <w:tcW w:w="2580" w:type="dxa"/>
            <w:tcBorders>
              <w:top w:val="single" w:sz="4" w:space="0" w:color="auto"/>
              <w:bottom w:val="single" w:sz="4" w:space="0" w:color="auto"/>
            </w:tcBorders>
          </w:tcPr>
          <w:p w14:paraId="288CC3F9" w14:textId="77777777" w:rsidR="00B9481C" w:rsidRPr="00B9481C" w:rsidRDefault="00B9481C" w:rsidP="00FB4A53">
            <w:pPr>
              <w:spacing w:line="276" w:lineRule="auto"/>
              <w:rPr>
                <w:rFonts w:asciiTheme="minorHAnsi" w:hAnsiTheme="minorHAnsi" w:cstheme="minorHAnsi"/>
                <w:b/>
                <w:bCs/>
                <w:sz w:val="16"/>
                <w:szCs w:val="16"/>
              </w:rPr>
            </w:pPr>
            <w:r w:rsidRPr="00B9481C">
              <w:rPr>
                <w:rFonts w:asciiTheme="minorHAnsi" w:hAnsiTheme="minorHAnsi" w:cstheme="minorHAnsi"/>
                <w:b/>
                <w:bCs/>
                <w:sz w:val="16"/>
                <w:szCs w:val="16"/>
              </w:rPr>
              <w:t>Estimated Lifetime Philanthropic Giving (£ million)</w:t>
            </w:r>
          </w:p>
        </w:tc>
      </w:tr>
      <w:tr w:rsidR="00B9481C" w:rsidRPr="00B9481C" w14:paraId="04BEF7E5" w14:textId="77777777" w:rsidTr="00B9481C">
        <w:trPr>
          <w:trHeight w:val="302"/>
        </w:trPr>
        <w:tc>
          <w:tcPr>
            <w:tcW w:w="3794" w:type="dxa"/>
            <w:vMerge w:val="restart"/>
            <w:tcBorders>
              <w:top w:val="single" w:sz="4" w:space="0" w:color="auto"/>
            </w:tcBorders>
          </w:tcPr>
          <w:p w14:paraId="299465A0" w14:textId="77777777" w:rsidR="00B9481C" w:rsidRPr="00B9481C" w:rsidRDefault="00B9481C" w:rsidP="00FB4A53">
            <w:pPr>
              <w:spacing w:line="276" w:lineRule="auto"/>
              <w:rPr>
                <w:rFonts w:asciiTheme="minorHAnsi" w:hAnsiTheme="minorHAnsi" w:cstheme="minorHAnsi"/>
                <w:sz w:val="16"/>
                <w:szCs w:val="16"/>
              </w:rPr>
            </w:pPr>
            <w:r w:rsidRPr="00B9481C">
              <w:rPr>
                <w:rFonts w:asciiTheme="minorHAnsi" w:hAnsiTheme="minorHAnsi" w:cstheme="minorHAnsi"/>
                <w:sz w:val="16"/>
                <w:szCs w:val="16"/>
              </w:rPr>
              <w:t>Business (consultancy)</w:t>
            </w:r>
          </w:p>
          <w:p w14:paraId="3D0B76F4" w14:textId="77777777" w:rsidR="00B9481C" w:rsidRPr="00B9481C" w:rsidRDefault="00B9481C" w:rsidP="00FB4A53">
            <w:pPr>
              <w:spacing w:line="276" w:lineRule="auto"/>
              <w:rPr>
                <w:rFonts w:asciiTheme="minorHAnsi" w:hAnsiTheme="minorHAnsi" w:cstheme="minorHAnsi"/>
                <w:sz w:val="16"/>
                <w:szCs w:val="16"/>
              </w:rPr>
            </w:pPr>
          </w:p>
        </w:tc>
        <w:tc>
          <w:tcPr>
            <w:tcW w:w="1417" w:type="dxa"/>
            <w:tcBorders>
              <w:top w:val="single" w:sz="4" w:space="0" w:color="auto"/>
            </w:tcBorders>
          </w:tcPr>
          <w:p w14:paraId="7BDF4195"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B1</w:t>
            </w:r>
          </w:p>
        </w:tc>
        <w:tc>
          <w:tcPr>
            <w:tcW w:w="1134" w:type="dxa"/>
            <w:tcBorders>
              <w:top w:val="single" w:sz="4" w:space="0" w:color="auto"/>
            </w:tcBorders>
            <w:shd w:val="clear" w:color="auto" w:fill="auto"/>
          </w:tcPr>
          <w:p w14:paraId="3EE3F441"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70-80</w:t>
            </w:r>
          </w:p>
        </w:tc>
        <w:tc>
          <w:tcPr>
            <w:tcW w:w="2127" w:type="dxa"/>
            <w:tcBorders>
              <w:top w:val="single" w:sz="4" w:space="0" w:color="auto"/>
            </w:tcBorders>
          </w:tcPr>
          <w:p w14:paraId="4A1E36A8"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1-10</w:t>
            </w:r>
          </w:p>
        </w:tc>
        <w:tc>
          <w:tcPr>
            <w:tcW w:w="2126" w:type="dxa"/>
            <w:tcBorders>
              <w:top w:val="single" w:sz="4" w:space="0" w:color="auto"/>
            </w:tcBorders>
          </w:tcPr>
          <w:p w14:paraId="0423AB18"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Retired</w:t>
            </w:r>
          </w:p>
        </w:tc>
        <w:tc>
          <w:tcPr>
            <w:tcW w:w="2580" w:type="dxa"/>
            <w:tcBorders>
              <w:top w:val="single" w:sz="4" w:space="0" w:color="auto"/>
            </w:tcBorders>
          </w:tcPr>
          <w:p w14:paraId="676765F3"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1-10</w:t>
            </w:r>
          </w:p>
        </w:tc>
      </w:tr>
      <w:tr w:rsidR="00B9481C" w:rsidRPr="00B9481C" w14:paraId="64CED939" w14:textId="77777777" w:rsidTr="00B9481C">
        <w:trPr>
          <w:trHeight w:val="302"/>
        </w:trPr>
        <w:tc>
          <w:tcPr>
            <w:tcW w:w="3794" w:type="dxa"/>
            <w:vMerge/>
          </w:tcPr>
          <w:p w14:paraId="2D38ACC9" w14:textId="77777777" w:rsidR="00B9481C" w:rsidRPr="00B9481C" w:rsidRDefault="00B9481C" w:rsidP="00FB4A53">
            <w:pPr>
              <w:spacing w:line="276" w:lineRule="auto"/>
              <w:rPr>
                <w:rFonts w:asciiTheme="minorHAnsi" w:hAnsiTheme="minorHAnsi" w:cstheme="minorHAnsi"/>
                <w:sz w:val="16"/>
                <w:szCs w:val="16"/>
              </w:rPr>
            </w:pPr>
          </w:p>
        </w:tc>
        <w:tc>
          <w:tcPr>
            <w:tcW w:w="1417" w:type="dxa"/>
          </w:tcPr>
          <w:p w14:paraId="72497561"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B2</w:t>
            </w:r>
          </w:p>
        </w:tc>
        <w:tc>
          <w:tcPr>
            <w:tcW w:w="1134" w:type="dxa"/>
            <w:shd w:val="clear" w:color="auto" w:fill="auto"/>
          </w:tcPr>
          <w:p w14:paraId="07290CB1"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60-70</w:t>
            </w:r>
          </w:p>
        </w:tc>
        <w:tc>
          <w:tcPr>
            <w:tcW w:w="2127" w:type="dxa"/>
          </w:tcPr>
          <w:p w14:paraId="4CD89EEB"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1-10</w:t>
            </w:r>
          </w:p>
        </w:tc>
        <w:tc>
          <w:tcPr>
            <w:tcW w:w="2126" w:type="dxa"/>
          </w:tcPr>
          <w:p w14:paraId="2D557530"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0.1-0.5</w:t>
            </w:r>
          </w:p>
        </w:tc>
        <w:tc>
          <w:tcPr>
            <w:tcW w:w="2580" w:type="dxa"/>
          </w:tcPr>
          <w:p w14:paraId="427D87C8"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1-10</w:t>
            </w:r>
          </w:p>
        </w:tc>
      </w:tr>
      <w:tr w:rsidR="00B9481C" w:rsidRPr="00B9481C" w14:paraId="55450935" w14:textId="77777777" w:rsidTr="00B9481C">
        <w:trPr>
          <w:trHeight w:val="302"/>
        </w:trPr>
        <w:tc>
          <w:tcPr>
            <w:tcW w:w="3794" w:type="dxa"/>
            <w:vMerge/>
          </w:tcPr>
          <w:p w14:paraId="6E704A2D" w14:textId="77777777" w:rsidR="00B9481C" w:rsidRPr="00B9481C" w:rsidRDefault="00B9481C" w:rsidP="00FB4A53">
            <w:pPr>
              <w:spacing w:line="276" w:lineRule="auto"/>
              <w:rPr>
                <w:rFonts w:asciiTheme="minorHAnsi" w:hAnsiTheme="minorHAnsi" w:cstheme="minorHAnsi"/>
                <w:sz w:val="16"/>
                <w:szCs w:val="16"/>
              </w:rPr>
            </w:pPr>
          </w:p>
        </w:tc>
        <w:tc>
          <w:tcPr>
            <w:tcW w:w="1417" w:type="dxa"/>
          </w:tcPr>
          <w:p w14:paraId="64DAA4D2"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B3</w:t>
            </w:r>
          </w:p>
        </w:tc>
        <w:tc>
          <w:tcPr>
            <w:tcW w:w="1134" w:type="dxa"/>
            <w:shd w:val="clear" w:color="auto" w:fill="auto"/>
          </w:tcPr>
          <w:p w14:paraId="32F1EB86"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40-50</w:t>
            </w:r>
          </w:p>
        </w:tc>
        <w:tc>
          <w:tcPr>
            <w:tcW w:w="2127" w:type="dxa"/>
          </w:tcPr>
          <w:p w14:paraId="05E5485A"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1-10</w:t>
            </w:r>
          </w:p>
        </w:tc>
        <w:tc>
          <w:tcPr>
            <w:tcW w:w="2126" w:type="dxa"/>
          </w:tcPr>
          <w:p w14:paraId="481561E9"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0.1-0.5</w:t>
            </w:r>
          </w:p>
        </w:tc>
        <w:tc>
          <w:tcPr>
            <w:tcW w:w="2580" w:type="dxa"/>
          </w:tcPr>
          <w:p w14:paraId="775A10D7"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0.5-1</w:t>
            </w:r>
          </w:p>
        </w:tc>
      </w:tr>
      <w:tr w:rsidR="00B9481C" w:rsidRPr="00B9481C" w14:paraId="747DF7FC" w14:textId="77777777" w:rsidTr="00B9481C">
        <w:trPr>
          <w:trHeight w:val="302"/>
        </w:trPr>
        <w:tc>
          <w:tcPr>
            <w:tcW w:w="3794" w:type="dxa"/>
            <w:vMerge w:val="restart"/>
          </w:tcPr>
          <w:p w14:paraId="547F0EE5" w14:textId="77777777" w:rsidR="00B9481C" w:rsidRPr="00B9481C" w:rsidRDefault="00B9481C" w:rsidP="00FB4A53">
            <w:pPr>
              <w:spacing w:line="276" w:lineRule="auto"/>
              <w:rPr>
                <w:rFonts w:asciiTheme="minorHAnsi" w:hAnsiTheme="minorHAnsi" w:cstheme="minorHAnsi"/>
                <w:sz w:val="16"/>
                <w:szCs w:val="16"/>
              </w:rPr>
            </w:pPr>
            <w:r w:rsidRPr="00B9481C">
              <w:rPr>
                <w:rFonts w:asciiTheme="minorHAnsi" w:hAnsiTheme="minorHAnsi" w:cstheme="minorHAnsi"/>
                <w:sz w:val="16"/>
                <w:szCs w:val="16"/>
              </w:rPr>
              <w:t>Family business</w:t>
            </w:r>
          </w:p>
        </w:tc>
        <w:tc>
          <w:tcPr>
            <w:tcW w:w="1417" w:type="dxa"/>
          </w:tcPr>
          <w:p w14:paraId="296B3C76"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B4</w:t>
            </w:r>
          </w:p>
        </w:tc>
        <w:tc>
          <w:tcPr>
            <w:tcW w:w="1134" w:type="dxa"/>
            <w:shd w:val="clear" w:color="auto" w:fill="auto"/>
          </w:tcPr>
          <w:p w14:paraId="11FB4978"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50-60</w:t>
            </w:r>
          </w:p>
        </w:tc>
        <w:tc>
          <w:tcPr>
            <w:tcW w:w="2127" w:type="dxa"/>
          </w:tcPr>
          <w:p w14:paraId="703E48D2"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10-50</w:t>
            </w:r>
          </w:p>
        </w:tc>
        <w:tc>
          <w:tcPr>
            <w:tcW w:w="2126" w:type="dxa"/>
          </w:tcPr>
          <w:p w14:paraId="207CA464"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1-10</w:t>
            </w:r>
          </w:p>
        </w:tc>
        <w:tc>
          <w:tcPr>
            <w:tcW w:w="2580" w:type="dxa"/>
          </w:tcPr>
          <w:p w14:paraId="68BB4CCB"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1-10</w:t>
            </w:r>
          </w:p>
        </w:tc>
      </w:tr>
      <w:tr w:rsidR="00B9481C" w:rsidRPr="00B9481C" w14:paraId="059633A1" w14:textId="77777777" w:rsidTr="00B9481C">
        <w:trPr>
          <w:trHeight w:val="302"/>
        </w:trPr>
        <w:tc>
          <w:tcPr>
            <w:tcW w:w="3794" w:type="dxa"/>
            <w:vMerge/>
          </w:tcPr>
          <w:p w14:paraId="1F9F827F" w14:textId="77777777" w:rsidR="00B9481C" w:rsidRPr="00B9481C" w:rsidRDefault="00B9481C" w:rsidP="00FB4A53">
            <w:pPr>
              <w:spacing w:line="276" w:lineRule="auto"/>
              <w:rPr>
                <w:rFonts w:asciiTheme="minorHAnsi" w:hAnsiTheme="minorHAnsi" w:cstheme="minorHAnsi"/>
                <w:sz w:val="16"/>
                <w:szCs w:val="16"/>
              </w:rPr>
            </w:pPr>
          </w:p>
        </w:tc>
        <w:tc>
          <w:tcPr>
            <w:tcW w:w="1417" w:type="dxa"/>
          </w:tcPr>
          <w:p w14:paraId="455E1708"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B5</w:t>
            </w:r>
          </w:p>
        </w:tc>
        <w:tc>
          <w:tcPr>
            <w:tcW w:w="1134" w:type="dxa"/>
            <w:shd w:val="clear" w:color="auto" w:fill="auto"/>
          </w:tcPr>
          <w:p w14:paraId="45A66007"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40-50</w:t>
            </w:r>
          </w:p>
        </w:tc>
        <w:tc>
          <w:tcPr>
            <w:tcW w:w="2127" w:type="dxa"/>
          </w:tcPr>
          <w:p w14:paraId="1ABEC962"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100-500</w:t>
            </w:r>
          </w:p>
        </w:tc>
        <w:tc>
          <w:tcPr>
            <w:tcW w:w="2126" w:type="dxa"/>
          </w:tcPr>
          <w:p w14:paraId="24406A1A"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1-10</w:t>
            </w:r>
          </w:p>
        </w:tc>
        <w:tc>
          <w:tcPr>
            <w:tcW w:w="2580" w:type="dxa"/>
          </w:tcPr>
          <w:p w14:paraId="56333572"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50+</w:t>
            </w:r>
          </w:p>
        </w:tc>
      </w:tr>
      <w:tr w:rsidR="00B9481C" w:rsidRPr="00B9481C" w14:paraId="70A94603" w14:textId="77777777" w:rsidTr="00B9481C">
        <w:trPr>
          <w:trHeight w:val="302"/>
        </w:trPr>
        <w:tc>
          <w:tcPr>
            <w:tcW w:w="3794" w:type="dxa"/>
            <w:vMerge w:val="restart"/>
          </w:tcPr>
          <w:p w14:paraId="6E475977" w14:textId="77777777" w:rsidR="00B9481C" w:rsidRPr="00B9481C" w:rsidRDefault="00B9481C" w:rsidP="00FB4A53">
            <w:pPr>
              <w:spacing w:line="276" w:lineRule="auto"/>
              <w:rPr>
                <w:rFonts w:asciiTheme="minorHAnsi" w:hAnsiTheme="minorHAnsi" w:cstheme="minorHAnsi"/>
                <w:sz w:val="16"/>
                <w:szCs w:val="16"/>
              </w:rPr>
            </w:pPr>
            <w:r w:rsidRPr="00B9481C">
              <w:rPr>
                <w:rFonts w:asciiTheme="minorHAnsi" w:hAnsiTheme="minorHAnsi" w:cstheme="minorHAnsi"/>
                <w:sz w:val="16"/>
                <w:szCs w:val="16"/>
              </w:rPr>
              <w:t>Entrepreneur (business founder and owner)</w:t>
            </w:r>
          </w:p>
        </w:tc>
        <w:tc>
          <w:tcPr>
            <w:tcW w:w="1417" w:type="dxa"/>
          </w:tcPr>
          <w:p w14:paraId="424009FD"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E1</w:t>
            </w:r>
          </w:p>
        </w:tc>
        <w:tc>
          <w:tcPr>
            <w:tcW w:w="1134" w:type="dxa"/>
            <w:shd w:val="clear" w:color="auto" w:fill="auto"/>
          </w:tcPr>
          <w:p w14:paraId="2DCC0E25"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60-70</w:t>
            </w:r>
          </w:p>
        </w:tc>
        <w:tc>
          <w:tcPr>
            <w:tcW w:w="2127" w:type="dxa"/>
          </w:tcPr>
          <w:p w14:paraId="0847761D"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50-100</w:t>
            </w:r>
          </w:p>
        </w:tc>
        <w:tc>
          <w:tcPr>
            <w:tcW w:w="2126" w:type="dxa"/>
          </w:tcPr>
          <w:p w14:paraId="388AF3C1"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1-10</w:t>
            </w:r>
          </w:p>
        </w:tc>
        <w:tc>
          <w:tcPr>
            <w:tcW w:w="2580" w:type="dxa"/>
          </w:tcPr>
          <w:p w14:paraId="45B5F5F3"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1-10</w:t>
            </w:r>
          </w:p>
        </w:tc>
      </w:tr>
      <w:tr w:rsidR="00B9481C" w:rsidRPr="00B9481C" w14:paraId="46AFBBD5" w14:textId="77777777" w:rsidTr="00B9481C">
        <w:trPr>
          <w:trHeight w:val="302"/>
        </w:trPr>
        <w:tc>
          <w:tcPr>
            <w:tcW w:w="3794" w:type="dxa"/>
            <w:vMerge/>
          </w:tcPr>
          <w:p w14:paraId="28EFE005" w14:textId="77777777" w:rsidR="00B9481C" w:rsidRPr="00B9481C" w:rsidRDefault="00B9481C" w:rsidP="00FB4A53">
            <w:pPr>
              <w:spacing w:line="276" w:lineRule="auto"/>
              <w:rPr>
                <w:rFonts w:asciiTheme="minorHAnsi" w:hAnsiTheme="minorHAnsi" w:cstheme="minorHAnsi"/>
                <w:sz w:val="16"/>
                <w:szCs w:val="16"/>
              </w:rPr>
            </w:pPr>
          </w:p>
        </w:tc>
        <w:tc>
          <w:tcPr>
            <w:tcW w:w="1417" w:type="dxa"/>
          </w:tcPr>
          <w:p w14:paraId="1571EE45"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E2</w:t>
            </w:r>
          </w:p>
        </w:tc>
        <w:tc>
          <w:tcPr>
            <w:tcW w:w="1134" w:type="dxa"/>
            <w:shd w:val="clear" w:color="auto" w:fill="auto"/>
          </w:tcPr>
          <w:p w14:paraId="4ECE875C" w14:textId="77777777" w:rsidR="00B9481C" w:rsidRPr="00B9481C" w:rsidRDefault="00B9481C" w:rsidP="00FB4A53">
            <w:pPr>
              <w:spacing w:line="276" w:lineRule="auto"/>
              <w:jc w:val="center"/>
              <w:rPr>
                <w:rFonts w:asciiTheme="minorHAnsi" w:hAnsiTheme="minorHAnsi" w:cstheme="minorHAnsi"/>
                <w:b/>
                <w:bCs/>
                <w:sz w:val="16"/>
                <w:szCs w:val="16"/>
              </w:rPr>
            </w:pPr>
            <w:r w:rsidRPr="00B9481C">
              <w:rPr>
                <w:rFonts w:asciiTheme="minorHAnsi" w:hAnsiTheme="minorHAnsi" w:cstheme="minorHAnsi"/>
                <w:sz w:val="16"/>
                <w:szCs w:val="16"/>
              </w:rPr>
              <w:t>70-80</w:t>
            </w:r>
          </w:p>
        </w:tc>
        <w:tc>
          <w:tcPr>
            <w:tcW w:w="2127" w:type="dxa"/>
          </w:tcPr>
          <w:p w14:paraId="642BBA66"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50-100</w:t>
            </w:r>
          </w:p>
        </w:tc>
        <w:tc>
          <w:tcPr>
            <w:tcW w:w="2126" w:type="dxa"/>
          </w:tcPr>
          <w:p w14:paraId="7C9ABD0F"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Retired</w:t>
            </w:r>
          </w:p>
        </w:tc>
        <w:tc>
          <w:tcPr>
            <w:tcW w:w="2580" w:type="dxa"/>
          </w:tcPr>
          <w:p w14:paraId="5753D8C4"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50+</w:t>
            </w:r>
          </w:p>
        </w:tc>
      </w:tr>
      <w:tr w:rsidR="00B9481C" w:rsidRPr="00B9481C" w14:paraId="5F531CFA" w14:textId="77777777" w:rsidTr="00B9481C">
        <w:trPr>
          <w:trHeight w:val="302"/>
        </w:trPr>
        <w:tc>
          <w:tcPr>
            <w:tcW w:w="3794" w:type="dxa"/>
            <w:vMerge/>
          </w:tcPr>
          <w:p w14:paraId="5EC5B20B" w14:textId="77777777" w:rsidR="00B9481C" w:rsidRPr="00B9481C" w:rsidRDefault="00B9481C" w:rsidP="00FB4A53">
            <w:pPr>
              <w:spacing w:line="276" w:lineRule="auto"/>
              <w:rPr>
                <w:rFonts w:asciiTheme="minorHAnsi" w:hAnsiTheme="minorHAnsi" w:cstheme="minorHAnsi"/>
                <w:sz w:val="16"/>
                <w:szCs w:val="16"/>
              </w:rPr>
            </w:pPr>
          </w:p>
        </w:tc>
        <w:tc>
          <w:tcPr>
            <w:tcW w:w="1417" w:type="dxa"/>
          </w:tcPr>
          <w:p w14:paraId="614C3DC4"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E3</w:t>
            </w:r>
          </w:p>
        </w:tc>
        <w:tc>
          <w:tcPr>
            <w:tcW w:w="1134" w:type="dxa"/>
            <w:shd w:val="clear" w:color="auto" w:fill="auto"/>
          </w:tcPr>
          <w:p w14:paraId="44EA6603"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70-80</w:t>
            </w:r>
          </w:p>
        </w:tc>
        <w:tc>
          <w:tcPr>
            <w:tcW w:w="2127" w:type="dxa"/>
          </w:tcPr>
          <w:p w14:paraId="6F586AD0"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1-10</w:t>
            </w:r>
          </w:p>
        </w:tc>
        <w:tc>
          <w:tcPr>
            <w:tcW w:w="2126" w:type="dxa"/>
          </w:tcPr>
          <w:p w14:paraId="2E0692B8"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Retired</w:t>
            </w:r>
          </w:p>
        </w:tc>
        <w:tc>
          <w:tcPr>
            <w:tcW w:w="2580" w:type="dxa"/>
          </w:tcPr>
          <w:p w14:paraId="4D3758B6"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1-10</w:t>
            </w:r>
          </w:p>
        </w:tc>
      </w:tr>
      <w:tr w:rsidR="00B9481C" w:rsidRPr="00B9481C" w14:paraId="2CC0015A" w14:textId="77777777" w:rsidTr="00B9481C">
        <w:trPr>
          <w:trHeight w:val="302"/>
        </w:trPr>
        <w:tc>
          <w:tcPr>
            <w:tcW w:w="3794" w:type="dxa"/>
            <w:vMerge/>
          </w:tcPr>
          <w:p w14:paraId="128B7B04" w14:textId="77777777" w:rsidR="00B9481C" w:rsidRPr="00B9481C" w:rsidRDefault="00B9481C" w:rsidP="00FB4A53">
            <w:pPr>
              <w:spacing w:line="276" w:lineRule="auto"/>
              <w:rPr>
                <w:rFonts w:asciiTheme="minorHAnsi" w:hAnsiTheme="minorHAnsi" w:cstheme="minorHAnsi"/>
                <w:sz w:val="16"/>
                <w:szCs w:val="16"/>
              </w:rPr>
            </w:pPr>
          </w:p>
        </w:tc>
        <w:tc>
          <w:tcPr>
            <w:tcW w:w="1417" w:type="dxa"/>
          </w:tcPr>
          <w:p w14:paraId="0BFAF3EA"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E4</w:t>
            </w:r>
          </w:p>
        </w:tc>
        <w:tc>
          <w:tcPr>
            <w:tcW w:w="1134" w:type="dxa"/>
            <w:shd w:val="clear" w:color="auto" w:fill="auto"/>
          </w:tcPr>
          <w:p w14:paraId="356C18F9"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40-50</w:t>
            </w:r>
          </w:p>
        </w:tc>
        <w:tc>
          <w:tcPr>
            <w:tcW w:w="2127" w:type="dxa"/>
          </w:tcPr>
          <w:p w14:paraId="0F06CE72"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1-10</w:t>
            </w:r>
          </w:p>
        </w:tc>
        <w:tc>
          <w:tcPr>
            <w:tcW w:w="2126" w:type="dxa"/>
          </w:tcPr>
          <w:p w14:paraId="132A918E"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0.1-0.5</w:t>
            </w:r>
          </w:p>
        </w:tc>
        <w:tc>
          <w:tcPr>
            <w:tcW w:w="2580" w:type="dxa"/>
          </w:tcPr>
          <w:p w14:paraId="631EB985"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0.5-1</w:t>
            </w:r>
          </w:p>
        </w:tc>
      </w:tr>
      <w:tr w:rsidR="00B9481C" w:rsidRPr="00B9481C" w14:paraId="1A838746" w14:textId="77777777" w:rsidTr="00B9481C">
        <w:trPr>
          <w:trHeight w:val="302"/>
        </w:trPr>
        <w:tc>
          <w:tcPr>
            <w:tcW w:w="3794" w:type="dxa"/>
            <w:vMerge/>
          </w:tcPr>
          <w:p w14:paraId="5D00B1F6" w14:textId="77777777" w:rsidR="00B9481C" w:rsidRPr="00B9481C" w:rsidRDefault="00B9481C" w:rsidP="00FB4A53">
            <w:pPr>
              <w:spacing w:line="276" w:lineRule="auto"/>
              <w:rPr>
                <w:rFonts w:asciiTheme="minorHAnsi" w:hAnsiTheme="minorHAnsi" w:cstheme="minorHAnsi"/>
                <w:sz w:val="16"/>
                <w:szCs w:val="16"/>
              </w:rPr>
            </w:pPr>
          </w:p>
        </w:tc>
        <w:tc>
          <w:tcPr>
            <w:tcW w:w="1417" w:type="dxa"/>
          </w:tcPr>
          <w:p w14:paraId="7EB80327"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E5</w:t>
            </w:r>
          </w:p>
        </w:tc>
        <w:tc>
          <w:tcPr>
            <w:tcW w:w="1134" w:type="dxa"/>
            <w:shd w:val="clear" w:color="auto" w:fill="auto"/>
          </w:tcPr>
          <w:p w14:paraId="745DF8BC"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50-60</w:t>
            </w:r>
          </w:p>
        </w:tc>
        <w:tc>
          <w:tcPr>
            <w:tcW w:w="2127" w:type="dxa"/>
          </w:tcPr>
          <w:p w14:paraId="541C3104"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1-10</w:t>
            </w:r>
          </w:p>
        </w:tc>
        <w:tc>
          <w:tcPr>
            <w:tcW w:w="2126" w:type="dxa"/>
          </w:tcPr>
          <w:p w14:paraId="589155DF"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0.1-0.5</w:t>
            </w:r>
          </w:p>
        </w:tc>
        <w:tc>
          <w:tcPr>
            <w:tcW w:w="2580" w:type="dxa"/>
          </w:tcPr>
          <w:p w14:paraId="5A9829AC"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0.5-1</w:t>
            </w:r>
          </w:p>
        </w:tc>
      </w:tr>
      <w:tr w:rsidR="00B9481C" w:rsidRPr="00B9481C" w14:paraId="30F64A37" w14:textId="77777777" w:rsidTr="00B9481C">
        <w:trPr>
          <w:trHeight w:val="302"/>
        </w:trPr>
        <w:tc>
          <w:tcPr>
            <w:tcW w:w="3794" w:type="dxa"/>
            <w:vMerge/>
          </w:tcPr>
          <w:p w14:paraId="42E94F76" w14:textId="77777777" w:rsidR="00B9481C" w:rsidRPr="00B9481C" w:rsidRDefault="00B9481C" w:rsidP="00FB4A53">
            <w:pPr>
              <w:spacing w:line="276" w:lineRule="auto"/>
              <w:rPr>
                <w:rFonts w:asciiTheme="minorHAnsi" w:hAnsiTheme="minorHAnsi" w:cstheme="minorHAnsi"/>
                <w:sz w:val="16"/>
                <w:szCs w:val="16"/>
              </w:rPr>
            </w:pPr>
          </w:p>
        </w:tc>
        <w:tc>
          <w:tcPr>
            <w:tcW w:w="1417" w:type="dxa"/>
          </w:tcPr>
          <w:p w14:paraId="0B9A4334"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E6</w:t>
            </w:r>
          </w:p>
        </w:tc>
        <w:tc>
          <w:tcPr>
            <w:tcW w:w="1134" w:type="dxa"/>
            <w:shd w:val="clear" w:color="auto" w:fill="auto"/>
          </w:tcPr>
          <w:p w14:paraId="3810D37E"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60-70</w:t>
            </w:r>
          </w:p>
        </w:tc>
        <w:tc>
          <w:tcPr>
            <w:tcW w:w="2127" w:type="dxa"/>
          </w:tcPr>
          <w:p w14:paraId="788E6C0D"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1-10</w:t>
            </w:r>
          </w:p>
        </w:tc>
        <w:tc>
          <w:tcPr>
            <w:tcW w:w="2126" w:type="dxa"/>
          </w:tcPr>
          <w:p w14:paraId="0AD4226A"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0.1-0.5</w:t>
            </w:r>
          </w:p>
        </w:tc>
        <w:tc>
          <w:tcPr>
            <w:tcW w:w="2580" w:type="dxa"/>
          </w:tcPr>
          <w:p w14:paraId="0739015F"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1-10</w:t>
            </w:r>
          </w:p>
        </w:tc>
      </w:tr>
      <w:tr w:rsidR="00B9481C" w:rsidRPr="00B9481C" w14:paraId="0A229302" w14:textId="77777777" w:rsidTr="00B9481C">
        <w:trPr>
          <w:trHeight w:val="302"/>
        </w:trPr>
        <w:tc>
          <w:tcPr>
            <w:tcW w:w="3794" w:type="dxa"/>
            <w:vMerge/>
          </w:tcPr>
          <w:p w14:paraId="7389FC5D" w14:textId="77777777" w:rsidR="00B9481C" w:rsidRPr="00B9481C" w:rsidRDefault="00B9481C" w:rsidP="00FB4A53">
            <w:pPr>
              <w:spacing w:line="276" w:lineRule="auto"/>
              <w:rPr>
                <w:rFonts w:asciiTheme="minorHAnsi" w:hAnsiTheme="minorHAnsi" w:cstheme="minorHAnsi"/>
                <w:sz w:val="16"/>
                <w:szCs w:val="16"/>
              </w:rPr>
            </w:pPr>
          </w:p>
        </w:tc>
        <w:tc>
          <w:tcPr>
            <w:tcW w:w="1417" w:type="dxa"/>
          </w:tcPr>
          <w:p w14:paraId="0FA37A91"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E7</w:t>
            </w:r>
          </w:p>
        </w:tc>
        <w:tc>
          <w:tcPr>
            <w:tcW w:w="1134" w:type="dxa"/>
            <w:shd w:val="clear" w:color="auto" w:fill="auto"/>
          </w:tcPr>
          <w:p w14:paraId="0DA1CD0B"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80-90</w:t>
            </w:r>
          </w:p>
        </w:tc>
        <w:tc>
          <w:tcPr>
            <w:tcW w:w="2127" w:type="dxa"/>
          </w:tcPr>
          <w:p w14:paraId="1343D399"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 xml:space="preserve">1-10 </w:t>
            </w:r>
          </w:p>
        </w:tc>
        <w:tc>
          <w:tcPr>
            <w:tcW w:w="2126" w:type="dxa"/>
          </w:tcPr>
          <w:p w14:paraId="2C195BB1"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Retired</w:t>
            </w:r>
          </w:p>
        </w:tc>
        <w:tc>
          <w:tcPr>
            <w:tcW w:w="2580" w:type="dxa"/>
          </w:tcPr>
          <w:p w14:paraId="63DF573C"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50+</w:t>
            </w:r>
          </w:p>
        </w:tc>
      </w:tr>
      <w:tr w:rsidR="00B9481C" w:rsidRPr="00B9481C" w14:paraId="6DB88813" w14:textId="77777777" w:rsidTr="00B9481C">
        <w:trPr>
          <w:trHeight w:val="302"/>
        </w:trPr>
        <w:tc>
          <w:tcPr>
            <w:tcW w:w="3794" w:type="dxa"/>
            <w:vMerge w:val="restart"/>
          </w:tcPr>
          <w:p w14:paraId="6B6E7104" w14:textId="77777777" w:rsidR="00B9481C" w:rsidRPr="00B9481C" w:rsidRDefault="00B9481C" w:rsidP="00FB4A53">
            <w:pPr>
              <w:spacing w:line="276" w:lineRule="auto"/>
              <w:rPr>
                <w:rFonts w:asciiTheme="minorHAnsi" w:hAnsiTheme="minorHAnsi" w:cstheme="minorHAnsi"/>
                <w:sz w:val="16"/>
                <w:szCs w:val="16"/>
              </w:rPr>
            </w:pPr>
            <w:r w:rsidRPr="00B9481C">
              <w:rPr>
                <w:rFonts w:asciiTheme="minorHAnsi" w:hAnsiTheme="minorHAnsi" w:cstheme="minorHAnsi"/>
                <w:sz w:val="16"/>
                <w:szCs w:val="16"/>
              </w:rPr>
              <w:t>Entrepreneur-turned-investor</w:t>
            </w:r>
          </w:p>
        </w:tc>
        <w:tc>
          <w:tcPr>
            <w:tcW w:w="1417" w:type="dxa"/>
          </w:tcPr>
          <w:p w14:paraId="06F296A0"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E8</w:t>
            </w:r>
          </w:p>
        </w:tc>
        <w:tc>
          <w:tcPr>
            <w:tcW w:w="1134" w:type="dxa"/>
            <w:shd w:val="clear" w:color="auto" w:fill="auto"/>
          </w:tcPr>
          <w:p w14:paraId="23892875"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60-70</w:t>
            </w:r>
          </w:p>
        </w:tc>
        <w:tc>
          <w:tcPr>
            <w:tcW w:w="2127" w:type="dxa"/>
          </w:tcPr>
          <w:p w14:paraId="5FE1CA0C"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50-100</w:t>
            </w:r>
          </w:p>
        </w:tc>
        <w:tc>
          <w:tcPr>
            <w:tcW w:w="2126" w:type="dxa"/>
          </w:tcPr>
          <w:p w14:paraId="74111B61"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0.5-1</w:t>
            </w:r>
          </w:p>
        </w:tc>
        <w:tc>
          <w:tcPr>
            <w:tcW w:w="2580" w:type="dxa"/>
          </w:tcPr>
          <w:p w14:paraId="4F543D17"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10-50</w:t>
            </w:r>
          </w:p>
        </w:tc>
      </w:tr>
      <w:tr w:rsidR="00B9481C" w:rsidRPr="00B9481C" w14:paraId="5576F6F1" w14:textId="77777777" w:rsidTr="00B9481C">
        <w:trPr>
          <w:trHeight w:val="302"/>
        </w:trPr>
        <w:tc>
          <w:tcPr>
            <w:tcW w:w="3794" w:type="dxa"/>
            <w:vMerge/>
          </w:tcPr>
          <w:p w14:paraId="5B49303F" w14:textId="77777777" w:rsidR="00B9481C" w:rsidRPr="00B9481C" w:rsidRDefault="00B9481C" w:rsidP="00FB4A53">
            <w:pPr>
              <w:spacing w:line="276" w:lineRule="auto"/>
              <w:rPr>
                <w:rFonts w:asciiTheme="minorHAnsi" w:hAnsiTheme="minorHAnsi" w:cstheme="minorHAnsi"/>
                <w:sz w:val="16"/>
                <w:szCs w:val="16"/>
              </w:rPr>
            </w:pPr>
          </w:p>
        </w:tc>
        <w:tc>
          <w:tcPr>
            <w:tcW w:w="1417" w:type="dxa"/>
          </w:tcPr>
          <w:p w14:paraId="21CCB7BB"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E9</w:t>
            </w:r>
          </w:p>
        </w:tc>
        <w:tc>
          <w:tcPr>
            <w:tcW w:w="1134" w:type="dxa"/>
            <w:shd w:val="clear" w:color="auto" w:fill="auto"/>
          </w:tcPr>
          <w:p w14:paraId="45B1486A"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50-60</w:t>
            </w:r>
          </w:p>
        </w:tc>
        <w:tc>
          <w:tcPr>
            <w:tcW w:w="2127" w:type="dxa"/>
          </w:tcPr>
          <w:p w14:paraId="3D33EF49"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500+</w:t>
            </w:r>
          </w:p>
        </w:tc>
        <w:tc>
          <w:tcPr>
            <w:tcW w:w="2126" w:type="dxa"/>
          </w:tcPr>
          <w:p w14:paraId="0C6FA920"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1-10</w:t>
            </w:r>
          </w:p>
        </w:tc>
        <w:tc>
          <w:tcPr>
            <w:tcW w:w="2580" w:type="dxa"/>
          </w:tcPr>
          <w:p w14:paraId="32B7EFCA"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50+</w:t>
            </w:r>
          </w:p>
        </w:tc>
      </w:tr>
      <w:tr w:rsidR="00B9481C" w:rsidRPr="00B9481C" w14:paraId="47CD313D" w14:textId="77777777" w:rsidTr="00B9481C">
        <w:trPr>
          <w:trHeight w:val="302"/>
        </w:trPr>
        <w:tc>
          <w:tcPr>
            <w:tcW w:w="3794" w:type="dxa"/>
            <w:vMerge/>
          </w:tcPr>
          <w:p w14:paraId="4FEC5E3B" w14:textId="77777777" w:rsidR="00B9481C" w:rsidRPr="00B9481C" w:rsidRDefault="00B9481C" w:rsidP="00FB4A53">
            <w:pPr>
              <w:spacing w:line="276" w:lineRule="auto"/>
              <w:rPr>
                <w:rFonts w:asciiTheme="minorHAnsi" w:hAnsiTheme="minorHAnsi" w:cstheme="minorHAnsi"/>
                <w:sz w:val="16"/>
                <w:szCs w:val="16"/>
              </w:rPr>
            </w:pPr>
          </w:p>
        </w:tc>
        <w:tc>
          <w:tcPr>
            <w:tcW w:w="1417" w:type="dxa"/>
          </w:tcPr>
          <w:p w14:paraId="39E7DFBD"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E10</w:t>
            </w:r>
          </w:p>
        </w:tc>
        <w:tc>
          <w:tcPr>
            <w:tcW w:w="1134" w:type="dxa"/>
            <w:shd w:val="clear" w:color="auto" w:fill="auto"/>
          </w:tcPr>
          <w:p w14:paraId="0F7F3B7E"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70-80</w:t>
            </w:r>
          </w:p>
        </w:tc>
        <w:tc>
          <w:tcPr>
            <w:tcW w:w="2127" w:type="dxa"/>
          </w:tcPr>
          <w:p w14:paraId="1F19FE7B"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100-500</w:t>
            </w:r>
          </w:p>
        </w:tc>
        <w:tc>
          <w:tcPr>
            <w:tcW w:w="2126" w:type="dxa"/>
          </w:tcPr>
          <w:p w14:paraId="434486E1"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1-10</w:t>
            </w:r>
          </w:p>
        </w:tc>
        <w:tc>
          <w:tcPr>
            <w:tcW w:w="2580" w:type="dxa"/>
          </w:tcPr>
          <w:p w14:paraId="36F7498B"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10-50</w:t>
            </w:r>
          </w:p>
        </w:tc>
      </w:tr>
      <w:tr w:rsidR="00B9481C" w:rsidRPr="00B9481C" w14:paraId="4BE6039D" w14:textId="77777777" w:rsidTr="00B9481C">
        <w:trPr>
          <w:trHeight w:val="302"/>
        </w:trPr>
        <w:tc>
          <w:tcPr>
            <w:tcW w:w="3794" w:type="dxa"/>
            <w:vMerge/>
          </w:tcPr>
          <w:p w14:paraId="25E6BF89" w14:textId="77777777" w:rsidR="00B9481C" w:rsidRPr="00B9481C" w:rsidRDefault="00B9481C" w:rsidP="00FB4A53">
            <w:pPr>
              <w:spacing w:line="276" w:lineRule="auto"/>
              <w:rPr>
                <w:rFonts w:asciiTheme="minorHAnsi" w:hAnsiTheme="minorHAnsi" w:cstheme="minorHAnsi"/>
                <w:sz w:val="16"/>
                <w:szCs w:val="16"/>
              </w:rPr>
            </w:pPr>
          </w:p>
        </w:tc>
        <w:tc>
          <w:tcPr>
            <w:tcW w:w="1417" w:type="dxa"/>
          </w:tcPr>
          <w:p w14:paraId="204EC476"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E11</w:t>
            </w:r>
          </w:p>
        </w:tc>
        <w:tc>
          <w:tcPr>
            <w:tcW w:w="1134" w:type="dxa"/>
            <w:shd w:val="clear" w:color="auto" w:fill="auto"/>
          </w:tcPr>
          <w:p w14:paraId="08D3A69B"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50-60</w:t>
            </w:r>
          </w:p>
        </w:tc>
        <w:tc>
          <w:tcPr>
            <w:tcW w:w="2127" w:type="dxa"/>
          </w:tcPr>
          <w:p w14:paraId="3AAB4394"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100-500</w:t>
            </w:r>
          </w:p>
        </w:tc>
        <w:tc>
          <w:tcPr>
            <w:tcW w:w="2126" w:type="dxa"/>
          </w:tcPr>
          <w:p w14:paraId="574C523E"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1-10</w:t>
            </w:r>
          </w:p>
        </w:tc>
        <w:tc>
          <w:tcPr>
            <w:tcW w:w="2580" w:type="dxa"/>
          </w:tcPr>
          <w:p w14:paraId="25FBE752"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10-50</w:t>
            </w:r>
          </w:p>
        </w:tc>
      </w:tr>
      <w:tr w:rsidR="00B9481C" w:rsidRPr="00B9481C" w14:paraId="5043C059" w14:textId="77777777" w:rsidTr="00B9481C">
        <w:trPr>
          <w:trHeight w:val="302"/>
        </w:trPr>
        <w:tc>
          <w:tcPr>
            <w:tcW w:w="3794" w:type="dxa"/>
            <w:vMerge/>
          </w:tcPr>
          <w:p w14:paraId="52257B2C" w14:textId="77777777" w:rsidR="00B9481C" w:rsidRPr="00B9481C" w:rsidRDefault="00B9481C" w:rsidP="00FB4A53">
            <w:pPr>
              <w:spacing w:line="276" w:lineRule="auto"/>
              <w:rPr>
                <w:rFonts w:asciiTheme="minorHAnsi" w:hAnsiTheme="minorHAnsi" w:cstheme="minorHAnsi"/>
                <w:sz w:val="16"/>
                <w:szCs w:val="16"/>
              </w:rPr>
            </w:pPr>
          </w:p>
        </w:tc>
        <w:tc>
          <w:tcPr>
            <w:tcW w:w="1417" w:type="dxa"/>
          </w:tcPr>
          <w:p w14:paraId="02F3185C"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E12</w:t>
            </w:r>
          </w:p>
        </w:tc>
        <w:tc>
          <w:tcPr>
            <w:tcW w:w="1134" w:type="dxa"/>
            <w:shd w:val="clear" w:color="auto" w:fill="auto"/>
          </w:tcPr>
          <w:p w14:paraId="42FA3EF0"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50-60</w:t>
            </w:r>
          </w:p>
        </w:tc>
        <w:tc>
          <w:tcPr>
            <w:tcW w:w="2127" w:type="dxa"/>
          </w:tcPr>
          <w:p w14:paraId="154D5BE7"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50-100</w:t>
            </w:r>
          </w:p>
        </w:tc>
        <w:tc>
          <w:tcPr>
            <w:tcW w:w="2126" w:type="dxa"/>
          </w:tcPr>
          <w:p w14:paraId="53CB67D0"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1-10</w:t>
            </w:r>
          </w:p>
        </w:tc>
        <w:tc>
          <w:tcPr>
            <w:tcW w:w="2580" w:type="dxa"/>
          </w:tcPr>
          <w:p w14:paraId="3D5A678F"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10-50</w:t>
            </w:r>
          </w:p>
        </w:tc>
      </w:tr>
      <w:tr w:rsidR="00B9481C" w:rsidRPr="00B9481C" w14:paraId="24BF710F" w14:textId="77777777" w:rsidTr="00B9481C">
        <w:trPr>
          <w:trHeight w:val="302"/>
        </w:trPr>
        <w:tc>
          <w:tcPr>
            <w:tcW w:w="3794" w:type="dxa"/>
            <w:vMerge w:val="restart"/>
          </w:tcPr>
          <w:p w14:paraId="523709A5" w14:textId="77777777" w:rsidR="00B9481C" w:rsidRPr="00B9481C" w:rsidRDefault="00B9481C" w:rsidP="00FB4A53">
            <w:pPr>
              <w:spacing w:line="276" w:lineRule="auto"/>
              <w:rPr>
                <w:rFonts w:asciiTheme="minorHAnsi" w:hAnsiTheme="minorHAnsi" w:cstheme="minorHAnsi"/>
                <w:sz w:val="16"/>
                <w:szCs w:val="16"/>
              </w:rPr>
            </w:pPr>
            <w:r w:rsidRPr="00B9481C">
              <w:rPr>
                <w:rFonts w:asciiTheme="minorHAnsi" w:hAnsiTheme="minorHAnsi" w:cstheme="minorHAnsi"/>
                <w:sz w:val="16"/>
                <w:szCs w:val="16"/>
              </w:rPr>
              <w:t>Investment (banking)</w:t>
            </w:r>
          </w:p>
        </w:tc>
        <w:tc>
          <w:tcPr>
            <w:tcW w:w="1417" w:type="dxa"/>
          </w:tcPr>
          <w:p w14:paraId="2479EDB0"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I1</w:t>
            </w:r>
          </w:p>
        </w:tc>
        <w:tc>
          <w:tcPr>
            <w:tcW w:w="1134" w:type="dxa"/>
            <w:shd w:val="clear" w:color="auto" w:fill="auto"/>
          </w:tcPr>
          <w:p w14:paraId="74A03E3E"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50-60</w:t>
            </w:r>
          </w:p>
        </w:tc>
        <w:tc>
          <w:tcPr>
            <w:tcW w:w="2127" w:type="dxa"/>
          </w:tcPr>
          <w:p w14:paraId="4280D166"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10-50</w:t>
            </w:r>
          </w:p>
        </w:tc>
        <w:tc>
          <w:tcPr>
            <w:tcW w:w="2126" w:type="dxa"/>
          </w:tcPr>
          <w:p w14:paraId="62EE2014"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Retired</w:t>
            </w:r>
          </w:p>
        </w:tc>
        <w:tc>
          <w:tcPr>
            <w:tcW w:w="2580" w:type="dxa"/>
          </w:tcPr>
          <w:p w14:paraId="645179ED"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1-10</w:t>
            </w:r>
          </w:p>
        </w:tc>
      </w:tr>
      <w:tr w:rsidR="00B9481C" w:rsidRPr="00B9481C" w14:paraId="2ED7962F" w14:textId="77777777" w:rsidTr="00B9481C">
        <w:trPr>
          <w:trHeight w:val="302"/>
        </w:trPr>
        <w:tc>
          <w:tcPr>
            <w:tcW w:w="3794" w:type="dxa"/>
            <w:vMerge/>
          </w:tcPr>
          <w:p w14:paraId="5F611EDE" w14:textId="77777777" w:rsidR="00B9481C" w:rsidRPr="00B9481C" w:rsidRDefault="00B9481C" w:rsidP="00FB4A53">
            <w:pPr>
              <w:spacing w:line="276" w:lineRule="auto"/>
              <w:rPr>
                <w:rFonts w:asciiTheme="minorHAnsi" w:hAnsiTheme="minorHAnsi" w:cstheme="minorHAnsi"/>
                <w:sz w:val="16"/>
                <w:szCs w:val="16"/>
              </w:rPr>
            </w:pPr>
          </w:p>
        </w:tc>
        <w:tc>
          <w:tcPr>
            <w:tcW w:w="1417" w:type="dxa"/>
          </w:tcPr>
          <w:p w14:paraId="2BEA235C"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I2</w:t>
            </w:r>
          </w:p>
        </w:tc>
        <w:tc>
          <w:tcPr>
            <w:tcW w:w="1134" w:type="dxa"/>
            <w:shd w:val="clear" w:color="auto" w:fill="auto"/>
          </w:tcPr>
          <w:p w14:paraId="505B4BCD"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50-60</w:t>
            </w:r>
          </w:p>
        </w:tc>
        <w:tc>
          <w:tcPr>
            <w:tcW w:w="2127" w:type="dxa"/>
          </w:tcPr>
          <w:p w14:paraId="5977C6F8"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10-50</w:t>
            </w:r>
          </w:p>
        </w:tc>
        <w:tc>
          <w:tcPr>
            <w:tcW w:w="2126" w:type="dxa"/>
          </w:tcPr>
          <w:p w14:paraId="63190D94"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0.1-0.5</w:t>
            </w:r>
          </w:p>
        </w:tc>
        <w:tc>
          <w:tcPr>
            <w:tcW w:w="2580" w:type="dxa"/>
          </w:tcPr>
          <w:p w14:paraId="532ADFC6"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1-10</w:t>
            </w:r>
          </w:p>
        </w:tc>
      </w:tr>
      <w:tr w:rsidR="00B9481C" w:rsidRPr="00B9481C" w14:paraId="204919CE" w14:textId="77777777" w:rsidTr="00B9481C">
        <w:trPr>
          <w:trHeight w:val="302"/>
        </w:trPr>
        <w:tc>
          <w:tcPr>
            <w:tcW w:w="3794" w:type="dxa"/>
            <w:vMerge/>
          </w:tcPr>
          <w:p w14:paraId="1FA94817" w14:textId="77777777" w:rsidR="00B9481C" w:rsidRPr="00B9481C" w:rsidRDefault="00B9481C" w:rsidP="00FB4A53">
            <w:pPr>
              <w:spacing w:line="276" w:lineRule="auto"/>
              <w:rPr>
                <w:rFonts w:asciiTheme="minorHAnsi" w:hAnsiTheme="minorHAnsi" w:cstheme="minorHAnsi"/>
                <w:sz w:val="16"/>
                <w:szCs w:val="16"/>
              </w:rPr>
            </w:pPr>
          </w:p>
        </w:tc>
        <w:tc>
          <w:tcPr>
            <w:tcW w:w="1417" w:type="dxa"/>
          </w:tcPr>
          <w:p w14:paraId="3C3F6AFB"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I3</w:t>
            </w:r>
          </w:p>
        </w:tc>
        <w:tc>
          <w:tcPr>
            <w:tcW w:w="1134" w:type="dxa"/>
            <w:shd w:val="clear" w:color="auto" w:fill="auto"/>
          </w:tcPr>
          <w:p w14:paraId="67F7E3BE"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50-60</w:t>
            </w:r>
          </w:p>
        </w:tc>
        <w:tc>
          <w:tcPr>
            <w:tcW w:w="2127" w:type="dxa"/>
          </w:tcPr>
          <w:p w14:paraId="2BE8D195"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100-500</w:t>
            </w:r>
          </w:p>
        </w:tc>
        <w:tc>
          <w:tcPr>
            <w:tcW w:w="2126" w:type="dxa"/>
          </w:tcPr>
          <w:p w14:paraId="1DBD07A4"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1-10</w:t>
            </w:r>
          </w:p>
        </w:tc>
        <w:tc>
          <w:tcPr>
            <w:tcW w:w="2580" w:type="dxa"/>
          </w:tcPr>
          <w:p w14:paraId="77DACF21"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10-50</w:t>
            </w:r>
          </w:p>
        </w:tc>
      </w:tr>
      <w:tr w:rsidR="00B9481C" w:rsidRPr="00B9481C" w14:paraId="6DB06D44" w14:textId="77777777" w:rsidTr="00B9481C">
        <w:trPr>
          <w:trHeight w:val="302"/>
        </w:trPr>
        <w:tc>
          <w:tcPr>
            <w:tcW w:w="3794" w:type="dxa"/>
            <w:vMerge/>
          </w:tcPr>
          <w:p w14:paraId="2F6FAE35" w14:textId="77777777" w:rsidR="00B9481C" w:rsidRPr="00B9481C" w:rsidRDefault="00B9481C" w:rsidP="00FB4A53">
            <w:pPr>
              <w:spacing w:line="276" w:lineRule="auto"/>
              <w:rPr>
                <w:rFonts w:asciiTheme="minorHAnsi" w:hAnsiTheme="minorHAnsi" w:cstheme="minorHAnsi"/>
                <w:sz w:val="16"/>
                <w:szCs w:val="16"/>
              </w:rPr>
            </w:pPr>
          </w:p>
        </w:tc>
        <w:tc>
          <w:tcPr>
            <w:tcW w:w="1417" w:type="dxa"/>
          </w:tcPr>
          <w:p w14:paraId="6A7AEDD6"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I4</w:t>
            </w:r>
          </w:p>
        </w:tc>
        <w:tc>
          <w:tcPr>
            <w:tcW w:w="1134" w:type="dxa"/>
            <w:shd w:val="clear" w:color="auto" w:fill="auto"/>
          </w:tcPr>
          <w:p w14:paraId="090308A2"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50-60</w:t>
            </w:r>
          </w:p>
        </w:tc>
        <w:tc>
          <w:tcPr>
            <w:tcW w:w="2127" w:type="dxa"/>
          </w:tcPr>
          <w:p w14:paraId="546ED2D1"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10-50</w:t>
            </w:r>
          </w:p>
        </w:tc>
        <w:tc>
          <w:tcPr>
            <w:tcW w:w="2126" w:type="dxa"/>
          </w:tcPr>
          <w:p w14:paraId="3A9A7CF5"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0-0.1</w:t>
            </w:r>
            <w:r w:rsidRPr="00B9481C">
              <w:rPr>
                <w:rStyle w:val="FootnoteReference"/>
                <w:rFonts w:asciiTheme="minorHAnsi" w:hAnsiTheme="minorHAnsi" w:cstheme="minorHAnsi"/>
                <w:sz w:val="16"/>
                <w:szCs w:val="16"/>
              </w:rPr>
              <w:footnoteReference w:id="2"/>
            </w:r>
          </w:p>
        </w:tc>
        <w:tc>
          <w:tcPr>
            <w:tcW w:w="2580" w:type="dxa"/>
          </w:tcPr>
          <w:p w14:paraId="53B8A575"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1-10</w:t>
            </w:r>
          </w:p>
        </w:tc>
      </w:tr>
      <w:tr w:rsidR="00B9481C" w:rsidRPr="00B9481C" w14:paraId="7DC43B2F" w14:textId="77777777" w:rsidTr="00B9481C">
        <w:trPr>
          <w:trHeight w:val="302"/>
        </w:trPr>
        <w:tc>
          <w:tcPr>
            <w:tcW w:w="3794" w:type="dxa"/>
            <w:vMerge w:val="restart"/>
          </w:tcPr>
          <w:p w14:paraId="245CBBE5" w14:textId="77777777" w:rsidR="00B9481C" w:rsidRPr="00B9481C" w:rsidRDefault="00B9481C" w:rsidP="00FB4A53">
            <w:pPr>
              <w:spacing w:line="276" w:lineRule="auto"/>
              <w:rPr>
                <w:rFonts w:asciiTheme="minorHAnsi" w:hAnsiTheme="minorHAnsi" w:cstheme="minorHAnsi"/>
                <w:sz w:val="16"/>
                <w:szCs w:val="16"/>
              </w:rPr>
            </w:pPr>
            <w:r w:rsidRPr="00B9481C">
              <w:rPr>
                <w:rFonts w:asciiTheme="minorHAnsi" w:hAnsiTheme="minorHAnsi" w:cstheme="minorHAnsi"/>
                <w:sz w:val="16"/>
                <w:szCs w:val="16"/>
              </w:rPr>
              <w:lastRenderedPageBreak/>
              <w:t>Investment (management)</w:t>
            </w:r>
          </w:p>
        </w:tc>
        <w:tc>
          <w:tcPr>
            <w:tcW w:w="1417" w:type="dxa"/>
          </w:tcPr>
          <w:p w14:paraId="14A11324"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I5</w:t>
            </w:r>
          </w:p>
        </w:tc>
        <w:tc>
          <w:tcPr>
            <w:tcW w:w="1134" w:type="dxa"/>
            <w:shd w:val="clear" w:color="auto" w:fill="auto"/>
          </w:tcPr>
          <w:p w14:paraId="0268027B"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50-60</w:t>
            </w:r>
          </w:p>
        </w:tc>
        <w:tc>
          <w:tcPr>
            <w:tcW w:w="2127" w:type="dxa"/>
          </w:tcPr>
          <w:p w14:paraId="6B33D736"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10-50</w:t>
            </w:r>
          </w:p>
        </w:tc>
        <w:tc>
          <w:tcPr>
            <w:tcW w:w="2126" w:type="dxa"/>
          </w:tcPr>
          <w:p w14:paraId="3ED42B1B"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Retired</w:t>
            </w:r>
          </w:p>
        </w:tc>
        <w:tc>
          <w:tcPr>
            <w:tcW w:w="2580" w:type="dxa"/>
          </w:tcPr>
          <w:p w14:paraId="6C86785B"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1-10</w:t>
            </w:r>
          </w:p>
        </w:tc>
      </w:tr>
      <w:tr w:rsidR="00B9481C" w:rsidRPr="00B9481C" w14:paraId="6C8083CE" w14:textId="77777777" w:rsidTr="00B9481C">
        <w:trPr>
          <w:trHeight w:val="302"/>
        </w:trPr>
        <w:tc>
          <w:tcPr>
            <w:tcW w:w="3794" w:type="dxa"/>
            <w:vMerge/>
          </w:tcPr>
          <w:p w14:paraId="6C1F6B4A" w14:textId="77777777" w:rsidR="00B9481C" w:rsidRPr="00B9481C" w:rsidRDefault="00B9481C" w:rsidP="00FB4A53">
            <w:pPr>
              <w:spacing w:line="276" w:lineRule="auto"/>
              <w:rPr>
                <w:rFonts w:asciiTheme="minorHAnsi" w:hAnsiTheme="minorHAnsi" w:cstheme="minorHAnsi"/>
                <w:sz w:val="16"/>
                <w:szCs w:val="16"/>
              </w:rPr>
            </w:pPr>
          </w:p>
        </w:tc>
        <w:tc>
          <w:tcPr>
            <w:tcW w:w="1417" w:type="dxa"/>
          </w:tcPr>
          <w:p w14:paraId="0C63E169"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I6</w:t>
            </w:r>
          </w:p>
        </w:tc>
        <w:tc>
          <w:tcPr>
            <w:tcW w:w="1134" w:type="dxa"/>
            <w:shd w:val="clear" w:color="auto" w:fill="auto"/>
          </w:tcPr>
          <w:p w14:paraId="6ECB1F6E"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60-70</w:t>
            </w:r>
          </w:p>
        </w:tc>
        <w:tc>
          <w:tcPr>
            <w:tcW w:w="2127" w:type="dxa"/>
          </w:tcPr>
          <w:p w14:paraId="0181B833"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1-10</w:t>
            </w:r>
          </w:p>
        </w:tc>
        <w:tc>
          <w:tcPr>
            <w:tcW w:w="2126" w:type="dxa"/>
          </w:tcPr>
          <w:p w14:paraId="68842C1B"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0.1-0.5</w:t>
            </w:r>
          </w:p>
        </w:tc>
        <w:tc>
          <w:tcPr>
            <w:tcW w:w="2580" w:type="dxa"/>
          </w:tcPr>
          <w:p w14:paraId="319CEEC3"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0.5-1</w:t>
            </w:r>
          </w:p>
        </w:tc>
      </w:tr>
      <w:tr w:rsidR="00B9481C" w:rsidRPr="00B9481C" w14:paraId="59147095" w14:textId="77777777" w:rsidTr="00B9481C">
        <w:trPr>
          <w:trHeight w:val="302"/>
        </w:trPr>
        <w:tc>
          <w:tcPr>
            <w:tcW w:w="3794" w:type="dxa"/>
            <w:vMerge/>
          </w:tcPr>
          <w:p w14:paraId="194D754B" w14:textId="77777777" w:rsidR="00B9481C" w:rsidRPr="00B9481C" w:rsidRDefault="00B9481C" w:rsidP="00FB4A53">
            <w:pPr>
              <w:spacing w:line="276" w:lineRule="auto"/>
              <w:rPr>
                <w:rFonts w:asciiTheme="minorHAnsi" w:hAnsiTheme="minorHAnsi" w:cstheme="minorHAnsi"/>
                <w:sz w:val="16"/>
                <w:szCs w:val="16"/>
              </w:rPr>
            </w:pPr>
          </w:p>
        </w:tc>
        <w:tc>
          <w:tcPr>
            <w:tcW w:w="1417" w:type="dxa"/>
          </w:tcPr>
          <w:p w14:paraId="4B9970AC"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I7</w:t>
            </w:r>
          </w:p>
        </w:tc>
        <w:tc>
          <w:tcPr>
            <w:tcW w:w="1134" w:type="dxa"/>
            <w:shd w:val="clear" w:color="auto" w:fill="auto"/>
          </w:tcPr>
          <w:p w14:paraId="588459B0"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40-50</w:t>
            </w:r>
          </w:p>
        </w:tc>
        <w:tc>
          <w:tcPr>
            <w:tcW w:w="2127" w:type="dxa"/>
          </w:tcPr>
          <w:p w14:paraId="6871A1A8"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1-10</w:t>
            </w:r>
          </w:p>
        </w:tc>
        <w:tc>
          <w:tcPr>
            <w:tcW w:w="2126" w:type="dxa"/>
          </w:tcPr>
          <w:p w14:paraId="6A53995F"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0.1-0.5</w:t>
            </w:r>
          </w:p>
        </w:tc>
        <w:tc>
          <w:tcPr>
            <w:tcW w:w="2580" w:type="dxa"/>
          </w:tcPr>
          <w:p w14:paraId="242FCE92"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0.5-1</w:t>
            </w:r>
          </w:p>
        </w:tc>
      </w:tr>
      <w:tr w:rsidR="00B9481C" w:rsidRPr="00B9481C" w14:paraId="14AD83F0" w14:textId="77777777" w:rsidTr="00B9481C">
        <w:trPr>
          <w:trHeight w:val="302"/>
        </w:trPr>
        <w:tc>
          <w:tcPr>
            <w:tcW w:w="3794" w:type="dxa"/>
            <w:vMerge w:val="restart"/>
          </w:tcPr>
          <w:p w14:paraId="002FF127" w14:textId="77777777" w:rsidR="00B9481C" w:rsidRPr="00B9481C" w:rsidRDefault="00B9481C" w:rsidP="00FB4A53">
            <w:pPr>
              <w:spacing w:line="276" w:lineRule="auto"/>
              <w:rPr>
                <w:rFonts w:asciiTheme="minorHAnsi" w:hAnsiTheme="minorHAnsi" w:cstheme="minorHAnsi"/>
                <w:sz w:val="16"/>
                <w:szCs w:val="16"/>
              </w:rPr>
            </w:pPr>
            <w:r w:rsidRPr="00B9481C">
              <w:rPr>
                <w:rFonts w:asciiTheme="minorHAnsi" w:hAnsiTheme="minorHAnsi" w:cstheme="minorHAnsi"/>
                <w:sz w:val="16"/>
                <w:szCs w:val="16"/>
              </w:rPr>
              <w:t>Investment (private equity)</w:t>
            </w:r>
          </w:p>
        </w:tc>
        <w:tc>
          <w:tcPr>
            <w:tcW w:w="1417" w:type="dxa"/>
          </w:tcPr>
          <w:p w14:paraId="4A4323A8"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I8</w:t>
            </w:r>
          </w:p>
        </w:tc>
        <w:tc>
          <w:tcPr>
            <w:tcW w:w="1134" w:type="dxa"/>
            <w:shd w:val="clear" w:color="auto" w:fill="auto"/>
          </w:tcPr>
          <w:p w14:paraId="0CBBD09B"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60-70</w:t>
            </w:r>
          </w:p>
        </w:tc>
        <w:tc>
          <w:tcPr>
            <w:tcW w:w="2127" w:type="dxa"/>
          </w:tcPr>
          <w:p w14:paraId="1C3E93BE"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1-10</w:t>
            </w:r>
          </w:p>
        </w:tc>
        <w:tc>
          <w:tcPr>
            <w:tcW w:w="2126" w:type="dxa"/>
          </w:tcPr>
          <w:p w14:paraId="27B693CD"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0.1-0.5</w:t>
            </w:r>
          </w:p>
        </w:tc>
        <w:tc>
          <w:tcPr>
            <w:tcW w:w="2580" w:type="dxa"/>
          </w:tcPr>
          <w:p w14:paraId="2250E6A8"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0.5-1</w:t>
            </w:r>
          </w:p>
        </w:tc>
      </w:tr>
      <w:tr w:rsidR="00B9481C" w:rsidRPr="00B9481C" w14:paraId="7FC78C13" w14:textId="77777777" w:rsidTr="00B9481C">
        <w:trPr>
          <w:trHeight w:val="302"/>
        </w:trPr>
        <w:tc>
          <w:tcPr>
            <w:tcW w:w="3794" w:type="dxa"/>
            <w:vMerge/>
          </w:tcPr>
          <w:p w14:paraId="5FAB5DE9" w14:textId="77777777" w:rsidR="00B9481C" w:rsidRPr="00B9481C" w:rsidRDefault="00B9481C" w:rsidP="00FB4A53">
            <w:pPr>
              <w:spacing w:line="276" w:lineRule="auto"/>
              <w:rPr>
                <w:rFonts w:asciiTheme="minorHAnsi" w:hAnsiTheme="minorHAnsi" w:cstheme="minorHAnsi"/>
                <w:sz w:val="16"/>
                <w:szCs w:val="16"/>
              </w:rPr>
            </w:pPr>
          </w:p>
        </w:tc>
        <w:tc>
          <w:tcPr>
            <w:tcW w:w="1417" w:type="dxa"/>
          </w:tcPr>
          <w:p w14:paraId="4C3E97AC"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I9</w:t>
            </w:r>
          </w:p>
        </w:tc>
        <w:tc>
          <w:tcPr>
            <w:tcW w:w="1134" w:type="dxa"/>
            <w:shd w:val="clear" w:color="auto" w:fill="auto"/>
          </w:tcPr>
          <w:p w14:paraId="184D8E22"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70-80</w:t>
            </w:r>
          </w:p>
        </w:tc>
        <w:tc>
          <w:tcPr>
            <w:tcW w:w="2127" w:type="dxa"/>
          </w:tcPr>
          <w:p w14:paraId="7252705C"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1-10</w:t>
            </w:r>
          </w:p>
        </w:tc>
        <w:tc>
          <w:tcPr>
            <w:tcW w:w="2126" w:type="dxa"/>
          </w:tcPr>
          <w:p w14:paraId="5FAD7A99"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Retired</w:t>
            </w:r>
          </w:p>
        </w:tc>
        <w:tc>
          <w:tcPr>
            <w:tcW w:w="2580" w:type="dxa"/>
          </w:tcPr>
          <w:p w14:paraId="1D451F1E"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10-50</w:t>
            </w:r>
          </w:p>
        </w:tc>
      </w:tr>
      <w:tr w:rsidR="00B9481C" w:rsidRPr="00B9481C" w14:paraId="12795CF7" w14:textId="77777777" w:rsidTr="00B9481C">
        <w:trPr>
          <w:trHeight w:val="302"/>
        </w:trPr>
        <w:tc>
          <w:tcPr>
            <w:tcW w:w="3794" w:type="dxa"/>
            <w:vMerge/>
          </w:tcPr>
          <w:p w14:paraId="2555AE5D" w14:textId="77777777" w:rsidR="00B9481C" w:rsidRPr="00B9481C" w:rsidRDefault="00B9481C" w:rsidP="00FB4A53">
            <w:pPr>
              <w:spacing w:line="276" w:lineRule="auto"/>
              <w:rPr>
                <w:rFonts w:asciiTheme="minorHAnsi" w:hAnsiTheme="minorHAnsi" w:cstheme="minorHAnsi"/>
                <w:sz w:val="16"/>
                <w:szCs w:val="16"/>
              </w:rPr>
            </w:pPr>
          </w:p>
        </w:tc>
        <w:tc>
          <w:tcPr>
            <w:tcW w:w="1417" w:type="dxa"/>
          </w:tcPr>
          <w:p w14:paraId="630EEA31"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I10</w:t>
            </w:r>
          </w:p>
        </w:tc>
        <w:tc>
          <w:tcPr>
            <w:tcW w:w="1134" w:type="dxa"/>
            <w:shd w:val="clear" w:color="auto" w:fill="auto"/>
          </w:tcPr>
          <w:p w14:paraId="4E3B53C9"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50-60</w:t>
            </w:r>
          </w:p>
        </w:tc>
        <w:tc>
          <w:tcPr>
            <w:tcW w:w="2127" w:type="dxa"/>
          </w:tcPr>
          <w:p w14:paraId="550A14C5"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10-50</w:t>
            </w:r>
          </w:p>
        </w:tc>
        <w:tc>
          <w:tcPr>
            <w:tcW w:w="2126" w:type="dxa"/>
          </w:tcPr>
          <w:p w14:paraId="7ECB9FBB"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0.5-1</w:t>
            </w:r>
          </w:p>
        </w:tc>
        <w:tc>
          <w:tcPr>
            <w:tcW w:w="2580" w:type="dxa"/>
          </w:tcPr>
          <w:p w14:paraId="64BBC4CA"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1-10</w:t>
            </w:r>
          </w:p>
        </w:tc>
      </w:tr>
      <w:tr w:rsidR="00B9481C" w:rsidRPr="00B9481C" w14:paraId="184ED1FA" w14:textId="77777777" w:rsidTr="00B9481C">
        <w:trPr>
          <w:trHeight w:val="302"/>
        </w:trPr>
        <w:tc>
          <w:tcPr>
            <w:tcW w:w="3794" w:type="dxa"/>
            <w:vMerge w:val="restart"/>
          </w:tcPr>
          <w:p w14:paraId="54F03291" w14:textId="77777777" w:rsidR="00B9481C" w:rsidRPr="00B9481C" w:rsidRDefault="00B9481C" w:rsidP="00FB4A53">
            <w:pPr>
              <w:spacing w:line="276" w:lineRule="auto"/>
              <w:rPr>
                <w:rFonts w:asciiTheme="minorHAnsi" w:hAnsiTheme="minorHAnsi" w:cstheme="minorHAnsi"/>
                <w:sz w:val="16"/>
                <w:szCs w:val="16"/>
              </w:rPr>
            </w:pPr>
            <w:r w:rsidRPr="00B9481C">
              <w:rPr>
                <w:rFonts w:asciiTheme="minorHAnsi" w:hAnsiTheme="minorHAnsi" w:cstheme="minorHAnsi"/>
                <w:sz w:val="16"/>
                <w:szCs w:val="16"/>
              </w:rPr>
              <w:t>Finance (accounting)</w:t>
            </w:r>
          </w:p>
        </w:tc>
        <w:tc>
          <w:tcPr>
            <w:tcW w:w="1417" w:type="dxa"/>
          </w:tcPr>
          <w:p w14:paraId="1DD0BF6B"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F1</w:t>
            </w:r>
          </w:p>
        </w:tc>
        <w:tc>
          <w:tcPr>
            <w:tcW w:w="1134" w:type="dxa"/>
            <w:shd w:val="clear" w:color="auto" w:fill="auto"/>
          </w:tcPr>
          <w:p w14:paraId="6C4C1E12"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50-60</w:t>
            </w:r>
          </w:p>
        </w:tc>
        <w:tc>
          <w:tcPr>
            <w:tcW w:w="2127" w:type="dxa"/>
          </w:tcPr>
          <w:p w14:paraId="3F2A8D34"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1-10</w:t>
            </w:r>
          </w:p>
        </w:tc>
        <w:tc>
          <w:tcPr>
            <w:tcW w:w="2126" w:type="dxa"/>
          </w:tcPr>
          <w:p w14:paraId="5E77D6AF"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0.1-0.5</w:t>
            </w:r>
          </w:p>
        </w:tc>
        <w:tc>
          <w:tcPr>
            <w:tcW w:w="2580" w:type="dxa"/>
          </w:tcPr>
          <w:p w14:paraId="3673ECC3"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0.5-1</w:t>
            </w:r>
          </w:p>
        </w:tc>
      </w:tr>
      <w:tr w:rsidR="00B9481C" w:rsidRPr="00B9481C" w14:paraId="3426F630" w14:textId="77777777" w:rsidTr="00B9481C">
        <w:trPr>
          <w:trHeight w:val="302"/>
        </w:trPr>
        <w:tc>
          <w:tcPr>
            <w:tcW w:w="3794" w:type="dxa"/>
            <w:vMerge/>
          </w:tcPr>
          <w:p w14:paraId="22DA3532" w14:textId="77777777" w:rsidR="00B9481C" w:rsidRPr="00B9481C" w:rsidRDefault="00B9481C" w:rsidP="00FB4A53">
            <w:pPr>
              <w:spacing w:line="276" w:lineRule="auto"/>
              <w:rPr>
                <w:rFonts w:asciiTheme="minorHAnsi" w:hAnsiTheme="minorHAnsi" w:cstheme="minorHAnsi"/>
                <w:sz w:val="16"/>
                <w:szCs w:val="16"/>
              </w:rPr>
            </w:pPr>
          </w:p>
        </w:tc>
        <w:tc>
          <w:tcPr>
            <w:tcW w:w="1417" w:type="dxa"/>
          </w:tcPr>
          <w:p w14:paraId="28377CAF"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F2</w:t>
            </w:r>
          </w:p>
        </w:tc>
        <w:tc>
          <w:tcPr>
            <w:tcW w:w="1134" w:type="dxa"/>
            <w:shd w:val="clear" w:color="auto" w:fill="auto"/>
          </w:tcPr>
          <w:p w14:paraId="73B6FDEB"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70-80</w:t>
            </w:r>
          </w:p>
        </w:tc>
        <w:tc>
          <w:tcPr>
            <w:tcW w:w="2127" w:type="dxa"/>
          </w:tcPr>
          <w:p w14:paraId="4E3810FD"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1-10</w:t>
            </w:r>
          </w:p>
        </w:tc>
        <w:tc>
          <w:tcPr>
            <w:tcW w:w="2126" w:type="dxa"/>
          </w:tcPr>
          <w:p w14:paraId="57F0940C"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Retired</w:t>
            </w:r>
          </w:p>
        </w:tc>
        <w:tc>
          <w:tcPr>
            <w:tcW w:w="2580" w:type="dxa"/>
          </w:tcPr>
          <w:p w14:paraId="436C7DE8"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1-10</w:t>
            </w:r>
          </w:p>
        </w:tc>
      </w:tr>
      <w:tr w:rsidR="00B9481C" w:rsidRPr="00B9481C" w14:paraId="6EFFAB53" w14:textId="77777777" w:rsidTr="00B9481C">
        <w:trPr>
          <w:trHeight w:val="302"/>
        </w:trPr>
        <w:tc>
          <w:tcPr>
            <w:tcW w:w="3794" w:type="dxa"/>
            <w:vMerge w:val="restart"/>
          </w:tcPr>
          <w:p w14:paraId="55BF5F29" w14:textId="77777777" w:rsidR="00B9481C" w:rsidRPr="00B9481C" w:rsidRDefault="00B9481C" w:rsidP="00FB4A53">
            <w:pPr>
              <w:spacing w:line="276" w:lineRule="auto"/>
              <w:rPr>
                <w:rFonts w:asciiTheme="minorHAnsi" w:hAnsiTheme="minorHAnsi" w:cstheme="minorHAnsi"/>
                <w:sz w:val="16"/>
                <w:szCs w:val="16"/>
              </w:rPr>
            </w:pPr>
            <w:r w:rsidRPr="00B9481C">
              <w:rPr>
                <w:rFonts w:asciiTheme="minorHAnsi" w:hAnsiTheme="minorHAnsi" w:cstheme="minorHAnsi"/>
                <w:sz w:val="16"/>
                <w:szCs w:val="16"/>
              </w:rPr>
              <w:t>Finance (advisory)</w:t>
            </w:r>
          </w:p>
        </w:tc>
        <w:tc>
          <w:tcPr>
            <w:tcW w:w="1417" w:type="dxa"/>
          </w:tcPr>
          <w:p w14:paraId="29B28BED"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F3</w:t>
            </w:r>
          </w:p>
        </w:tc>
        <w:tc>
          <w:tcPr>
            <w:tcW w:w="1134" w:type="dxa"/>
            <w:shd w:val="clear" w:color="auto" w:fill="auto"/>
          </w:tcPr>
          <w:p w14:paraId="41AEC961"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50-60</w:t>
            </w:r>
          </w:p>
        </w:tc>
        <w:tc>
          <w:tcPr>
            <w:tcW w:w="2127" w:type="dxa"/>
          </w:tcPr>
          <w:p w14:paraId="6970769C"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10-50</w:t>
            </w:r>
          </w:p>
        </w:tc>
        <w:tc>
          <w:tcPr>
            <w:tcW w:w="2126" w:type="dxa"/>
          </w:tcPr>
          <w:p w14:paraId="1A833FDA"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0.5-1</w:t>
            </w:r>
          </w:p>
        </w:tc>
        <w:tc>
          <w:tcPr>
            <w:tcW w:w="2580" w:type="dxa"/>
          </w:tcPr>
          <w:p w14:paraId="3835475E"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1-10</w:t>
            </w:r>
          </w:p>
        </w:tc>
      </w:tr>
      <w:tr w:rsidR="00B9481C" w:rsidRPr="00B9481C" w14:paraId="63B8AD23" w14:textId="77777777" w:rsidTr="00B9481C">
        <w:trPr>
          <w:trHeight w:val="302"/>
        </w:trPr>
        <w:tc>
          <w:tcPr>
            <w:tcW w:w="3794" w:type="dxa"/>
            <w:vMerge/>
          </w:tcPr>
          <w:p w14:paraId="615C889C" w14:textId="77777777" w:rsidR="00B9481C" w:rsidRPr="00B9481C" w:rsidRDefault="00B9481C" w:rsidP="00FB4A53">
            <w:pPr>
              <w:spacing w:line="276" w:lineRule="auto"/>
              <w:rPr>
                <w:rFonts w:asciiTheme="minorHAnsi" w:hAnsiTheme="minorHAnsi" w:cstheme="minorHAnsi"/>
                <w:sz w:val="16"/>
                <w:szCs w:val="16"/>
              </w:rPr>
            </w:pPr>
          </w:p>
        </w:tc>
        <w:tc>
          <w:tcPr>
            <w:tcW w:w="1417" w:type="dxa"/>
          </w:tcPr>
          <w:p w14:paraId="35F1B372"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F4</w:t>
            </w:r>
          </w:p>
        </w:tc>
        <w:tc>
          <w:tcPr>
            <w:tcW w:w="1134" w:type="dxa"/>
            <w:shd w:val="clear" w:color="auto" w:fill="auto"/>
          </w:tcPr>
          <w:p w14:paraId="147DF009"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70-80</w:t>
            </w:r>
          </w:p>
        </w:tc>
        <w:tc>
          <w:tcPr>
            <w:tcW w:w="2127" w:type="dxa"/>
          </w:tcPr>
          <w:p w14:paraId="3E6E5805"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1-10</w:t>
            </w:r>
          </w:p>
        </w:tc>
        <w:tc>
          <w:tcPr>
            <w:tcW w:w="2126" w:type="dxa"/>
          </w:tcPr>
          <w:p w14:paraId="2A338DFC"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Retired</w:t>
            </w:r>
          </w:p>
        </w:tc>
        <w:tc>
          <w:tcPr>
            <w:tcW w:w="2580" w:type="dxa"/>
          </w:tcPr>
          <w:p w14:paraId="16DAD20B"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1-10</w:t>
            </w:r>
          </w:p>
        </w:tc>
      </w:tr>
      <w:tr w:rsidR="00B9481C" w:rsidRPr="00B9481C" w14:paraId="72EE1069" w14:textId="77777777" w:rsidTr="00B9481C">
        <w:trPr>
          <w:trHeight w:val="302"/>
        </w:trPr>
        <w:tc>
          <w:tcPr>
            <w:tcW w:w="3794" w:type="dxa"/>
          </w:tcPr>
          <w:p w14:paraId="3ED6F9F2" w14:textId="77777777" w:rsidR="00B9481C" w:rsidRPr="00B9481C" w:rsidRDefault="00B9481C" w:rsidP="00FB4A53">
            <w:pPr>
              <w:spacing w:line="276" w:lineRule="auto"/>
              <w:rPr>
                <w:rFonts w:asciiTheme="minorHAnsi" w:hAnsiTheme="minorHAnsi" w:cstheme="minorHAnsi"/>
                <w:sz w:val="16"/>
                <w:szCs w:val="16"/>
              </w:rPr>
            </w:pPr>
            <w:r w:rsidRPr="00B9481C">
              <w:rPr>
                <w:rFonts w:asciiTheme="minorHAnsi" w:hAnsiTheme="minorHAnsi" w:cstheme="minorHAnsi"/>
                <w:sz w:val="16"/>
                <w:szCs w:val="16"/>
              </w:rPr>
              <w:t>Finance (insurance)</w:t>
            </w:r>
          </w:p>
        </w:tc>
        <w:tc>
          <w:tcPr>
            <w:tcW w:w="1417" w:type="dxa"/>
          </w:tcPr>
          <w:p w14:paraId="583F97C6"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F5</w:t>
            </w:r>
          </w:p>
        </w:tc>
        <w:tc>
          <w:tcPr>
            <w:tcW w:w="1134" w:type="dxa"/>
            <w:shd w:val="clear" w:color="auto" w:fill="auto"/>
          </w:tcPr>
          <w:p w14:paraId="1AAE5F1F"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50-60</w:t>
            </w:r>
          </w:p>
        </w:tc>
        <w:tc>
          <w:tcPr>
            <w:tcW w:w="2127" w:type="dxa"/>
          </w:tcPr>
          <w:p w14:paraId="2E83FA16"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1-10</w:t>
            </w:r>
          </w:p>
        </w:tc>
        <w:tc>
          <w:tcPr>
            <w:tcW w:w="2126" w:type="dxa"/>
          </w:tcPr>
          <w:p w14:paraId="181DDEF5"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Semi-retired</w:t>
            </w:r>
          </w:p>
        </w:tc>
        <w:tc>
          <w:tcPr>
            <w:tcW w:w="2580" w:type="dxa"/>
          </w:tcPr>
          <w:p w14:paraId="4CFF22FD"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1-10</w:t>
            </w:r>
          </w:p>
        </w:tc>
      </w:tr>
      <w:tr w:rsidR="00B9481C" w:rsidRPr="00B9481C" w14:paraId="31C0A1D8" w14:textId="77777777" w:rsidTr="00B9481C">
        <w:trPr>
          <w:trHeight w:val="302"/>
        </w:trPr>
        <w:tc>
          <w:tcPr>
            <w:tcW w:w="3794" w:type="dxa"/>
            <w:vMerge w:val="restart"/>
          </w:tcPr>
          <w:p w14:paraId="31F87771" w14:textId="77777777" w:rsidR="00B9481C" w:rsidRPr="00B9481C" w:rsidRDefault="00B9481C" w:rsidP="00FB4A53">
            <w:pPr>
              <w:spacing w:line="276" w:lineRule="auto"/>
              <w:rPr>
                <w:rFonts w:asciiTheme="minorHAnsi" w:hAnsiTheme="minorHAnsi" w:cstheme="minorHAnsi"/>
                <w:sz w:val="16"/>
                <w:szCs w:val="16"/>
              </w:rPr>
            </w:pPr>
            <w:r w:rsidRPr="00B9481C">
              <w:rPr>
                <w:rFonts w:asciiTheme="minorHAnsi" w:hAnsiTheme="minorHAnsi" w:cstheme="minorHAnsi"/>
                <w:sz w:val="16"/>
                <w:szCs w:val="16"/>
              </w:rPr>
              <w:t>Law (business/finance)</w:t>
            </w:r>
          </w:p>
        </w:tc>
        <w:tc>
          <w:tcPr>
            <w:tcW w:w="1417" w:type="dxa"/>
          </w:tcPr>
          <w:p w14:paraId="240B0816"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L1</w:t>
            </w:r>
          </w:p>
        </w:tc>
        <w:tc>
          <w:tcPr>
            <w:tcW w:w="1134" w:type="dxa"/>
            <w:shd w:val="clear" w:color="auto" w:fill="auto"/>
          </w:tcPr>
          <w:p w14:paraId="56420C42"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60-70</w:t>
            </w:r>
          </w:p>
        </w:tc>
        <w:tc>
          <w:tcPr>
            <w:tcW w:w="2127" w:type="dxa"/>
          </w:tcPr>
          <w:p w14:paraId="3EDD18C4"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1-10</w:t>
            </w:r>
          </w:p>
        </w:tc>
        <w:tc>
          <w:tcPr>
            <w:tcW w:w="2126" w:type="dxa"/>
          </w:tcPr>
          <w:p w14:paraId="430BFA69"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Retired</w:t>
            </w:r>
          </w:p>
        </w:tc>
        <w:tc>
          <w:tcPr>
            <w:tcW w:w="2580" w:type="dxa"/>
          </w:tcPr>
          <w:p w14:paraId="3D925481"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0.5-1</w:t>
            </w:r>
          </w:p>
        </w:tc>
      </w:tr>
      <w:tr w:rsidR="00B9481C" w:rsidRPr="00B9481C" w14:paraId="1B1D667A" w14:textId="77777777" w:rsidTr="00B9481C">
        <w:trPr>
          <w:trHeight w:val="302"/>
        </w:trPr>
        <w:tc>
          <w:tcPr>
            <w:tcW w:w="3794" w:type="dxa"/>
            <w:vMerge/>
          </w:tcPr>
          <w:p w14:paraId="460DB229" w14:textId="77777777" w:rsidR="00B9481C" w:rsidRPr="00B9481C" w:rsidRDefault="00B9481C" w:rsidP="00FB4A53">
            <w:pPr>
              <w:spacing w:line="276" w:lineRule="auto"/>
              <w:rPr>
                <w:rFonts w:asciiTheme="minorHAnsi" w:hAnsiTheme="minorHAnsi" w:cstheme="minorHAnsi"/>
                <w:sz w:val="16"/>
                <w:szCs w:val="16"/>
              </w:rPr>
            </w:pPr>
          </w:p>
        </w:tc>
        <w:tc>
          <w:tcPr>
            <w:tcW w:w="1417" w:type="dxa"/>
          </w:tcPr>
          <w:p w14:paraId="1678AECE"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L2</w:t>
            </w:r>
          </w:p>
        </w:tc>
        <w:tc>
          <w:tcPr>
            <w:tcW w:w="1134" w:type="dxa"/>
            <w:shd w:val="clear" w:color="auto" w:fill="auto"/>
          </w:tcPr>
          <w:p w14:paraId="2ED6DB7F"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60-70</w:t>
            </w:r>
          </w:p>
        </w:tc>
        <w:tc>
          <w:tcPr>
            <w:tcW w:w="2127" w:type="dxa"/>
          </w:tcPr>
          <w:p w14:paraId="03AF55A2"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1-10</w:t>
            </w:r>
          </w:p>
        </w:tc>
        <w:tc>
          <w:tcPr>
            <w:tcW w:w="2126" w:type="dxa"/>
          </w:tcPr>
          <w:p w14:paraId="7874C7B1"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0.1-0.5</w:t>
            </w:r>
          </w:p>
        </w:tc>
        <w:tc>
          <w:tcPr>
            <w:tcW w:w="2580" w:type="dxa"/>
          </w:tcPr>
          <w:p w14:paraId="331DD912"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0.5-1</w:t>
            </w:r>
          </w:p>
        </w:tc>
      </w:tr>
      <w:tr w:rsidR="00B9481C" w:rsidRPr="00B9481C" w14:paraId="4FC7D459" w14:textId="77777777" w:rsidTr="00B9481C">
        <w:trPr>
          <w:trHeight w:val="302"/>
        </w:trPr>
        <w:tc>
          <w:tcPr>
            <w:tcW w:w="3794" w:type="dxa"/>
            <w:vMerge/>
          </w:tcPr>
          <w:p w14:paraId="51F10F1D" w14:textId="77777777" w:rsidR="00B9481C" w:rsidRPr="00B9481C" w:rsidRDefault="00B9481C" w:rsidP="00FB4A53">
            <w:pPr>
              <w:spacing w:line="276" w:lineRule="auto"/>
              <w:rPr>
                <w:rFonts w:asciiTheme="minorHAnsi" w:hAnsiTheme="minorHAnsi" w:cstheme="minorHAnsi"/>
                <w:sz w:val="16"/>
                <w:szCs w:val="16"/>
              </w:rPr>
            </w:pPr>
          </w:p>
        </w:tc>
        <w:tc>
          <w:tcPr>
            <w:tcW w:w="1417" w:type="dxa"/>
          </w:tcPr>
          <w:p w14:paraId="27DDBF9A"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L3</w:t>
            </w:r>
          </w:p>
        </w:tc>
        <w:tc>
          <w:tcPr>
            <w:tcW w:w="1134" w:type="dxa"/>
            <w:shd w:val="clear" w:color="auto" w:fill="auto"/>
          </w:tcPr>
          <w:p w14:paraId="010C3849"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60-70</w:t>
            </w:r>
          </w:p>
        </w:tc>
        <w:tc>
          <w:tcPr>
            <w:tcW w:w="2127" w:type="dxa"/>
          </w:tcPr>
          <w:p w14:paraId="4CD80AFB"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1-10</w:t>
            </w:r>
          </w:p>
        </w:tc>
        <w:tc>
          <w:tcPr>
            <w:tcW w:w="2126" w:type="dxa"/>
          </w:tcPr>
          <w:p w14:paraId="172A1D73"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0.1-0.5</w:t>
            </w:r>
          </w:p>
        </w:tc>
        <w:tc>
          <w:tcPr>
            <w:tcW w:w="2580" w:type="dxa"/>
          </w:tcPr>
          <w:p w14:paraId="45B870AF"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0.5-1</w:t>
            </w:r>
          </w:p>
        </w:tc>
      </w:tr>
      <w:tr w:rsidR="00B9481C" w:rsidRPr="00B9481C" w14:paraId="7D7793B8" w14:textId="77777777" w:rsidTr="00B9481C">
        <w:trPr>
          <w:trHeight w:val="302"/>
        </w:trPr>
        <w:tc>
          <w:tcPr>
            <w:tcW w:w="3794" w:type="dxa"/>
            <w:vMerge/>
          </w:tcPr>
          <w:p w14:paraId="402A2DF4" w14:textId="77777777" w:rsidR="00B9481C" w:rsidRPr="00B9481C" w:rsidRDefault="00B9481C" w:rsidP="00FB4A53">
            <w:pPr>
              <w:spacing w:line="276" w:lineRule="auto"/>
              <w:rPr>
                <w:rFonts w:asciiTheme="minorHAnsi" w:hAnsiTheme="minorHAnsi" w:cstheme="minorHAnsi"/>
                <w:sz w:val="16"/>
                <w:szCs w:val="16"/>
              </w:rPr>
            </w:pPr>
          </w:p>
        </w:tc>
        <w:tc>
          <w:tcPr>
            <w:tcW w:w="1417" w:type="dxa"/>
          </w:tcPr>
          <w:p w14:paraId="2D31B864"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L4</w:t>
            </w:r>
          </w:p>
        </w:tc>
        <w:tc>
          <w:tcPr>
            <w:tcW w:w="1134" w:type="dxa"/>
            <w:shd w:val="clear" w:color="auto" w:fill="auto"/>
          </w:tcPr>
          <w:p w14:paraId="677BAA7E"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70-80</w:t>
            </w:r>
          </w:p>
        </w:tc>
        <w:tc>
          <w:tcPr>
            <w:tcW w:w="2127" w:type="dxa"/>
          </w:tcPr>
          <w:p w14:paraId="0E489FA2"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1-10</w:t>
            </w:r>
          </w:p>
        </w:tc>
        <w:tc>
          <w:tcPr>
            <w:tcW w:w="2126" w:type="dxa"/>
          </w:tcPr>
          <w:p w14:paraId="1320C6FF"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Retired</w:t>
            </w:r>
          </w:p>
        </w:tc>
        <w:tc>
          <w:tcPr>
            <w:tcW w:w="2580" w:type="dxa"/>
          </w:tcPr>
          <w:p w14:paraId="6B7EE081"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1-10</w:t>
            </w:r>
          </w:p>
        </w:tc>
      </w:tr>
      <w:tr w:rsidR="00B9481C" w:rsidRPr="00B9481C" w14:paraId="13A8E4A5" w14:textId="77777777" w:rsidTr="00B9481C">
        <w:trPr>
          <w:trHeight w:val="302"/>
        </w:trPr>
        <w:tc>
          <w:tcPr>
            <w:tcW w:w="3794" w:type="dxa"/>
            <w:vMerge/>
          </w:tcPr>
          <w:p w14:paraId="6F6AF88C" w14:textId="77777777" w:rsidR="00B9481C" w:rsidRPr="00B9481C" w:rsidRDefault="00B9481C" w:rsidP="00FB4A53">
            <w:pPr>
              <w:spacing w:line="276" w:lineRule="auto"/>
              <w:rPr>
                <w:rFonts w:asciiTheme="minorHAnsi" w:hAnsiTheme="minorHAnsi" w:cstheme="minorHAnsi"/>
                <w:sz w:val="16"/>
                <w:szCs w:val="16"/>
              </w:rPr>
            </w:pPr>
          </w:p>
        </w:tc>
        <w:tc>
          <w:tcPr>
            <w:tcW w:w="1417" w:type="dxa"/>
          </w:tcPr>
          <w:p w14:paraId="75CDF2B1"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L5</w:t>
            </w:r>
          </w:p>
        </w:tc>
        <w:tc>
          <w:tcPr>
            <w:tcW w:w="1134" w:type="dxa"/>
            <w:shd w:val="clear" w:color="auto" w:fill="auto"/>
          </w:tcPr>
          <w:p w14:paraId="78E4566D"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40-50</w:t>
            </w:r>
          </w:p>
        </w:tc>
        <w:tc>
          <w:tcPr>
            <w:tcW w:w="2127" w:type="dxa"/>
          </w:tcPr>
          <w:p w14:paraId="6AD4839D"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1-10</w:t>
            </w:r>
          </w:p>
        </w:tc>
        <w:tc>
          <w:tcPr>
            <w:tcW w:w="2126" w:type="dxa"/>
          </w:tcPr>
          <w:p w14:paraId="75CA0D27"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0</w:t>
            </w:r>
            <w:r w:rsidRPr="00B9481C">
              <w:rPr>
                <w:rStyle w:val="FootnoteReference"/>
                <w:rFonts w:asciiTheme="minorHAnsi" w:hAnsiTheme="minorHAnsi" w:cstheme="minorHAnsi"/>
                <w:sz w:val="16"/>
                <w:szCs w:val="16"/>
              </w:rPr>
              <w:footnoteReference w:id="3"/>
            </w:r>
          </w:p>
        </w:tc>
        <w:tc>
          <w:tcPr>
            <w:tcW w:w="2580" w:type="dxa"/>
          </w:tcPr>
          <w:p w14:paraId="63677964"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0.5-1</w:t>
            </w:r>
          </w:p>
        </w:tc>
      </w:tr>
      <w:tr w:rsidR="00B9481C" w:rsidRPr="00B9481C" w14:paraId="251330AE" w14:textId="77777777" w:rsidTr="00B9481C">
        <w:trPr>
          <w:trHeight w:val="302"/>
        </w:trPr>
        <w:tc>
          <w:tcPr>
            <w:tcW w:w="3794" w:type="dxa"/>
            <w:vMerge w:val="restart"/>
          </w:tcPr>
          <w:p w14:paraId="51585652" w14:textId="77777777" w:rsidR="00B9481C" w:rsidRPr="00B9481C" w:rsidRDefault="00B9481C" w:rsidP="00FB4A53">
            <w:pPr>
              <w:spacing w:line="276" w:lineRule="auto"/>
              <w:rPr>
                <w:rFonts w:asciiTheme="minorHAnsi" w:hAnsiTheme="minorHAnsi" w:cstheme="minorHAnsi"/>
                <w:sz w:val="16"/>
                <w:szCs w:val="16"/>
              </w:rPr>
            </w:pPr>
            <w:r w:rsidRPr="00B9481C">
              <w:rPr>
                <w:rFonts w:asciiTheme="minorHAnsi" w:hAnsiTheme="minorHAnsi" w:cstheme="minorHAnsi"/>
                <w:sz w:val="16"/>
                <w:szCs w:val="16"/>
              </w:rPr>
              <w:t>Law (charity)</w:t>
            </w:r>
          </w:p>
        </w:tc>
        <w:tc>
          <w:tcPr>
            <w:tcW w:w="1417" w:type="dxa"/>
          </w:tcPr>
          <w:p w14:paraId="44F47376"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L6</w:t>
            </w:r>
          </w:p>
        </w:tc>
        <w:tc>
          <w:tcPr>
            <w:tcW w:w="1134" w:type="dxa"/>
            <w:shd w:val="clear" w:color="auto" w:fill="auto"/>
          </w:tcPr>
          <w:p w14:paraId="70FE5061"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40-50</w:t>
            </w:r>
          </w:p>
        </w:tc>
        <w:tc>
          <w:tcPr>
            <w:tcW w:w="2127" w:type="dxa"/>
          </w:tcPr>
          <w:p w14:paraId="675E8342"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0.5-1</w:t>
            </w:r>
          </w:p>
        </w:tc>
        <w:tc>
          <w:tcPr>
            <w:tcW w:w="2126" w:type="dxa"/>
          </w:tcPr>
          <w:p w14:paraId="2FDE7C14"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0.1-0.5</w:t>
            </w:r>
          </w:p>
        </w:tc>
        <w:tc>
          <w:tcPr>
            <w:tcW w:w="2580" w:type="dxa"/>
          </w:tcPr>
          <w:p w14:paraId="054AE3D6"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0.1-0.5</w:t>
            </w:r>
          </w:p>
        </w:tc>
      </w:tr>
      <w:tr w:rsidR="00B9481C" w:rsidRPr="00B9481C" w14:paraId="474C3736" w14:textId="77777777" w:rsidTr="00B9481C">
        <w:trPr>
          <w:trHeight w:val="302"/>
        </w:trPr>
        <w:tc>
          <w:tcPr>
            <w:tcW w:w="3794" w:type="dxa"/>
            <w:vMerge/>
          </w:tcPr>
          <w:p w14:paraId="6C3F55EE" w14:textId="77777777" w:rsidR="00B9481C" w:rsidRPr="00B9481C" w:rsidRDefault="00B9481C" w:rsidP="00FB4A53">
            <w:pPr>
              <w:spacing w:line="276" w:lineRule="auto"/>
              <w:rPr>
                <w:rFonts w:asciiTheme="minorHAnsi" w:hAnsiTheme="minorHAnsi" w:cstheme="minorHAnsi"/>
                <w:sz w:val="16"/>
                <w:szCs w:val="16"/>
              </w:rPr>
            </w:pPr>
          </w:p>
        </w:tc>
        <w:tc>
          <w:tcPr>
            <w:tcW w:w="1417" w:type="dxa"/>
          </w:tcPr>
          <w:p w14:paraId="54D079AE"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L7</w:t>
            </w:r>
          </w:p>
        </w:tc>
        <w:tc>
          <w:tcPr>
            <w:tcW w:w="1134" w:type="dxa"/>
            <w:shd w:val="clear" w:color="auto" w:fill="auto"/>
          </w:tcPr>
          <w:p w14:paraId="5CD8E98B"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40-50</w:t>
            </w:r>
          </w:p>
        </w:tc>
        <w:tc>
          <w:tcPr>
            <w:tcW w:w="2127" w:type="dxa"/>
          </w:tcPr>
          <w:p w14:paraId="08845177"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0.5-1</w:t>
            </w:r>
          </w:p>
        </w:tc>
        <w:tc>
          <w:tcPr>
            <w:tcW w:w="2126" w:type="dxa"/>
          </w:tcPr>
          <w:p w14:paraId="5735FF25"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0.1-0.5</w:t>
            </w:r>
          </w:p>
        </w:tc>
        <w:tc>
          <w:tcPr>
            <w:tcW w:w="2580" w:type="dxa"/>
          </w:tcPr>
          <w:p w14:paraId="4D8A2221"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0.1-0.5</w:t>
            </w:r>
          </w:p>
        </w:tc>
      </w:tr>
      <w:tr w:rsidR="00B9481C" w:rsidRPr="00B9481C" w14:paraId="171629C7" w14:textId="77777777" w:rsidTr="00B9481C">
        <w:trPr>
          <w:trHeight w:val="302"/>
        </w:trPr>
        <w:tc>
          <w:tcPr>
            <w:tcW w:w="3794" w:type="dxa"/>
          </w:tcPr>
          <w:p w14:paraId="51EEE9AF" w14:textId="77777777" w:rsidR="00B9481C" w:rsidRPr="00B9481C" w:rsidRDefault="00B9481C" w:rsidP="00FB4A53">
            <w:pPr>
              <w:spacing w:line="276" w:lineRule="auto"/>
              <w:rPr>
                <w:rFonts w:asciiTheme="minorHAnsi" w:hAnsiTheme="minorHAnsi" w:cstheme="minorHAnsi"/>
                <w:sz w:val="16"/>
                <w:szCs w:val="16"/>
              </w:rPr>
            </w:pPr>
            <w:r w:rsidRPr="00B9481C">
              <w:rPr>
                <w:rFonts w:asciiTheme="minorHAnsi" w:hAnsiTheme="minorHAnsi" w:cstheme="minorHAnsi"/>
                <w:sz w:val="16"/>
                <w:szCs w:val="16"/>
              </w:rPr>
              <w:t>Law (human rights)</w:t>
            </w:r>
          </w:p>
        </w:tc>
        <w:tc>
          <w:tcPr>
            <w:tcW w:w="1417" w:type="dxa"/>
          </w:tcPr>
          <w:p w14:paraId="5587BAF6"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L8</w:t>
            </w:r>
          </w:p>
        </w:tc>
        <w:tc>
          <w:tcPr>
            <w:tcW w:w="1134" w:type="dxa"/>
            <w:shd w:val="clear" w:color="auto" w:fill="auto"/>
          </w:tcPr>
          <w:p w14:paraId="531C47C8"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50-60</w:t>
            </w:r>
          </w:p>
        </w:tc>
        <w:tc>
          <w:tcPr>
            <w:tcW w:w="2127" w:type="dxa"/>
          </w:tcPr>
          <w:p w14:paraId="7EFAAA61"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0.5-1</w:t>
            </w:r>
          </w:p>
        </w:tc>
        <w:tc>
          <w:tcPr>
            <w:tcW w:w="2126" w:type="dxa"/>
          </w:tcPr>
          <w:p w14:paraId="71674C90"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0.1-0.5</w:t>
            </w:r>
          </w:p>
        </w:tc>
        <w:tc>
          <w:tcPr>
            <w:tcW w:w="2580" w:type="dxa"/>
          </w:tcPr>
          <w:p w14:paraId="22F11DEF"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0.1-0.5</w:t>
            </w:r>
          </w:p>
        </w:tc>
      </w:tr>
      <w:tr w:rsidR="00B9481C" w:rsidRPr="00B9481C" w14:paraId="61E5208A" w14:textId="77777777" w:rsidTr="00B9481C">
        <w:trPr>
          <w:trHeight w:val="302"/>
        </w:trPr>
        <w:tc>
          <w:tcPr>
            <w:tcW w:w="3794" w:type="dxa"/>
          </w:tcPr>
          <w:p w14:paraId="484D6380" w14:textId="77777777" w:rsidR="00B9481C" w:rsidRPr="00B9481C" w:rsidRDefault="00B9481C" w:rsidP="00FB4A53">
            <w:pPr>
              <w:spacing w:line="276" w:lineRule="auto"/>
              <w:rPr>
                <w:rFonts w:asciiTheme="minorHAnsi" w:hAnsiTheme="minorHAnsi" w:cstheme="minorHAnsi"/>
                <w:sz w:val="16"/>
                <w:szCs w:val="16"/>
              </w:rPr>
            </w:pPr>
            <w:r w:rsidRPr="00B9481C">
              <w:rPr>
                <w:rFonts w:asciiTheme="minorHAnsi" w:hAnsiTheme="minorHAnsi" w:cstheme="minorHAnsi"/>
                <w:sz w:val="16"/>
                <w:szCs w:val="16"/>
              </w:rPr>
              <w:t>Law (judge)</w:t>
            </w:r>
          </w:p>
        </w:tc>
        <w:tc>
          <w:tcPr>
            <w:tcW w:w="1417" w:type="dxa"/>
          </w:tcPr>
          <w:p w14:paraId="5BEF05C8"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L9</w:t>
            </w:r>
          </w:p>
        </w:tc>
        <w:tc>
          <w:tcPr>
            <w:tcW w:w="1134" w:type="dxa"/>
            <w:shd w:val="clear" w:color="auto" w:fill="auto"/>
          </w:tcPr>
          <w:p w14:paraId="7BBDB327"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70-80</w:t>
            </w:r>
          </w:p>
        </w:tc>
        <w:tc>
          <w:tcPr>
            <w:tcW w:w="2127" w:type="dxa"/>
          </w:tcPr>
          <w:p w14:paraId="378ED5C8"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1-10</w:t>
            </w:r>
          </w:p>
        </w:tc>
        <w:tc>
          <w:tcPr>
            <w:tcW w:w="2126" w:type="dxa"/>
          </w:tcPr>
          <w:p w14:paraId="7DAC21CF"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0.1-0.5</w:t>
            </w:r>
          </w:p>
        </w:tc>
        <w:tc>
          <w:tcPr>
            <w:tcW w:w="2580" w:type="dxa"/>
          </w:tcPr>
          <w:p w14:paraId="4F99FF54"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1-10</w:t>
            </w:r>
          </w:p>
        </w:tc>
      </w:tr>
      <w:tr w:rsidR="00B9481C" w:rsidRPr="00B9481C" w14:paraId="6DFABB56" w14:textId="77777777" w:rsidTr="00B9481C">
        <w:trPr>
          <w:trHeight w:val="302"/>
        </w:trPr>
        <w:tc>
          <w:tcPr>
            <w:tcW w:w="3794" w:type="dxa"/>
            <w:tcBorders>
              <w:bottom w:val="single" w:sz="4" w:space="0" w:color="auto"/>
            </w:tcBorders>
          </w:tcPr>
          <w:p w14:paraId="2E1E44F8" w14:textId="77777777" w:rsidR="00B9481C" w:rsidRPr="00B9481C" w:rsidRDefault="00B9481C" w:rsidP="00FB4A53">
            <w:pPr>
              <w:spacing w:line="276" w:lineRule="auto"/>
              <w:rPr>
                <w:rFonts w:asciiTheme="minorHAnsi" w:hAnsiTheme="minorHAnsi" w:cstheme="minorHAnsi"/>
                <w:sz w:val="16"/>
                <w:szCs w:val="16"/>
              </w:rPr>
            </w:pPr>
            <w:r w:rsidRPr="00B9481C">
              <w:rPr>
                <w:rFonts w:asciiTheme="minorHAnsi" w:hAnsiTheme="minorHAnsi" w:cstheme="minorHAnsi"/>
                <w:sz w:val="16"/>
                <w:szCs w:val="16"/>
              </w:rPr>
              <w:t>Philanthropist &amp; non-profit founder</w:t>
            </w:r>
          </w:p>
        </w:tc>
        <w:tc>
          <w:tcPr>
            <w:tcW w:w="1417" w:type="dxa"/>
            <w:tcBorders>
              <w:bottom w:val="single" w:sz="4" w:space="0" w:color="auto"/>
            </w:tcBorders>
          </w:tcPr>
          <w:p w14:paraId="5A48BB14"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P1</w:t>
            </w:r>
          </w:p>
        </w:tc>
        <w:tc>
          <w:tcPr>
            <w:tcW w:w="1134" w:type="dxa"/>
            <w:tcBorders>
              <w:bottom w:val="single" w:sz="4" w:space="0" w:color="auto"/>
            </w:tcBorders>
            <w:shd w:val="clear" w:color="auto" w:fill="auto"/>
          </w:tcPr>
          <w:p w14:paraId="333DD811"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30-40</w:t>
            </w:r>
          </w:p>
        </w:tc>
        <w:tc>
          <w:tcPr>
            <w:tcW w:w="2127" w:type="dxa"/>
            <w:tcBorders>
              <w:bottom w:val="single" w:sz="4" w:space="0" w:color="auto"/>
            </w:tcBorders>
          </w:tcPr>
          <w:p w14:paraId="6696C9EF"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500+</w:t>
            </w:r>
          </w:p>
        </w:tc>
        <w:tc>
          <w:tcPr>
            <w:tcW w:w="2126" w:type="dxa"/>
            <w:tcBorders>
              <w:bottom w:val="single" w:sz="4" w:space="0" w:color="auto"/>
            </w:tcBorders>
          </w:tcPr>
          <w:p w14:paraId="41CDB3C9"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0</w:t>
            </w:r>
            <w:r w:rsidRPr="00B9481C">
              <w:rPr>
                <w:rStyle w:val="FootnoteReference"/>
                <w:rFonts w:asciiTheme="minorHAnsi" w:hAnsiTheme="minorHAnsi" w:cstheme="minorHAnsi"/>
                <w:sz w:val="16"/>
                <w:szCs w:val="16"/>
              </w:rPr>
              <w:footnoteReference w:id="4"/>
            </w:r>
          </w:p>
        </w:tc>
        <w:tc>
          <w:tcPr>
            <w:tcW w:w="2580" w:type="dxa"/>
            <w:tcBorders>
              <w:bottom w:val="single" w:sz="4" w:space="0" w:color="auto"/>
            </w:tcBorders>
          </w:tcPr>
          <w:p w14:paraId="0B76F752" w14:textId="77777777" w:rsidR="00B9481C" w:rsidRPr="00B9481C" w:rsidRDefault="00B9481C" w:rsidP="00FB4A53">
            <w:pPr>
              <w:spacing w:line="276" w:lineRule="auto"/>
              <w:jc w:val="center"/>
              <w:rPr>
                <w:rFonts w:asciiTheme="minorHAnsi" w:hAnsiTheme="minorHAnsi" w:cstheme="minorHAnsi"/>
                <w:sz w:val="16"/>
                <w:szCs w:val="16"/>
              </w:rPr>
            </w:pPr>
            <w:r w:rsidRPr="00B9481C">
              <w:rPr>
                <w:rFonts w:asciiTheme="minorHAnsi" w:hAnsiTheme="minorHAnsi" w:cstheme="minorHAnsi"/>
                <w:sz w:val="16"/>
                <w:szCs w:val="16"/>
              </w:rPr>
              <w:t>10-50</w:t>
            </w:r>
          </w:p>
        </w:tc>
      </w:tr>
    </w:tbl>
    <w:p w14:paraId="1F73B6DD" w14:textId="77777777" w:rsidR="00B9481C" w:rsidRDefault="00B9481C" w:rsidP="6FF1A3C2">
      <w:pPr>
        <w:widowControl/>
        <w:spacing w:before="240"/>
        <w:ind w:right="-28" w:firstLine="238"/>
        <w:jc w:val="both"/>
        <w:rPr>
          <w:rFonts w:ascii="Calibri" w:eastAsia="Calibri" w:hAnsi="Calibri" w:cs="Calibri"/>
          <w:color w:val="000000" w:themeColor="text1"/>
        </w:rPr>
      </w:pPr>
    </w:p>
    <w:p w14:paraId="3984EDCE" w14:textId="77777777" w:rsidR="00B9481C" w:rsidRDefault="00B9481C" w:rsidP="6FF1A3C2">
      <w:pPr>
        <w:widowControl/>
        <w:spacing w:before="240"/>
        <w:ind w:right="-28" w:firstLine="238"/>
        <w:jc w:val="both"/>
        <w:rPr>
          <w:rFonts w:ascii="Calibri" w:eastAsia="Calibri" w:hAnsi="Calibri" w:cs="Calibri"/>
          <w:color w:val="000000" w:themeColor="text1"/>
        </w:rPr>
        <w:sectPr w:rsidR="00B9481C" w:rsidSect="00B9481C">
          <w:pgSz w:w="14742" w:h="10773" w:orient="landscape"/>
          <w:pgMar w:top="1191" w:right="2126" w:bottom="737" w:left="754" w:header="510" w:footer="907" w:gutter="0"/>
          <w:cols w:space="720"/>
          <w:docGrid w:linePitch="272"/>
        </w:sectPr>
      </w:pPr>
    </w:p>
    <w:p w14:paraId="103DF305" w14:textId="36A02D9D" w:rsidR="257B37C5" w:rsidRDefault="257B37C5" w:rsidP="6FF1A3C2">
      <w:pPr>
        <w:pStyle w:val="Normal0"/>
        <w:keepLines/>
        <w:widowControl/>
        <w:spacing w:before="200" w:after="240"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lastRenderedPageBreak/>
        <w:t xml:space="preserve">Table </w:t>
      </w:r>
      <w:r w:rsidR="00B9481C">
        <w:rPr>
          <w:rFonts w:ascii="Calibri" w:eastAsia="Calibri" w:hAnsi="Calibri" w:cs="Calibri"/>
          <w:color w:val="000000" w:themeColor="text1"/>
          <w:sz w:val="16"/>
          <w:szCs w:val="16"/>
        </w:rPr>
        <w:t>3</w:t>
      </w:r>
      <w:r w:rsidRPr="6FF1A3C2">
        <w:rPr>
          <w:rFonts w:ascii="Calibri" w:eastAsia="Calibri" w:hAnsi="Calibri" w:cs="Calibri"/>
          <w:color w:val="000000" w:themeColor="text1"/>
          <w:sz w:val="16"/>
          <w:szCs w:val="16"/>
        </w:rPr>
        <w:t>. Causes and areas supported by participants.</w:t>
      </w: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00"/>
        <w:gridCol w:w="3420"/>
        <w:gridCol w:w="1515"/>
      </w:tblGrid>
      <w:tr w:rsidR="6FF1A3C2" w14:paraId="7836C182" w14:textId="77777777" w:rsidTr="6FF1A3C2">
        <w:trPr>
          <w:trHeight w:val="300"/>
          <w:jc w:val="center"/>
        </w:trPr>
        <w:tc>
          <w:tcPr>
            <w:tcW w:w="2400" w:type="dxa"/>
            <w:tcBorders>
              <w:top w:val="single" w:sz="6" w:space="0" w:color="000000" w:themeColor="text1"/>
              <w:left w:val="nil"/>
              <w:bottom w:val="single" w:sz="6" w:space="0" w:color="000000" w:themeColor="text1"/>
              <w:right w:val="nil"/>
            </w:tcBorders>
            <w:tcMar>
              <w:left w:w="105" w:type="dxa"/>
              <w:right w:w="105" w:type="dxa"/>
            </w:tcMar>
          </w:tcPr>
          <w:p w14:paraId="71F09EAA" w14:textId="2835956B" w:rsidR="257B37C5" w:rsidRDefault="257B37C5" w:rsidP="6FF1A3C2">
            <w:pPr>
              <w:pStyle w:val="Normal0"/>
              <w:widowControl/>
              <w:spacing w:after="80"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Thematic area</w:t>
            </w:r>
          </w:p>
        </w:tc>
        <w:tc>
          <w:tcPr>
            <w:tcW w:w="3420" w:type="dxa"/>
            <w:tcBorders>
              <w:top w:val="single" w:sz="6" w:space="0" w:color="000000" w:themeColor="text1"/>
              <w:left w:val="nil"/>
              <w:bottom w:val="single" w:sz="6" w:space="0" w:color="000000" w:themeColor="text1"/>
              <w:right w:val="nil"/>
            </w:tcBorders>
            <w:tcMar>
              <w:left w:w="105" w:type="dxa"/>
              <w:right w:w="105" w:type="dxa"/>
            </w:tcMar>
          </w:tcPr>
          <w:p w14:paraId="56A274A7" w14:textId="0D206BDE" w:rsidR="257B37C5" w:rsidRDefault="257B37C5" w:rsidP="6FF1A3C2">
            <w:pPr>
              <w:widowControl/>
              <w:spacing w:after="80" w:line="200" w:lineRule="auto"/>
            </w:pPr>
            <w:r w:rsidRPr="6FF1A3C2">
              <w:rPr>
                <w:rFonts w:ascii="Calibri" w:eastAsia="Calibri" w:hAnsi="Calibri" w:cs="Calibri"/>
                <w:color w:val="000000" w:themeColor="text1"/>
                <w:sz w:val="16"/>
                <w:szCs w:val="16"/>
              </w:rPr>
              <w:t>Example causes</w:t>
            </w:r>
          </w:p>
        </w:tc>
        <w:tc>
          <w:tcPr>
            <w:tcW w:w="1515" w:type="dxa"/>
            <w:tcBorders>
              <w:top w:val="single" w:sz="6" w:space="0" w:color="000000" w:themeColor="text1"/>
              <w:left w:val="nil"/>
              <w:bottom w:val="single" w:sz="6" w:space="0" w:color="000000" w:themeColor="text1"/>
              <w:right w:val="nil"/>
            </w:tcBorders>
            <w:tcMar>
              <w:left w:w="105" w:type="dxa"/>
              <w:right w:w="105" w:type="dxa"/>
            </w:tcMar>
          </w:tcPr>
          <w:p w14:paraId="0E1BACBE" w14:textId="4950D32B" w:rsidR="257B37C5" w:rsidRDefault="257B37C5" w:rsidP="6FF1A3C2">
            <w:pPr>
              <w:pStyle w:val="Normal0"/>
              <w:widowControl/>
              <w:spacing w:after="80"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No. of participants</w:t>
            </w:r>
          </w:p>
        </w:tc>
      </w:tr>
      <w:tr w:rsidR="6FF1A3C2" w14:paraId="454E9437" w14:textId="77777777" w:rsidTr="6FF1A3C2">
        <w:trPr>
          <w:trHeight w:val="300"/>
          <w:jc w:val="center"/>
        </w:trPr>
        <w:tc>
          <w:tcPr>
            <w:tcW w:w="2400" w:type="dxa"/>
            <w:tcBorders>
              <w:top w:val="single" w:sz="6" w:space="0" w:color="000000" w:themeColor="text1"/>
              <w:left w:val="nil"/>
              <w:bottom w:val="nil"/>
              <w:right w:val="nil"/>
            </w:tcBorders>
            <w:tcMar>
              <w:left w:w="105" w:type="dxa"/>
              <w:right w:w="105" w:type="dxa"/>
            </w:tcMar>
          </w:tcPr>
          <w:p w14:paraId="0D8C574E" w14:textId="2B2CFA4D" w:rsidR="257B37C5" w:rsidRDefault="257B37C5" w:rsidP="6FF1A3C2">
            <w:pPr>
              <w:widowControl/>
              <w:spacing w:after="80" w:line="200" w:lineRule="auto"/>
            </w:pPr>
            <w:r w:rsidRPr="6FF1A3C2">
              <w:rPr>
                <w:rFonts w:ascii="Calibri" w:eastAsia="Calibri" w:hAnsi="Calibri" w:cs="Calibri"/>
                <w:color w:val="000000" w:themeColor="text1"/>
                <w:sz w:val="16"/>
                <w:szCs w:val="16"/>
              </w:rPr>
              <w:t>Children and young people</w:t>
            </w:r>
          </w:p>
        </w:tc>
        <w:tc>
          <w:tcPr>
            <w:tcW w:w="3420" w:type="dxa"/>
            <w:tcBorders>
              <w:top w:val="single" w:sz="6" w:space="0" w:color="000000" w:themeColor="text1"/>
              <w:left w:val="nil"/>
              <w:bottom w:val="nil"/>
              <w:right w:val="nil"/>
            </w:tcBorders>
            <w:tcMar>
              <w:left w:w="105" w:type="dxa"/>
              <w:right w:w="105" w:type="dxa"/>
            </w:tcMar>
          </w:tcPr>
          <w:p w14:paraId="69F14B8D" w14:textId="6BAC04C9" w:rsidR="4255A5C4" w:rsidRDefault="4255A5C4" w:rsidP="6FF1A3C2">
            <w:pPr>
              <w:pStyle w:val="Normal0"/>
              <w:widowControl/>
              <w:spacing w:after="80"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Foster care; child abuse; youth violence; skills training and employability</w:t>
            </w:r>
          </w:p>
        </w:tc>
        <w:tc>
          <w:tcPr>
            <w:tcW w:w="1515" w:type="dxa"/>
            <w:tcBorders>
              <w:top w:val="single" w:sz="6" w:space="0" w:color="000000" w:themeColor="text1"/>
              <w:left w:val="nil"/>
              <w:bottom w:val="nil"/>
              <w:right w:val="nil"/>
            </w:tcBorders>
            <w:tcMar>
              <w:left w:w="105" w:type="dxa"/>
              <w:right w:w="105" w:type="dxa"/>
            </w:tcMar>
          </w:tcPr>
          <w:p w14:paraId="0FD200F8" w14:textId="26DFD8E6" w:rsidR="6FF1A3C2" w:rsidRDefault="6FF1A3C2" w:rsidP="6FF1A3C2">
            <w:pPr>
              <w:pStyle w:val="Normal0"/>
              <w:widowControl/>
              <w:spacing w:after="80"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21</w:t>
            </w:r>
          </w:p>
        </w:tc>
      </w:tr>
      <w:tr w:rsidR="6FF1A3C2" w14:paraId="7D030FED" w14:textId="77777777" w:rsidTr="6FF1A3C2">
        <w:trPr>
          <w:trHeight w:val="300"/>
          <w:jc w:val="center"/>
        </w:trPr>
        <w:tc>
          <w:tcPr>
            <w:tcW w:w="2400" w:type="dxa"/>
            <w:tcBorders>
              <w:top w:val="nil"/>
              <w:left w:val="nil"/>
              <w:bottom w:val="nil"/>
              <w:right w:val="nil"/>
            </w:tcBorders>
            <w:tcMar>
              <w:left w:w="105" w:type="dxa"/>
              <w:right w:w="105" w:type="dxa"/>
            </w:tcMar>
          </w:tcPr>
          <w:p w14:paraId="31CDF0FA" w14:textId="6958899E" w:rsidR="284B044F" w:rsidRDefault="284B044F" w:rsidP="6FF1A3C2">
            <w:pPr>
              <w:pStyle w:val="Normal0"/>
              <w:widowControl/>
              <w:spacing w:after="80"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Education</w:t>
            </w:r>
          </w:p>
        </w:tc>
        <w:tc>
          <w:tcPr>
            <w:tcW w:w="3420" w:type="dxa"/>
            <w:tcBorders>
              <w:top w:val="nil"/>
              <w:left w:val="nil"/>
              <w:bottom w:val="nil"/>
              <w:right w:val="nil"/>
            </w:tcBorders>
            <w:tcMar>
              <w:left w:w="105" w:type="dxa"/>
              <w:right w:w="105" w:type="dxa"/>
            </w:tcMar>
          </w:tcPr>
          <w:p w14:paraId="78990950" w14:textId="6BD7B59E" w:rsidR="420FE4DD" w:rsidRDefault="420FE4DD" w:rsidP="6FF1A3C2">
            <w:pPr>
              <w:pStyle w:val="Normal0"/>
              <w:widowControl/>
              <w:spacing w:after="80"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Higher, secondary, and adult further education</w:t>
            </w:r>
          </w:p>
        </w:tc>
        <w:tc>
          <w:tcPr>
            <w:tcW w:w="1515" w:type="dxa"/>
            <w:tcBorders>
              <w:top w:val="nil"/>
              <w:left w:val="nil"/>
              <w:bottom w:val="nil"/>
              <w:right w:val="nil"/>
            </w:tcBorders>
            <w:tcMar>
              <w:left w:w="105" w:type="dxa"/>
              <w:right w:w="105" w:type="dxa"/>
            </w:tcMar>
          </w:tcPr>
          <w:p w14:paraId="252E55AC" w14:textId="1B359597" w:rsidR="6FF1A3C2" w:rsidRDefault="6FF1A3C2" w:rsidP="6FF1A3C2">
            <w:pPr>
              <w:spacing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17</w:t>
            </w:r>
          </w:p>
        </w:tc>
      </w:tr>
      <w:tr w:rsidR="6FF1A3C2" w14:paraId="3C5DAA64" w14:textId="77777777" w:rsidTr="6FF1A3C2">
        <w:trPr>
          <w:trHeight w:val="300"/>
          <w:jc w:val="center"/>
        </w:trPr>
        <w:tc>
          <w:tcPr>
            <w:tcW w:w="2400" w:type="dxa"/>
            <w:tcBorders>
              <w:top w:val="nil"/>
              <w:left w:val="nil"/>
              <w:bottom w:val="nil"/>
              <w:right w:val="nil"/>
            </w:tcBorders>
            <w:tcMar>
              <w:left w:w="105" w:type="dxa"/>
              <w:right w:w="105" w:type="dxa"/>
            </w:tcMar>
          </w:tcPr>
          <w:p w14:paraId="173B531C" w14:textId="4634B235" w:rsidR="5C3A3364" w:rsidRDefault="5C3A3364" w:rsidP="6FF1A3C2">
            <w:pPr>
              <w:spacing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Health</w:t>
            </w:r>
          </w:p>
        </w:tc>
        <w:tc>
          <w:tcPr>
            <w:tcW w:w="3420" w:type="dxa"/>
            <w:tcBorders>
              <w:top w:val="nil"/>
              <w:left w:val="nil"/>
              <w:bottom w:val="nil"/>
              <w:right w:val="nil"/>
            </w:tcBorders>
            <w:tcMar>
              <w:left w:w="105" w:type="dxa"/>
              <w:right w:w="105" w:type="dxa"/>
            </w:tcMar>
          </w:tcPr>
          <w:p w14:paraId="55FB6722" w14:textId="000143C7" w:rsidR="2397D08D" w:rsidRDefault="2397D08D" w:rsidP="6FF1A3C2">
            <w:pPr>
              <w:spacing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Medical research; hospice care; mental health; specific conditions (</w:t>
            </w:r>
            <w:proofErr w:type="gramStart"/>
            <w:r w:rsidRPr="6FF1A3C2">
              <w:rPr>
                <w:rFonts w:ascii="Calibri" w:eastAsia="Calibri" w:hAnsi="Calibri" w:cs="Calibri"/>
                <w:color w:val="000000" w:themeColor="text1"/>
                <w:sz w:val="16"/>
                <w:szCs w:val="16"/>
              </w:rPr>
              <w:t>e.g.</w:t>
            </w:r>
            <w:proofErr w:type="gramEnd"/>
            <w:r w:rsidRPr="6FF1A3C2">
              <w:rPr>
                <w:rFonts w:ascii="Calibri" w:eastAsia="Calibri" w:hAnsi="Calibri" w:cs="Calibri"/>
                <w:color w:val="000000" w:themeColor="text1"/>
                <w:sz w:val="16"/>
                <w:szCs w:val="16"/>
              </w:rPr>
              <w:t xml:space="preserve"> cancer, Parkinson’s)</w:t>
            </w:r>
          </w:p>
        </w:tc>
        <w:tc>
          <w:tcPr>
            <w:tcW w:w="1515" w:type="dxa"/>
            <w:tcBorders>
              <w:top w:val="nil"/>
              <w:left w:val="nil"/>
              <w:bottom w:val="nil"/>
              <w:right w:val="nil"/>
            </w:tcBorders>
            <w:tcMar>
              <w:left w:w="105" w:type="dxa"/>
              <w:right w:w="105" w:type="dxa"/>
            </w:tcMar>
          </w:tcPr>
          <w:p w14:paraId="72D6C2FC" w14:textId="0CF78FCA" w:rsidR="6FF1A3C2" w:rsidRDefault="6FF1A3C2" w:rsidP="6FF1A3C2">
            <w:pPr>
              <w:spacing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14</w:t>
            </w:r>
          </w:p>
        </w:tc>
      </w:tr>
      <w:tr w:rsidR="6FF1A3C2" w14:paraId="677D0D59" w14:textId="77777777" w:rsidTr="6FF1A3C2">
        <w:trPr>
          <w:trHeight w:val="300"/>
          <w:jc w:val="center"/>
        </w:trPr>
        <w:tc>
          <w:tcPr>
            <w:tcW w:w="2400" w:type="dxa"/>
            <w:tcBorders>
              <w:top w:val="nil"/>
              <w:left w:val="nil"/>
              <w:bottom w:val="nil"/>
              <w:right w:val="nil"/>
            </w:tcBorders>
            <w:tcMar>
              <w:left w:w="105" w:type="dxa"/>
              <w:right w:w="105" w:type="dxa"/>
            </w:tcMar>
          </w:tcPr>
          <w:p w14:paraId="76A1C5EB" w14:textId="6202D64B" w:rsidR="5C3A3364" w:rsidRDefault="5C3A3364" w:rsidP="6FF1A3C2">
            <w:pPr>
              <w:spacing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Faith-based</w:t>
            </w:r>
          </w:p>
        </w:tc>
        <w:tc>
          <w:tcPr>
            <w:tcW w:w="3420" w:type="dxa"/>
            <w:tcBorders>
              <w:top w:val="nil"/>
              <w:left w:val="nil"/>
              <w:bottom w:val="nil"/>
              <w:right w:val="nil"/>
            </w:tcBorders>
            <w:tcMar>
              <w:left w:w="105" w:type="dxa"/>
              <w:right w:w="105" w:type="dxa"/>
            </w:tcMar>
          </w:tcPr>
          <w:p w14:paraId="2728E357" w14:textId="182028DE" w:rsidR="792BFBA9" w:rsidRDefault="792BFBA9" w:rsidP="6FF1A3C2">
            <w:pPr>
              <w:spacing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Bible groups; churches; faith schools</w:t>
            </w:r>
          </w:p>
        </w:tc>
        <w:tc>
          <w:tcPr>
            <w:tcW w:w="1515" w:type="dxa"/>
            <w:tcBorders>
              <w:top w:val="nil"/>
              <w:left w:val="nil"/>
              <w:bottom w:val="nil"/>
              <w:right w:val="nil"/>
            </w:tcBorders>
            <w:tcMar>
              <w:left w:w="105" w:type="dxa"/>
              <w:right w:w="105" w:type="dxa"/>
            </w:tcMar>
          </w:tcPr>
          <w:p w14:paraId="24D2ED0E" w14:textId="765C1676" w:rsidR="6FF1A3C2" w:rsidRDefault="6FF1A3C2" w:rsidP="6FF1A3C2">
            <w:pPr>
              <w:spacing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11</w:t>
            </w:r>
          </w:p>
        </w:tc>
      </w:tr>
      <w:tr w:rsidR="6FF1A3C2" w14:paraId="04E28C10" w14:textId="77777777" w:rsidTr="6FF1A3C2">
        <w:trPr>
          <w:trHeight w:val="300"/>
          <w:jc w:val="center"/>
        </w:trPr>
        <w:tc>
          <w:tcPr>
            <w:tcW w:w="2400" w:type="dxa"/>
            <w:tcBorders>
              <w:top w:val="nil"/>
              <w:left w:val="nil"/>
              <w:bottom w:val="nil"/>
              <w:right w:val="nil"/>
            </w:tcBorders>
            <w:tcMar>
              <w:left w:w="105" w:type="dxa"/>
              <w:right w:w="105" w:type="dxa"/>
            </w:tcMar>
          </w:tcPr>
          <w:p w14:paraId="7A9CA9AC" w14:textId="01BAB43D" w:rsidR="5C3A3364" w:rsidRDefault="5C3A3364" w:rsidP="6FF1A3C2">
            <w:pPr>
              <w:spacing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Poverty</w:t>
            </w:r>
          </w:p>
        </w:tc>
        <w:tc>
          <w:tcPr>
            <w:tcW w:w="3420" w:type="dxa"/>
            <w:tcBorders>
              <w:top w:val="nil"/>
              <w:left w:val="nil"/>
              <w:bottom w:val="nil"/>
              <w:right w:val="nil"/>
            </w:tcBorders>
            <w:tcMar>
              <w:left w:w="105" w:type="dxa"/>
              <w:right w:w="105" w:type="dxa"/>
            </w:tcMar>
          </w:tcPr>
          <w:p w14:paraId="2F663465" w14:textId="15A1F2D4" w:rsidR="388D30D7" w:rsidRDefault="388D30D7" w:rsidP="6FF1A3C2">
            <w:pPr>
              <w:spacing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Social housing; poverty relief; social mobility; food poverty</w:t>
            </w:r>
          </w:p>
        </w:tc>
        <w:tc>
          <w:tcPr>
            <w:tcW w:w="1515" w:type="dxa"/>
            <w:tcBorders>
              <w:top w:val="nil"/>
              <w:left w:val="nil"/>
              <w:bottom w:val="nil"/>
              <w:right w:val="nil"/>
            </w:tcBorders>
            <w:tcMar>
              <w:left w:w="105" w:type="dxa"/>
              <w:right w:w="105" w:type="dxa"/>
            </w:tcMar>
          </w:tcPr>
          <w:p w14:paraId="57BCE652" w14:textId="278E8F77" w:rsidR="6FF1A3C2" w:rsidRDefault="6FF1A3C2" w:rsidP="6FF1A3C2">
            <w:pPr>
              <w:spacing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11</w:t>
            </w:r>
          </w:p>
        </w:tc>
      </w:tr>
      <w:tr w:rsidR="6FF1A3C2" w14:paraId="21DFD902" w14:textId="77777777" w:rsidTr="6FF1A3C2">
        <w:trPr>
          <w:trHeight w:val="300"/>
          <w:jc w:val="center"/>
        </w:trPr>
        <w:tc>
          <w:tcPr>
            <w:tcW w:w="2400" w:type="dxa"/>
            <w:tcBorders>
              <w:top w:val="nil"/>
              <w:left w:val="nil"/>
              <w:bottom w:val="nil"/>
              <w:right w:val="nil"/>
            </w:tcBorders>
            <w:tcMar>
              <w:left w:w="105" w:type="dxa"/>
              <w:right w:w="105" w:type="dxa"/>
            </w:tcMar>
          </w:tcPr>
          <w:p w14:paraId="300E9E26" w14:textId="055D259D" w:rsidR="5C3A3364" w:rsidRDefault="5C3A3364" w:rsidP="6FF1A3C2">
            <w:pPr>
              <w:spacing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International development</w:t>
            </w:r>
          </w:p>
        </w:tc>
        <w:tc>
          <w:tcPr>
            <w:tcW w:w="3420" w:type="dxa"/>
            <w:tcBorders>
              <w:top w:val="nil"/>
              <w:left w:val="nil"/>
              <w:bottom w:val="nil"/>
              <w:right w:val="nil"/>
            </w:tcBorders>
            <w:tcMar>
              <w:left w:w="105" w:type="dxa"/>
              <w:right w:w="105" w:type="dxa"/>
            </w:tcMar>
          </w:tcPr>
          <w:p w14:paraId="2DF6807E" w14:textId="55587867" w:rsidR="1EAF1431" w:rsidRDefault="1EAF1431" w:rsidP="6FF1A3C2">
            <w:pPr>
              <w:spacing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Farming and agriculture; technology; water and sanitation</w:t>
            </w:r>
          </w:p>
        </w:tc>
        <w:tc>
          <w:tcPr>
            <w:tcW w:w="1515" w:type="dxa"/>
            <w:tcBorders>
              <w:top w:val="nil"/>
              <w:left w:val="nil"/>
              <w:bottom w:val="nil"/>
              <w:right w:val="nil"/>
            </w:tcBorders>
            <w:tcMar>
              <w:left w:w="105" w:type="dxa"/>
              <w:right w:w="105" w:type="dxa"/>
            </w:tcMar>
          </w:tcPr>
          <w:p w14:paraId="6A1D6CDD" w14:textId="7C9CCCF2" w:rsidR="6FF1A3C2" w:rsidRDefault="6FF1A3C2" w:rsidP="6FF1A3C2">
            <w:pPr>
              <w:spacing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9</w:t>
            </w:r>
          </w:p>
        </w:tc>
      </w:tr>
      <w:tr w:rsidR="6FF1A3C2" w14:paraId="4743EA88" w14:textId="77777777" w:rsidTr="6FF1A3C2">
        <w:trPr>
          <w:trHeight w:val="300"/>
          <w:jc w:val="center"/>
        </w:trPr>
        <w:tc>
          <w:tcPr>
            <w:tcW w:w="2400" w:type="dxa"/>
            <w:tcBorders>
              <w:top w:val="nil"/>
              <w:left w:val="nil"/>
              <w:bottom w:val="nil"/>
              <w:right w:val="nil"/>
            </w:tcBorders>
            <w:tcMar>
              <w:left w:w="105" w:type="dxa"/>
              <w:right w:w="105" w:type="dxa"/>
            </w:tcMar>
          </w:tcPr>
          <w:p w14:paraId="40662A64" w14:textId="78AB6D46" w:rsidR="5C3A3364" w:rsidRDefault="5C3A3364" w:rsidP="6FF1A3C2">
            <w:pPr>
              <w:spacing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Climate and biodiversity</w:t>
            </w:r>
          </w:p>
        </w:tc>
        <w:tc>
          <w:tcPr>
            <w:tcW w:w="3420" w:type="dxa"/>
            <w:tcBorders>
              <w:top w:val="nil"/>
              <w:left w:val="nil"/>
              <w:bottom w:val="nil"/>
              <w:right w:val="nil"/>
            </w:tcBorders>
            <w:tcMar>
              <w:left w:w="105" w:type="dxa"/>
              <w:right w:w="105" w:type="dxa"/>
            </w:tcMar>
          </w:tcPr>
          <w:p w14:paraId="02520522" w14:textId="3ECD1F87" w:rsidR="17B9810E" w:rsidRDefault="17B9810E" w:rsidP="6FF1A3C2">
            <w:pPr>
              <w:spacing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Animal conservation; environmental protection; climate change</w:t>
            </w:r>
          </w:p>
        </w:tc>
        <w:tc>
          <w:tcPr>
            <w:tcW w:w="1515" w:type="dxa"/>
            <w:tcBorders>
              <w:top w:val="nil"/>
              <w:left w:val="nil"/>
              <w:bottom w:val="nil"/>
              <w:right w:val="nil"/>
            </w:tcBorders>
            <w:tcMar>
              <w:left w:w="105" w:type="dxa"/>
              <w:right w:w="105" w:type="dxa"/>
            </w:tcMar>
          </w:tcPr>
          <w:p w14:paraId="23A2F645" w14:textId="07396BD6" w:rsidR="6FF1A3C2" w:rsidRDefault="6FF1A3C2" w:rsidP="6FF1A3C2">
            <w:pPr>
              <w:spacing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8</w:t>
            </w:r>
          </w:p>
        </w:tc>
      </w:tr>
      <w:tr w:rsidR="6FF1A3C2" w14:paraId="6564D513" w14:textId="77777777" w:rsidTr="6FF1A3C2">
        <w:trPr>
          <w:trHeight w:val="300"/>
          <w:jc w:val="center"/>
        </w:trPr>
        <w:tc>
          <w:tcPr>
            <w:tcW w:w="2400" w:type="dxa"/>
            <w:tcBorders>
              <w:top w:val="nil"/>
              <w:left w:val="nil"/>
              <w:bottom w:val="nil"/>
              <w:right w:val="nil"/>
            </w:tcBorders>
            <w:tcMar>
              <w:left w:w="105" w:type="dxa"/>
              <w:right w:w="105" w:type="dxa"/>
            </w:tcMar>
          </w:tcPr>
          <w:p w14:paraId="1A0873EA" w14:textId="05251A2E" w:rsidR="5C3A3364" w:rsidRDefault="5C3A3364" w:rsidP="6FF1A3C2">
            <w:pPr>
              <w:spacing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Criminal and social justice</w:t>
            </w:r>
          </w:p>
        </w:tc>
        <w:tc>
          <w:tcPr>
            <w:tcW w:w="3420" w:type="dxa"/>
            <w:tcBorders>
              <w:top w:val="nil"/>
              <w:left w:val="nil"/>
              <w:bottom w:val="nil"/>
              <w:right w:val="nil"/>
            </w:tcBorders>
            <w:tcMar>
              <w:left w:w="105" w:type="dxa"/>
              <w:right w:w="105" w:type="dxa"/>
            </w:tcMar>
          </w:tcPr>
          <w:p w14:paraId="41AB6C1C" w14:textId="09B9F1EE" w:rsidR="528043CD" w:rsidRDefault="528043CD" w:rsidP="6FF1A3C2">
            <w:pPr>
              <w:spacing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Prison reform; human rights advocacy</w:t>
            </w:r>
          </w:p>
        </w:tc>
        <w:tc>
          <w:tcPr>
            <w:tcW w:w="1515" w:type="dxa"/>
            <w:tcBorders>
              <w:top w:val="nil"/>
              <w:left w:val="nil"/>
              <w:bottom w:val="nil"/>
              <w:right w:val="nil"/>
            </w:tcBorders>
            <w:tcMar>
              <w:left w:w="105" w:type="dxa"/>
              <w:right w:w="105" w:type="dxa"/>
            </w:tcMar>
          </w:tcPr>
          <w:p w14:paraId="01127583" w14:textId="6079291E" w:rsidR="6FF1A3C2" w:rsidRDefault="6FF1A3C2" w:rsidP="6FF1A3C2">
            <w:pPr>
              <w:spacing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8</w:t>
            </w:r>
          </w:p>
        </w:tc>
      </w:tr>
      <w:tr w:rsidR="6FF1A3C2" w14:paraId="08AE6E1A" w14:textId="77777777" w:rsidTr="6FF1A3C2">
        <w:trPr>
          <w:trHeight w:val="300"/>
          <w:jc w:val="center"/>
        </w:trPr>
        <w:tc>
          <w:tcPr>
            <w:tcW w:w="2400" w:type="dxa"/>
            <w:tcBorders>
              <w:top w:val="nil"/>
              <w:left w:val="nil"/>
              <w:bottom w:val="nil"/>
              <w:right w:val="nil"/>
            </w:tcBorders>
            <w:tcMar>
              <w:left w:w="105" w:type="dxa"/>
              <w:right w:w="105" w:type="dxa"/>
            </w:tcMar>
          </w:tcPr>
          <w:p w14:paraId="46331127" w14:textId="12EA3015" w:rsidR="5C3A3364" w:rsidRDefault="5C3A3364" w:rsidP="6FF1A3C2">
            <w:pPr>
              <w:spacing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Arts, culture, heritage</w:t>
            </w:r>
          </w:p>
        </w:tc>
        <w:tc>
          <w:tcPr>
            <w:tcW w:w="3420" w:type="dxa"/>
            <w:tcBorders>
              <w:top w:val="nil"/>
              <w:left w:val="nil"/>
              <w:bottom w:val="nil"/>
              <w:right w:val="nil"/>
            </w:tcBorders>
            <w:tcMar>
              <w:left w:w="105" w:type="dxa"/>
              <w:right w:w="105" w:type="dxa"/>
            </w:tcMar>
          </w:tcPr>
          <w:p w14:paraId="4484C78B" w14:textId="3DD9E26F" w:rsidR="3F668FFC" w:rsidRDefault="3F668FFC" w:rsidP="6FF1A3C2">
            <w:pPr>
              <w:spacing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 xml:space="preserve">Music; theatre; arts </w:t>
            </w:r>
            <w:proofErr w:type="spellStart"/>
            <w:r w:rsidRPr="6FF1A3C2">
              <w:rPr>
                <w:rFonts w:ascii="Calibri" w:eastAsia="Calibri" w:hAnsi="Calibri" w:cs="Calibri"/>
                <w:color w:val="000000" w:themeColor="text1"/>
                <w:sz w:val="16"/>
                <w:szCs w:val="16"/>
              </w:rPr>
              <w:t>festivales</w:t>
            </w:r>
            <w:proofErr w:type="spellEnd"/>
          </w:p>
        </w:tc>
        <w:tc>
          <w:tcPr>
            <w:tcW w:w="1515" w:type="dxa"/>
            <w:tcBorders>
              <w:top w:val="nil"/>
              <w:left w:val="nil"/>
              <w:bottom w:val="nil"/>
              <w:right w:val="nil"/>
            </w:tcBorders>
            <w:tcMar>
              <w:left w:w="105" w:type="dxa"/>
              <w:right w:w="105" w:type="dxa"/>
            </w:tcMar>
          </w:tcPr>
          <w:p w14:paraId="404BC785" w14:textId="7FF50919" w:rsidR="6FF1A3C2" w:rsidRDefault="6FF1A3C2" w:rsidP="6FF1A3C2">
            <w:pPr>
              <w:spacing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8</w:t>
            </w:r>
          </w:p>
        </w:tc>
      </w:tr>
      <w:tr w:rsidR="6FF1A3C2" w14:paraId="3A93313A" w14:textId="77777777" w:rsidTr="6FF1A3C2">
        <w:trPr>
          <w:trHeight w:val="300"/>
          <w:jc w:val="center"/>
        </w:trPr>
        <w:tc>
          <w:tcPr>
            <w:tcW w:w="2400" w:type="dxa"/>
            <w:tcBorders>
              <w:top w:val="nil"/>
              <w:left w:val="nil"/>
              <w:bottom w:val="nil"/>
              <w:right w:val="nil"/>
            </w:tcBorders>
            <w:tcMar>
              <w:left w:w="105" w:type="dxa"/>
              <w:right w:w="105" w:type="dxa"/>
            </w:tcMar>
          </w:tcPr>
          <w:p w14:paraId="3ED94F89" w14:textId="65EFD278" w:rsidR="5C3A3364" w:rsidRDefault="5C3A3364" w:rsidP="6FF1A3C2">
            <w:pPr>
              <w:spacing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Technology</w:t>
            </w:r>
          </w:p>
        </w:tc>
        <w:tc>
          <w:tcPr>
            <w:tcW w:w="3420" w:type="dxa"/>
            <w:tcBorders>
              <w:top w:val="nil"/>
              <w:left w:val="nil"/>
              <w:bottom w:val="nil"/>
              <w:right w:val="nil"/>
            </w:tcBorders>
            <w:tcMar>
              <w:left w:w="105" w:type="dxa"/>
              <w:right w:w="105" w:type="dxa"/>
            </w:tcMar>
          </w:tcPr>
          <w:p w14:paraId="408A4301" w14:textId="5428A03F" w:rsidR="15EE4CC3" w:rsidRDefault="15EE4CC3" w:rsidP="6FF1A3C2">
            <w:pPr>
              <w:spacing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 xml:space="preserve">Data privacy, </w:t>
            </w:r>
            <w:proofErr w:type="gramStart"/>
            <w:r w:rsidRPr="6FF1A3C2">
              <w:rPr>
                <w:rFonts w:ascii="Calibri" w:eastAsia="Calibri" w:hAnsi="Calibri" w:cs="Calibri"/>
                <w:color w:val="000000" w:themeColor="text1"/>
                <w:sz w:val="16"/>
                <w:szCs w:val="16"/>
              </w:rPr>
              <w:t>security</w:t>
            </w:r>
            <w:proofErr w:type="gramEnd"/>
            <w:r w:rsidRPr="6FF1A3C2">
              <w:rPr>
                <w:rFonts w:ascii="Calibri" w:eastAsia="Calibri" w:hAnsi="Calibri" w:cs="Calibri"/>
                <w:color w:val="000000" w:themeColor="text1"/>
                <w:sz w:val="16"/>
                <w:szCs w:val="16"/>
              </w:rPr>
              <w:t xml:space="preserve"> and use</w:t>
            </w:r>
          </w:p>
        </w:tc>
        <w:tc>
          <w:tcPr>
            <w:tcW w:w="1515" w:type="dxa"/>
            <w:tcBorders>
              <w:top w:val="nil"/>
              <w:left w:val="nil"/>
              <w:bottom w:val="nil"/>
              <w:right w:val="nil"/>
            </w:tcBorders>
            <w:tcMar>
              <w:left w:w="105" w:type="dxa"/>
              <w:right w:w="105" w:type="dxa"/>
            </w:tcMar>
          </w:tcPr>
          <w:p w14:paraId="40662C2A" w14:textId="1723376C" w:rsidR="6FF1A3C2" w:rsidRDefault="6FF1A3C2" w:rsidP="6FF1A3C2">
            <w:pPr>
              <w:pStyle w:val="Normal0"/>
              <w:widowControl/>
              <w:spacing w:after="80"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1</w:t>
            </w:r>
          </w:p>
        </w:tc>
      </w:tr>
      <w:tr w:rsidR="6FF1A3C2" w14:paraId="006CA671" w14:textId="77777777" w:rsidTr="6FF1A3C2">
        <w:trPr>
          <w:trHeight w:val="300"/>
          <w:jc w:val="center"/>
        </w:trPr>
        <w:tc>
          <w:tcPr>
            <w:tcW w:w="2400" w:type="dxa"/>
            <w:tcBorders>
              <w:top w:val="nil"/>
              <w:left w:val="nil"/>
              <w:bottom w:val="single" w:sz="6" w:space="0" w:color="000000" w:themeColor="text1"/>
              <w:right w:val="nil"/>
            </w:tcBorders>
            <w:tcMar>
              <w:left w:w="105" w:type="dxa"/>
              <w:right w:w="105" w:type="dxa"/>
            </w:tcMar>
          </w:tcPr>
          <w:p w14:paraId="648928FA" w14:textId="66DD0369" w:rsidR="5C3A3364" w:rsidRDefault="5C3A3364" w:rsidP="6FF1A3C2">
            <w:pPr>
              <w:pStyle w:val="Normal0"/>
              <w:widowControl/>
              <w:spacing w:after="80"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Older people</w:t>
            </w:r>
          </w:p>
        </w:tc>
        <w:tc>
          <w:tcPr>
            <w:tcW w:w="3420" w:type="dxa"/>
            <w:tcBorders>
              <w:top w:val="nil"/>
              <w:left w:val="nil"/>
              <w:bottom w:val="single" w:sz="6" w:space="0" w:color="000000" w:themeColor="text1"/>
              <w:right w:val="nil"/>
            </w:tcBorders>
            <w:tcMar>
              <w:left w:w="105" w:type="dxa"/>
              <w:right w:w="105" w:type="dxa"/>
            </w:tcMar>
          </w:tcPr>
          <w:p w14:paraId="194B81E6" w14:textId="6F082EA0" w:rsidR="47A08633" w:rsidRDefault="47A08633" w:rsidP="6FF1A3C2">
            <w:pPr>
              <w:pStyle w:val="Normal0"/>
              <w:widowControl/>
              <w:spacing w:after="80"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Elderly care and support</w:t>
            </w:r>
          </w:p>
        </w:tc>
        <w:tc>
          <w:tcPr>
            <w:tcW w:w="1515" w:type="dxa"/>
            <w:tcBorders>
              <w:top w:val="nil"/>
              <w:left w:val="nil"/>
              <w:bottom w:val="single" w:sz="6" w:space="0" w:color="000000" w:themeColor="text1"/>
              <w:right w:val="nil"/>
            </w:tcBorders>
            <w:tcMar>
              <w:left w:w="105" w:type="dxa"/>
              <w:right w:w="105" w:type="dxa"/>
            </w:tcMar>
          </w:tcPr>
          <w:p w14:paraId="69395D57" w14:textId="448883C5" w:rsidR="0D1E1F57" w:rsidRDefault="0D1E1F57" w:rsidP="6FF1A3C2">
            <w:pPr>
              <w:pStyle w:val="Normal0"/>
              <w:widowControl/>
              <w:spacing w:after="80" w:line="200" w:lineRule="auto"/>
              <w:rPr>
                <w:rFonts w:ascii="Calibri" w:eastAsia="Calibri" w:hAnsi="Calibri" w:cs="Calibri"/>
                <w:color w:val="000000" w:themeColor="text1"/>
                <w:sz w:val="16"/>
                <w:szCs w:val="16"/>
              </w:rPr>
            </w:pPr>
            <w:r w:rsidRPr="6FF1A3C2">
              <w:rPr>
                <w:rFonts w:ascii="Calibri" w:eastAsia="Calibri" w:hAnsi="Calibri" w:cs="Calibri"/>
                <w:color w:val="000000" w:themeColor="text1"/>
                <w:sz w:val="16"/>
                <w:szCs w:val="16"/>
              </w:rPr>
              <w:t>1</w:t>
            </w:r>
          </w:p>
        </w:tc>
      </w:tr>
    </w:tbl>
    <w:p w14:paraId="538C3963" w14:textId="35C80B20" w:rsidR="0D1E1F57" w:rsidRDefault="0D1E1F57" w:rsidP="00B9481C">
      <w:pPr>
        <w:keepNext/>
        <w:widowControl/>
        <w:numPr>
          <w:ilvl w:val="1"/>
          <w:numId w:val="13"/>
        </w:numPr>
        <w:spacing w:before="240" w:after="240"/>
        <w:rPr>
          <w:rFonts w:ascii="Calibri" w:eastAsia="Calibri" w:hAnsi="Calibri" w:cs="Calibri"/>
          <w:i/>
          <w:iCs/>
          <w:color w:val="000000" w:themeColor="text1"/>
        </w:rPr>
      </w:pPr>
      <w:r w:rsidRPr="6FF1A3C2">
        <w:rPr>
          <w:rFonts w:ascii="Calibri" w:eastAsia="Calibri" w:hAnsi="Calibri" w:cs="Calibri"/>
          <w:i/>
          <w:iCs/>
          <w:color w:val="000000" w:themeColor="text1"/>
        </w:rPr>
        <w:t>Document analysis</w:t>
      </w:r>
    </w:p>
    <w:p w14:paraId="7FA119B8" w14:textId="2D31A49C" w:rsidR="0D1E1F57" w:rsidRDefault="0D1E1F57" w:rsidP="6FF1A3C2">
      <w:pPr>
        <w:widowControl/>
        <w:ind w:right="-28" w:firstLine="238"/>
        <w:jc w:val="both"/>
      </w:pPr>
      <w:r w:rsidRPr="6FF1A3C2">
        <w:rPr>
          <w:rFonts w:ascii="Calibri" w:eastAsia="Calibri" w:hAnsi="Calibri" w:cs="Calibri"/>
          <w:color w:val="000000" w:themeColor="text1"/>
        </w:rPr>
        <w:t>Once an individual had been suggested for interview by a gatekeeper or other participant, extensive background research was conducted on that individual using document analysis – essential when researching social ‘elites’ such as HNWIs (</w:t>
      </w:r>
      <w:proofErr w:type="spellStart"/>
      <w:r w:rsidRPr="6FF1A3C2">
        <w:rPr>
          <w:rFonts w:ascii="Calibri" w:eastAsia="Calibri" w:hAnsi="Calibri" w:cs="Calibri"/>
          <w:color w:val="000000" w:themeColor="text1"/>
        </w:rPr>
        <w:t>Odendahl</w:t>
      </w:r>
      <w:proofErr w:type="spellEnd"/>
      <w:r w:rsidRPr="6FF1A3C2">
        <w:rPr>
          <w:rFonts w:ascii="Calibri" w:eastAsia="Calibri" w:hAnsi="Calibri" w:cs="Calibri"/>
          <w:color w:val="000000" w:themeColor="text1"/>
        </w:rPr>
        <w:t xml:space="preserve"> and Shaw 2001). Resulting insights ensured the prospective individual was relevant to the study and aided development of more specific interview questions, supporting deeper insights. Demonstrating this background research, such as by referring to specific documents </w:t>
      </w:r>
      <w:proofErr w:type="spellStart"/>
      <w:r w:rsidRPr="6FF1A3C2">
        <w:rPr>
          <w:rFonts w:ascii="Calibri" w:eastAsia="Calibri" w:hAnsi="Calibri" w:cs="Calibri"/>
          <w:color w:val="000000" w:themeColor="text1"/>
        </w:rPr>
        <w:t>analysed</w:t>
      </w:r>
      <w:proofErr w:type="spellEnd"/>
      <w:r w:rsidRPr="6FF1A3C2">
        <w:rPr>
          <w:rFonts w:ascii="Calibri" w:eastAsia="Calibri" w:hAnsi="Calibri" w:cs="Calibri"/>
          <w:color w:val="000000" w:themeColor="text1"/>
        </w:rPr>
        <w:t>, further helped build credibility and rapport during interviews (Liu 2018).</w:t>
      </w:r>
    </w:p>
    <w:p w14:paraId="0FCC13CA" w14:textId="4D7F2365" w:rsidR="0D1E1F57" w:rsidRDefault="0D1E1F57" w:rsidP="00B9481C">
      <w:pPr>
        <w:keepNext/>
        <w:widowControl/>
        <w:numPr>
          <w:ilvl w:val="1"/>
          <w:numId w:val="13"/>
        </w:numPr>
        <w:spacing w:before="240" w:after="240"/>
        <w:rPr>
          <w:rFonts w:ascii="Calibri" w:eastAsia="Calibri" w:hAnsi="Calibri" w:cs="Calibri"/>
          <w:i/>
          <w:iCs/>
          <w:color w:val="000000" w:themeColor="text1"/>
        </w:rPr>
      </w:pPr>
      <w:r w:rsidRPr="6FF1A3C2">
        <w:rPr>
          <w:rFonts w:ascii="Calibri" w:eastAsia="Calibri" w:hAnsi="Calibri" w:cs="Calibri"/>
          <w:i/>
          <w:iCs/>
          <w:color w:val="000000" w:themeColor="text1"/>
        </w:rPr>
        <w:t>Data analysis</w:t>
      </w:r>
    </w:p>
    <w:p w14:paraId="42B53DBE" w14:textId="037484C3" w:rsidR="0D1E1F57" w:rsidRDefault="0D1E1F57" w:rsidP="6FF1A3C2">
      <w:pPr>
        <w:widowControl/>
        <w:spacing w:before="240"/>
        <w:ind w:right="-28" w:firstLine="238"/>
        <w:jc w:val="both"/>
        <w:rPr>
          <w:rFonts w:ascii="Calibri" w:eastAsia="Calibri" w:hAnsi="Calibri" w:cs="Calibri"/>
          <w:color w:val="000000" w:themeColor="text1"/>
        </w:rPr>
      </w:pPr>
      <w:r w:rsidRPr="6FF1A3C2">
        <w:rPr>
          <w:rFonts w:ascii="Calibri" w:eastAsia="Calibri" w:hAnsi="Calibri" w:cs="Calibri"/>
          <w:color w:val="000000" w:themeColor="text1"/>
        </w:rPr>
        <w:t xml:space="preserve">Data was </w:t>
      </w:r>
      <w:proofErr w:type="spellStart"/>
      <w:r w:rsidRPr="6FF1A3C2">
        <w:rPr>
          <w:rFonts w:ascii="Calibri" w:eastAsia="Calibri" w:hAnsi="Calibri" w:cs="Calibri"/>
          <w:color w:val="000000" w:themeColor="text1"/>
        </w:rPr>
        <w:t>analysed</w:t>
      </w:r>
      <w:proofErr w:type="spellEnd"/>
      <w:r w:rsidRPr="6FF1A3C2">
        <w:rPr>
          <w:rFonts w:ascii="Calibri" w:eastAsia="Calibri" w:hAnsi="Calibri" w:cs="Calibri"/>
          <w:color w:val="000000" w:themeColor="text1"/>
        </w:rPr>
        <w:t xml:space="preserve"> using thematic analysis – the identification and interpretation of patterns at multiple levels within the data (Guest et al. 2012). First, complete transcripts were produced for each interview using audio recordings and supplementary written notes (Castleberry and Nolen 2018). Second, transcripts were coded using theory-driven deductive codes and data-driven inductive codes. All transcripts were coded by hand and all codes were </w:t>
      </w:r>
      <w:proofErr w:type="spellStart"/>
      <w:r w:rsidRPr="6FF1A3C2">
        <w:rPr>
          <w:rFonts w:ascii="Calibri" w:eastAsia="Calibri" w:hAnsi="Calibri" w:cs="Calibri"/>
          <w:color w:val="000000" w:themeColor="text1"/>
        </w:rPr>
        <w:t>organised</w:t>
      </w:r>
      <w:proofErr w:type="spellEnd"/>
      <w:r w:rsidRPr="6FF1A3C2">
        <w:rPr>
          <w:rFonts w:ascii="Calibri" w:eastAsia="Calibri" w:hAnsi="Calibri" w:cs="Calibri"/>
          <w:color w:val="000000" w:themeColor="text1"/>
        </w:rPr>
        <w:t xml:space="preserve"> in a codebook that was updated throughout the analysis process to ensure </w:t>
      </w:r>
      <w:proofErr w:type="spellStart"/>
      <w:r w:rsidRPr="6FF1A3C2">
        <w:rPr>
          <w:rFonts w:ascii="Calibri" w:eastAsia="Calibri" w:hAnsi="Calibri" w:cs="Calibri"/>
          <w:color w:val="000000" w:themeColor="text1"/>
        </w:rPr>
        <w:t>rigour</w:t>
      </w:r>
      <w:proofErr w:type="spellEnd"/>
      <w:r w:rsidRPr="6FF1A3C2">
        <w:rPr>
          <w:rFonts w:ascii="Calibri" w:eastAsia="Calibri" w:hAnsi="Calibri" w:cs="Calibri"/>
          <w:color w:val="000000" w:themeColor="text1"/>
        </w:rPr>
        <w:t xml:space="preserve"> (Saldana 2021). Third, similar codes were clustered together into basic themes. Identified themes were subsequently reviewed and refined iteratively: each theme was </w:t>
      </w:r>
      <w:proofErr w:type="spellStart"/>
      <w:r w:rsidRPr="6FF1A3C2">
        <w:rPr>
          <w:rFonts w:ascii="Calibri" w:eastAsia="Calibri" w:hAnsi="Calibri" w:cs="Calibri"/>
          <w:color w:val="000000" w:themeColor="text1"/>
        </w:rPr>
        <w:t>analysed</w:t>
      </w:r>
      <w:proofErr w:type="spellEnd"/>
      <w:r w:rsidRPr="6FF1A3C2">
        <w:rPr>
          <w:rFonts w:ascii="Calibri" w:eastAsia="Calibri" w:hAnsi="Calibri" w:cs="Calibri"/>
          <w:color w:val="000000" w:themeColor="text1"/>
        </w:rPr>
        <w:t xml:space="preserve"> and reflected on at the level of the coded data clustered within that theme and at the level of the entire data set to ensure the themes reflected both (Castleberry and Nolen 2018). Finally, themes were interpreted in relation to the previous literature and theoretical framing discussed above. </w:t>
      </w:r>
    </w:p>
    <w:p w14:paraId="37ADABB0" w14:textId="0E74824B" w:rsidR="6FF1A3C2" w:rsidRDefault="6FF1A3C2" w:rsidP="6FF1A3C2">
      <w:pPr>
        <w:widowControl/>
        <w:pBdr>
          <w:top w:val="nil"/>
          <w:left w:val="nil"/>
          <w:bottom w:val="nil"/>
          <w:right w:val="nil"/>
          <w:between w:val="nil"/>
        </w:pBdr>
        <w:ind w:right="-28" w:firstLine="238"/>
        <w:jc w:val="both"/>
        <w:rPr>
          <w:rFonts w:ascii="Calibri" w:eastAsia="Calibri" w:hAnsi="Calibri" w:cs="Calibri"/>
          <w:color w:val="000000" w:themeColor="text1"/>
        </w:rPr>
      </w:pPr>
    </w:p>
    <w:p w14:paraId="56E9F01B" w14:textId="6A3FE858" w:rsidR="13763821" w:rsidRDefault="13763821" w:rsidP="6FF1A3C2">
      <w:pPr>
        <w:keepNext/>
        <w:widowControl/>
        <w:numPr>
          <w:ilvl w:val="0"/>
          <w:numId w:val="1"/>
        </w:numPr>
        <w:spacing w:before="240" w:after="240"/>
        <w:rPr>
          <w:rFonts w:ascii="Calibri" w:eastAsia="Calibri" w:hAnsi="Calibri" w:cs="Calibri"/>
          <w:b/>
          <w:bCs/>
          <w:color w:val="000000" w:themeColor="text1"/>
        </w:rPr>
      </w:pPr>
      <w:r w:rsidRPr="6FF1A3C2">
        <w:rPr>
          <w:rFonts w:ascii="Calibri" w:eastAsia="Calibri" w:hAnsi="Calibri" w:cs="Calibri"/>
          <w:b/>
          <w:bCs/>
          <w:color w:val="000000" w:themeColor="text1"/>
        </w:rPr>
        <w:t>Findings</w:t>
      </w:r>
    </w:p>
    <w:p w14:paraId="28D58F4E" w14:textId="626551B4" w:rsidR="6FF1A3C2" w:rsidRDefault="6FF1A3C2" w:rsidP="6FF1A3C2">
      <w:pPr>
        <w:widowControl/>
        <w:pBdr>
          <w:top w:val="nil"/>
          <w:left w:val="nil"/>
          <w:bottom w:val="nil"/>
          <w:right w:val="nil"/>
          <w:between w:val="nil"/>
        </w:pBdr>
        <w:ind w:right="-28" w:firstLine="238"/>
        <w:jc w:val="both"/>
        <w:rPr>
          <w:rFonts w:ascii="Calibri" w:eastAsia="Calibri" w:hAnsi="Calibri" w:cs="Calibri"/>
          <w:color w:val="000000" w:themeColor="text1"/>
        </w:rPr>
      </w:pPr>
    </w:p>
    <w:p w14:paraId="6FF77B63" w14:textId="5E63BCA8" w:rsidR="13763821" w:rsidRDefault="13763821" w:rsidP="6FF1A3C2">
      <w:pPr>
        <w:widowControl/>
        <w:pBdr>
          <w:top w:val="nil"/>
          <w:left w:val="nil"/>
          <w:bottom w:val="nil"/>
          <w:right w:val="nil"/>
          <w:between w:val="nil"/>
        </w:pBdr>
        <w:spacing w:after="240"/>
        <w:ind w:right="-28" w:firstLine="238"/>
        <w:jc w:val="both"/>
        <w:rPr>
          <w:rFonts w:ascii="Calibri" w:eastAsia="Calibri" w:hAnsi="Calibri" w:cs="Calibri"/>
          <w:color w:val="000000" w:themeColor="text1"/>
        </w:rPr>
      </w:pPr>
      <w:r w:rsidRPr="6FF1A3C2">
        <w:rPr>
          <w:rFonts w:ascii="Calibri" w:eastAsia="Calibri" w:hAnsi="Calibri" w:cs="Calibri"/>
          <w:color w:val="000000" w:themeColor="text1"/>
        </w:rPr>
        <w:lastRenderedPageBreak/>
        <w:t xml:space="preserve">Nearly every participant </w:t>
      </w:r>
      <w:proofErr w:type="spellStart"/>
      <w:r w:rsidRPr="6FF1A3C2">
        <w:rPr>
          <w:rFonts w:ascii="Calibri" w:eastAsia="Calibri" w:hAnsi="Calibri" w:cs="Calibri"/>
          <w:color w:val="000000" w:themeColor="text1"/>
        </w:rPr>
        <w:t>emphasised</w:t>
      </w:r>
      <w:proofErr w:type="spellEnd"/>
      <w:r w:rsidRPr="6FF1A3C2">
        <w:rPr>
          <w:rFonts w:ascii="Calibri" w:eastAsia="Calibri" w:hAnsi="Calibri" w:cs="Calibri"/>
          <w:color w:val="000000" w:themeColor="text1"/>
        </w:rPr>
        <w:t xml:space="preserve"> the importance of accountability in their philanthropy. In exploring this theme, and in line with participant’s portrayals, I distinguish between the accountability of recipients to funders or end beneficiaries, and the accountability of funders to recipients or end beneficiaries</w:t>
      </w:r>
      <w:r w:rsidR="65A50A16" w:rsidRPr="6FF1A3C2">
        <w:rPr>
          <w:rFonts w:ascii="Calibri" w:eastAsia="Calibri" w:hAnsi="Calibri" w:cs="Calibri"/>
          <w:color w:val="000000" w:themeColor="text1"/>
        </w:rPr>
        <w:t>. This section proceeds first with an examination of the mechanisms used by participants to achieve accountability in their philanthropic engagements before exploring the dynamics of who they believed should be held accountable to whom.</w:t>
      </w:r>
    </w:p>
    <w:p w14:paraId="62F42525" w14:textId="590FD9A8" w:rsidR="65A50A16" w:rsidRDefault="65A50A16" w:rsidP="00B9481C">
      <w:pPr>
        <w:pStyle w:val="ListParagraph"/>
        <w:widowControl/>
        <w:numPr>
          <w:ilvl w:val="1"/>
          <w:numId w:val="14"/>
        </w:numPr>
        <w:spacing w:after="240"/>
        <w:ind w:right="-28"/>
        <w:jc w:val="both"/>
        <w:rPr>
          <w:rFonts w:ascii="Calibri" w:eastAsia="Calibri" w:hAnsi="Calibri" w:cs="Calibri"/>
          <w:i/>
          <w:iCs/>
          <w:color w:val="000000" w:themeColor="text1"/>
        </w:rPr>
      </w:pPr>
      <w:r w:rsidRPr="6FF1A3C2">
        <w:rPr>
          <w:rFonts w:ascii="Calibri" w:eastAsia="Calibri" w:hAnsi="Calibri" w:cs="Calibri"/>
          <w:color w:val="000000" w:themeColor="text1"/>
        </w:rPr>
        <w:t xml:space="preserve"> </w:t>
      </w:r>
      <w:r w:rsidRPr="6FF1A3C2">
        <w:rPr>
          <w:rFonts w:ascii="Calibri" w:eastAsia="Calibri" w:hAnsi="Calibri" w:cs="Calibri"/>
          <w:i/>
          <w:iCs/>
          <w:color w:val="000000" w:themeColor="text1"/>
        </w:rPr>
        <w:t>Accountability mechanisms</w:t>
      </w:r>
    </w:p>
    <w:p w14:paraId="5B00FD4B" w14:textId="2406363A" w:rsidR="65A50A16" w:rsidRDefault="65A50A16" w:rsidP="6FF1A3C2">
      <w:pPr>
        <w:widowControl/>
        <w:pBdr>
          <w:top w:val="nil"/>
          <w:left w:val="nil"/>
          <w:bottom w:val="nil"/>
          <w:right w:val="nil"/>
          <w:between w:val="nil"/>
        </w:pBdr>
        <w:spacing w:after="240"/>
        <w:ind w:right="-28" w:firstLine="238"/>
        <w:jc w:val="both"/>
        <w:rPr>
          <w:rFonts w:ascii="Calibri" w:eastAsia="Calibri" w:hAnsi="Calibri" w:cs="Calibri"/>
          <w:color w:val="000000" w:themeColor="text1"/>
        </w:rPr>
      </w:pPr>
      <w:r w:rsidRPr="6FF1A3C2">
        <w:rPr>
          <w:rFonts w:ascii="Calibri" w:eastAsia="Calibri" w:hAnsi="Calibri" w:cs="Calibri"/>
          <w:color w:val="000000" w:themeColor="text1"/>
        </w:rPr>
        <w:t>Participants portrayed two means of ensuring accountability in philanthropic relationships: transparency and impact measurement.</w:t>
      </w:r>
      <w:r w:rsidR="79D08D17" w:rsidRPr="6FF1A3C2">
        <w:rPr>
          <w:rFonts w:ascii="Calibri" w:eastAsia="Calibri" w:hAnsi="Calibri" w:cs="Calibri"/>
          <w:color w:val="000000" w:themeColor="text1"/>
        </w:rPr>
        <w:t xml:space="preserve"> Both are explored below.</w:t>
      </w:r>
    </w:p>
    <w:p w14:paraId="26C7962F" w14:textId="34D3C08C" w:rsidR="65A50A16" w:rsidRDefault="65A50A16" w:rsidP="6FF1A3C2">
      <w:pPr>
        <w:widowControl/>
        <w:pBdr>
          <w:top w:val="nil"/>
          <w:left w:val="nil"/>
          <w:bottom w:val="nil"/>
          <w:right w:val="nil"/>
          <w:between w:val="nil"/>
        </w:pBdr>
        <w:spacing w:after="240"/>
        <w:ind w:right="-28" w:firstLine="238"/>
        <w:jc w:val="both"/>
        <w:rPr>
          <w:rFonts w:ascii="Calibri" w:eastAsia="Calibri" w:hAnsi="Calibri" w:cs="Calibri"/>
          <w:color w:val="000000" w:themeColor="text1"/>
        </w:rPr>
      </w:pPr>
      <w:r w:rsidRPr="6FF1A3C2">
        <w:rPr>
          <w:rFonts w:ascii="Calibri" w:eastAsia="Calibri" w:hAnsi="Calibri" w:cs="Calibri"/>
          <w:color w:val="000000" w:themeColor="text1"/>
          <w:u w:val="single"/>
        </w:rPr>
        <w:t>Transparency.</w:t>
      </w:r>
      <w:r w:rsidRPr="6FF1A3C2">
        <w:rPr>
          <w:rFonts w:ascii="Calibri" w:eastAsia="Calibri" w:hAnsi="Calibri" w:cs="Calibri"/>
          <w:color w:val="000000" w:themeColor="text1"/>
        </w:rPr>
        <w:t xml:space="preserve"> The first mechanism of accountability portrayed by participants is transparency. Nearly every participant demonstrated a preference for being kept informed and </w:t>
      </w:r>
      <w:proofErr w:type="gramStart"/>
      <w:r w:rsidRPr="6FF1A3C2">
        <w:rPr>
          <w:rFonts w:ascii="Calibri" w:eastAsia="Calibri" w:hAnsi="Calibri" w:cs="Calibri"/>
          <w:color w:val="000000" w:themeColor="text1"/>
        </w:rPr>
        <w:t>up-to-date</w:t>
      </w:r>
      <w:proofErr w:type="gramEnd"/>
      <w:r w:rsidRPr="6FF1A3C2">
        <w:rPr>
          <w:rFonts w:ascii="Calibri" w:eastAsia="Calibri" w:hAnsi="Calibri" w:cs="Calibri"/>
          <w:color w:val="000000" w:themeColor="text1"/>
        </w:rPr>
        <w:t xml:space="preserve"> by recipients about their activities and, specifically, how the participants’ capital contributions have benefitted them. For instance, as described by L4 “I like people to keep me in the picture where there </w:t>
      </w:r>
      <w:proofErr w:type="gramStart"/>
      <w:r w:rsidRPr="6FF1A3C2">
        <w:rPr>
          <w:rFonts w:ascii="Calibri" w:eastAsia="Calibri" w:hAnsi="Calibri" w:cs="Calibri"/>
          <w:color w:val="000000" w:themeColor="text1"/>
        </w:rPr>
        <w:t>is</w:t>
      </w:r>
      <w:proofErr w:type="gramEnd"/>
      <w:r w:rsidRPr="6FF1A3C2">
        <w:rPr>
          <w:rFonts w:ascii="Calibri" w:eastAsia="Calibri" w:hAnsi="Calibri" w:cs="Calibri"/>
          <w:color w:val="000000" w:themeColor="text1"/>
        </w:rPr>
        <w:t xml:space="preserve"> reasonably substantial sums involved.” Similarly, E5 stated the chair of one of their recipient organisations “keeps me informed”. </w:t>
      </w:r>
      <w:r w:rsidR="57CCF57C" w:rsidRPr="6FF1A3C2">
        <w:rPr>
          <w:rFonts w:ascii="Calibri" w:eastAsia="Calibri" w:hAnsi="Calibri" w:cs="Calibri"/>
          <w:color w:val="000000" w:themeColor="text1"/>
        </w:rPr>
        <w:t xml:space="preserve">Recipients were presented as having an obligation to keep their funders regularly updated on how they have used that funder’s contributions. As stated by E5, for example: “I think that sometimes people should </w:t>
      </w:r>
      <w:proofErr w:type="spellStart"/>
      <w:r w:rsidR="57CCF57C" w:rsidRPr="6FF1A3C2">
        <w:rPr>
          <w:rFonts w:ascii="Calibri" w:eastAsia="Calibri" w:hAnsi="Calibri" w:cs="Calibri"/>
          <w:color w:val="000000" w:themeColor="text1"/>
        </w:rPr>
        <w:t>realise</w:t>
      </w:r>
      <w:proofErr w:type="spellEnd"/>
      <w:r w:rsidR="57CCF57C" w:rsidRPr="6FF1A3C2">
        <w:rPr>
          <w:rFonts w:ascii="Calibri" w:eastAsia="Calibri" w:hAnsi="Calibri" w:cs="Calibri"/>
          <w:color w:val="000000" w:themeColor="text1"/>
        </w:rPr>
        <w:t xml:space="preserve"> that you can’t keep taking without giving”. These participants were therefore likely to cease supporting an SPO if they no longer felt they were being sufficiently informed. Overall, transparency was presented by participants as the bare minimum required for accountability, but one that is easily achieved. This therefore contrasts with the more involved and resource-intensive approach of impact measurement explored next.  </w:t>
      </w:r>
    </w:p>
    <w:p w14:paraId="67FB268B" w14:textId="718DDC94" w:rsidR="57CCF57C" w:rsidRDefault="57CCF57C" w:rsidP="6FF1A3C2">
      <w:pPr>
        <w:widowControl/>
        <w:pBdr>
          <w:top w:val="nil"/>
          <w:left w:val="nil"/>
          <w:bottom w:val="nil"/>
          <w:right w:val="nil"/>
          <w:between w:val="nil"/>
        </w:pBdr>
        <w:spacing w:after="240"/>
        <w:ind w:right="-28" w:firstLine="238"/>
        <w:jc w:val="both"/>
        <w:rPr>
          <w:rFonts w:ascii="Calibri" w:eastAsia="Calibri" w:hAnsi="Calibri" w:cs="Calibri"/>
          <w:color w:val="000000" w:themeColor="text1"/>
        </w:rPr>
      </w:pPr>
      <w:r w:rsidRPr="6FF1A3C2">
        <w:rPr>
          <w:rFonts w:ascii="Calibri" w:eastAsia="Calibri" w:hAnsi="Calibri" w:cs="Calibri"/>
          <w:color w:val="000000" w:themeColor="text1"/>
          <w:u w:val="single"/>
        </w:rPr>
        <w:t>Impact measurement.</w:t>
      </w:r>
      <w:r w:rsidRPr="6FF1A3C2">
        <w:rPr>
          <w:rFonts w:ascii="Calibri" w:eastAsia="Calibri" w:hAnsi="Calibri" w:cs="Calibri"/>
          <w:color w:val="000000" w:themeColor="text1"/>
        </w:rPr>
        <w:t xml:space="preserve"> In total, 23 participants claimed to measure the impact of their philanthropic ventures. Broadly, these participants described recording the impact of their engagements and comparing them against pre-established targets to ensure and monitor progress. However, there was considerable disagreement amongst these 23 participants over how best to measure impact. </w:t>
      </w:r>
    </w:p>
    <w:p w14:paraId="4429439A" w14:textId="2B382431" w:rsidR="57CCF57C" w:rsidRDefault="57CCF57C" w:rsidP="6FF1A3C2">
      <w:pPr>
        <w:widowControl/>
        <w:pBdr>
          <w:top w:val="nil"/>
          <w:left w:val="nil"/>
          <w:bottom w:val="nil"/>
          <w:right w:val="nil"/>
          <w:between w:val="nil"/>
        </w:pBdr>
        <w:spacing w:after="240"/>
        <w:ind w:right="-28" w:firstLine="238"/>
        <w:jc w:val="both"/>
        <w:rPr>
          <w:rFonts w:ascii="Calibri" w:eastAsia="Calibri" w:hAnsi="Calibri" w:cs="Calibri"/>
          <w:color w:val="000000" w:themeColor="text1"/>
        </w:rPr>
      </w:pPr>
      <w:r w:rsidRPr="6FF1A3C2">
        <w:rPr>
          <w:rFonts w:ascii="Calibri" w:eastAsia="Calibri" w:hAnsi="Calibri" w:cs="Calibri"/>
          <w:color w:val="000000" w:themeColor="text1"/>
        </w:rPr>
        <w:t xml:space="preserve">For most impact measuring participants, all impact measurement should be quantitative. For instance, as described by E2: “I think the research needs to be obviously very quantity based – yeah quantitative, which I think we’ve been very diligent at.” Quantitative assessment of philanthropic ventures was deemed not only possible but necessary to aid a more rational and objective evaluation process. However, for three participants (E12, I4, P1), two of whom had extensive experience in the non-profit sector, impact measurement should comprise a combination of quantitative and qualitative metrics, </w:t>
      </w:r>
      <w:proofErr w:type="spellStart"/>
      <w:r w:rsidRPr="6FF1A3C2">
        <w:rPr>
          <w:rFonts w:ascii="Calibri" w:eastAsia="Calibri" w:hAnsi="Calibri" w:cs="Calibri"/>
          <w:color w:val="000000" w:themeColor="text1"/>
        </w:rPr>
        <w:t>recognising</w:t>
      </w:r>
      <w:proofErr w:type="spellEnd"/>
      <w:r w:rsidRPr="6FF1A3C2">
        <w:rPr>
          <w:rFonts w:ascii="Calibri" w:eastAsia="Calibri" w:hAnsi="Calibri" w:cs="Calibri"/>
          <w:color w:val="000000" w:themeColor="text1"/>
        </w:rPr>
        <w:t xml:space="preserve"> the unquantifiable nature of some philanthropic outcomes. In describing the impact measurement processes they employ in their charitable trust, P1 stated: “Sometimes there is no quantitative data for knowing that when you’ve seen a woman who’s a broken shell of herself and you walk in one day and she’s got her shoulders back and she’s got a smile on her </w:t>
      </w:r>
      <w:proofErr w:type="gramStart"/>
      <w:r w:rsidRPr="6FF1A3C2">
        <w:rPr>
          <w:rFonts w:ascii="Calibri" w:eastAsia="Calibri" w:hAnsi="Calibri" w:cs="Calibri"/>
          <w:color w:val="000000" w:themeColor="text1"/>
        </w:rPr>
        <w:t>face</w:t>
      </w:r>
      <w:proofErr w:type="gramEnd"/>
      <w:r w:rsidRPr="6FF1A3C2">
        <w:rPr>
          <w:rFonts w:ascii="Calibri" w:eastAsia="Calibri" w:hAnsi="Calibri" w:cs="Calibri"/>
          <w:color w:val="000000" w:themeColor="text1"/>
        </w:rPr>
        <w:t xml:space="preserve"> and she can say three words to you. For me, that’s huge impact.” E12 similarly described the importance of recording such ‘intangible’ outcomes: “So for example the happiness of a family – it’s hard to convert that into money. It is much easier to measure for example people getting jobs.” When asked whether they were more likely to fund something that is more easily measured, E12 refuted this statement: “No, not necessarily. The intangibles are extras. For </w:t>
      </w:r>
      <w:proofErr w:type="gramStart"/>
      <w:r w:rsidRPr="6FF1A3C2">
        <w:rPr>
          <w:rFonts w:ascii="Calibri" w:eastAsia="Calibri" w:hAnsi="Calibri" w:cs="Calibri"/>
          <w:color w:val="000000" w:themeColor="text1"/>
        </w:rPr>
        <w:t>example</w:t>
      </w:r>
      <w:proofErr w:type="gramEnd"/>
      <w:r w:rsidRPr="6FF1A3C2">
        <w:rPr>
          <w:rFonts w:ascii="Calibri" w:eastAsia="Calibri" w:hAnsi="Calibri" w:cs="Calibri"/>
          <w:color w:val="000000" w:themeColor="text1"/>
        </w:rPr>
        <w:t xml:space="preserve"> </w:t>
      </w:r>
      <w:proofErr w:type="gramStart"/>
      <w:r w:rsidRPr="6FF1A3C2">
        <w:rPr>
          <w:rFonts w:ascii="Calibri" w:eastAsia="Calibri" w:hAnsi="Calibri" w:cs="Calibri"/>
          <w:color w:val="000000" w:themeColor="text1"/>
        </w:rPr>
        <w:t>are they</w:t>
      </w:r>
      <w:proofErr w:type="gramEnd"/>
      <w:r w:rsidRPr="6FF1A3C2">
        <w:rPr>
          <w:rFonts w:ascii="Calibri" w:eastAsia="Calibri" w:hAnsi="Calibri" w:cs="Calibri"/>
          <w:color w:val="000000" w:themeColor="text1"/>
        </w:rPr>
        <w:t xml:space="preserve"> happier, is there less fighting in the home – all things that happen when money is tight, and people are stressed and concerned. […] We would stop funding something if an organisation didn’t care about them.” Despite the importance of such qualitative, intangible outcomes </w:t>
      </w:r>
      <w:r w:rsidRPr="6FF1A3C2">
        <w:rPr>
          <w:rFonts w:ascii="Calibri" w:eastAsia="Calibri" w:hAnsi="Calibri" w:cs="Calibri"/>
          <w:color w:val="000000" w:themeColor="text1"/>
        </w:rPr>
        <w:lastRenderedPageBreak/>
        <w:t>for a small number of participants, none went so far as stating they would only use qualitative measures of impact; all still predominantly rely on quantitative assessment.</w:t>
      </w:r>
    </w:p>
    <w:p w14:paraId="218151C9" w14:textId="66907045" w:rsidR="2A31AD2A" w:rsidRDefault="2A31AD2A" w:rsidP="6FF1A3C2">
      <w:pPr>
        <w:widowControl/>
        <w:pBdr>
          <w:top w:val="nil"/>
          <w:left w:val="nil"/>
          <w:bottom w:val="nil"/>
          <w:right w:val="nil"/>
          <w:between w:val="nil"/>
        </w:pBdr>
        <w:spacing w:after="240"/>
        <w:ind w:right="-28" w:firstLine="238"/>
        <w:jc w:val="both"/>
        <w:rPr>
          <w:rFonts w:ascii="Calibri" w:eastAsia="Calibri" w:hAnsi="Calibri" w:cs="Calibri"/>
          <w:color w:val="000000" w:themeColor="text1"/>
        </w:rPr>
      </w:pPr>
      <w:r w:rsidRPr="6FF1A3C2">
        <w:rPr>
          <w:rFonts w:ascii="Calibri" w:eastAsia="Calibri" w:hAnsi="Calibri" w:cs="Calibri"/>
          <w:color w:val="000000" w:themeColor="text1"/>
        </w:rPr>
        <w:t xml:space="preserve">Most participants who described conducting impact measurement either conduct such processes personally (usually for relatively smaller-scale </w:t>
      </w:r>
      <w:proofErr w:type="spellStart"/>
      <w:r w:rsidRPr="6FF1A3C2">
        <w:rPr>
          <w:rFonts w:ascii="Calibri" w:eastAsia="Calibri" w:hAnsi="Calibri" w:cs="Calibri"/>
          <w:color w:val="000000" w:themeColor="text1"/>
        </w:rPr>
        <w:t>endeavours</w:t>
      </w:r>
      <w:proofErr w:type="spellEnd"/>
      <w:r w:rsidRPr="6FF1A3C2">
        <w:rPr>
          <w:rFonts w:ascii="Calibri" w:eastAsia="Calibri" w:hAnsi="Calibri" w:cs="Calibri"/>
          <w:color w:val="000000" w:themeColor="text1"/>
        </w:rPr>
        <w:t>) or have an in-house impact team in their own foundation (or other SPO). Contrastingly, for E9 impact measurement is best conducted independently. To ensure the objectivity of data and evaluation, and the overall quality of the assessment, E9’s foundation prefers to commission a professional research team from either a social research institute or university. However, as such research is expensive, they only commission independent research for ‘higher value’ investments: “We obviously don’t evaluate everything on an independent basis as it would cost us a fortune.”</w:t>
      </w:r>
    </w:p>
    <w:p w14:paraId="1710FAB7" w14:textId="45260E2F" w:rsidR="2A31AD2A" w:rsidRDefault="2A31AD2A" w:rsidP="6FF1A3C2">
      <w:pPr>
        <w:widowControl/>
        <w:pBdr>
          <w:top w:val="nil"/>
          <w:left w:val="nil"/>
          <w:bottom w:val="nil"/>
          <w:right w:val="nil"/>
          <w:between w:val="nil"/>
        </w:pBdr>
        <w:spacing w:after="240"/>
        <w:ind w:right="-28" w:firstLine="238"/>
        <w:jc w:val="both"/>
        <w:rPr>
          <w:rFonts w:ascii="Calibri" w:eastAsia="Calibri" w:hAnsi="Calibri" w:cs="Calibri"/>
          <w:color w:val="000000" w:themeColor="text1"/>
        </w:rPr>
      </w:pPr>
      <w:r w:rsidRPr="6FF1A3C2">
        <w:rPr>
          <w:rFonts w:ascii="Calibri" w:eastAsia="Calibri" w:hAnsi="Calibri" w:cs="Calibri"/>
          <w:color w:val="000000" w:themeColor="text1"/>
        </w:rPr>
        <w:t xml:space="preserve">Significantly, though impact measurement was initially presented as an accountability mechanism for ensuring recipients are achieving the desired outcomes, further discussions during interviews revealed impact measurement was also used to make participants feel good about their philanthropic engagements. For example, E11 initially described impact measurement as a means of ensuring their philanthropy is being effective and achieving </w:t>
      </w:r>
      <w:proofErr w:type="gramStart"/>
      <w:r w:rsidRPr="6FF1A3C2">
        <w:rPr>
          <w:rFonts w:ascii="Calibri" w:eastAsia="Calibri" w:hAnsi="Calibri" w:cs="Calibri"/>
          <w:color w:val="000000" w:themeColor="text1"/>
        </w:rPr>
        <w:t>231</w:t>
      </w:r>
      <w:proofErr w:type="gramEnd"/>
      <w:r w:rsidRPr="6FF1A3C2">
        <w:rPr>
          <w:rFonts w:ascii="Calibri" w:eastAsia="Calibri" w:hAnsi="Calibri" w:cs="Calibri"/>
          <w:color w:val="000000" w:themeColor="text1"/>
        </w:rPr>
        <w:t xml:space="preserve"> the desired results. However, when later asked in the interview why it was so important for them to measure impact, they provided a different reason: “Well that’s the only reward for having given the money away. I suppose what it comes down to is if on your death bed you think, if you can picture something in your head and have some concept of what you’ve done, it makes life worthwhile.” Thus, whilst impact measurement was typically portrayed as a means of determining what works and what does not, it was frequently used additionally, or alternatively, as a form of reward to participants, demonstrating impact(s) they have had to make them feel good about their philanthropy. This therefore raises questions regarding the reliability and validity of participants’ impact measurement processes and whether they indeed measure the outcomes and efficiency of their ventures as initially claimed, or whether, by seeking to record and evaluate their own personal achievements, they measure alternative outputs, oversimplifying the performance of their philanthropic ventures. The following sections examine how participants use these ‘accountability mechanisms’ of transparency and impact measurement to ensure accountability of recipients and, in fewer cases, themselves.  </w:t>
      </w:r>
    </w:p>
    <w:p w14:paraId="51B694BF" w14:textId="3F721F33" w:rsidR="2A31AD2A" w:rsidRDefault="2A31AD2A" w:rsidP="00B9481C">
      <w:pPr>
        <w:pStyle w:val="ListParagraph"/>
        <w:widowControl/>
        <w:numPr>
          <w:ilvl w:val="1"/>
          <w:numId w:val="14"/>
        </w:numPr>
        <w:spacing w:after="240"/>
        <w:ind w:right="-28"/>
        <w:jc w:val="both"/>
        <w:rPr>
          <w:rFonts w:ascii="Calibri" w:eastAsia="Calibri" w:hAnsi="Calibri" w:cs="Calibri"/>
          <w:i/>
          <w:iCs/>
          <w:color w:val="000000" w:themeColor="text1"/>
        </w:rPr>
      </w:pPr>
      <w:r w:rsidRPr="6FF1A3C2">
        <w:rPr>
          <w:rFonts w:ascii="Calibri" w:eastAsia="Calibri" w:hAnsi="Calibri" w:cs="Calibri"/>
          <w:i/>
          <w:iCs/>
          <w:color w:val="000000" w:themeColor="text1"/>
        </w:rPr>
        <w:t>Accountability of recipients</w:t>
      </w:r>
    </w:p>
    <w:p w14:paraId="31C1662E" w14:textId="7687F89B" w:rsidR="2A31AD2A" w:rsidRDefault="2A31AD2A" w:rsidP="6FF1A3C2">
      <w:pPr>
        <w:widowControl/>
        <w:spacing w:after="240"/>
        <w:ind w:right="-28" w:firstLine="238"/>
        <w:jc w:val="both"/>
      </w:pPr>
      <w:r w:rsidRPr="6FF1A3C2">
        <w:rPr>
          <w:rFonts w:ascii="Calibri" w:eastAsia="Calibri" w:hAnsi="Calibri" w:cs="Calibri"/>
          <w:color w:val="000000" w:themeColor="text1"/>
        </w:rPr>
        <w:t xml:space="preserve">During interviews, 26 participants described the importance of recipients being held accountable for their performance. All 26 </w:t>
      </w:r>
      <w:proofErr w:type="spellStart"/>
      <w:r w:rsidRPr="6FF1A3C2">
        <w:rPr>
          <w:rFonts w:ascii="Calibri" w:eastAsia="Calibri" w:hAnsi="Calibri" w:cs="Calibri"/>
          <w:color w:val="000000" w:themeColor="text1"/>
        </w:rPr>
        <w:t>prioritised</w:t>
      </w:r>
      <w:proofErr w:type="spellEnd"/>
      <w:r w:rsidRPr="6FF1A3C2">
        <w:rPr>
          <w:rFonts w:ascii="Calibri" w:eastAsia="Calibri" w:hAnsi="Calibri" w:cs="Calibri"/>
          <w:color w:val="000000" w:themeColor="text1"/>
        </w:rPr>
        <w:t xml:space="preserve"> their perceived need for recipients to be accountable to their funders; only one raised the matter of recipients being held accountable to end beneficiaries. This section analyses </w:t>
      </w:r>
      <w:proofErr w:type="gramStart"/>
      <w:r w:rsidRPr="6FF1A3C2">
        <w:rPr>
          <w:rFonts w:ascii="Calibri" w:eastAsia="Calibri" w:hAnsi="Calibri" w:cs="Calibri"/>
          <w:color w:val="000000" w:themeColor="text1"/>
        </w:rPr>
        <w:t>both of these</w:t>
      </w:r>
      <w:proofErr w:type="gramEnd"/>
      <w:r w:rsidRPr="6FF1A3C2">
        <w:rPr>
          <w:rFonts w:ascii="Calibri" w:eastAsia="Calibri" w:hAnsi="Calibri" w:cs="Calibri"/>
          <w:color w:val="000000" w:themeColor="text1"/>
        </w:rPr>
        <w:t xml:space="preserve"> aspects.  </w:t>
      </w:r>
    </w:p>
    <w:p w14:paraId="7F5A8EEC" w14:textId="47AAA571" w:rsidR="2A31AD2A" w:rsidRDefault="2A31AD2A" w:rsidP="6FF1A3C2">
      <w:pPr>
        <w:widowControl/>
        <w:spacing w:after="240"/>
        <w:ind w:right="-28" w:firstLine="238"/>
        <w:jc w:val="both"/>
        <w:rPr>
          <w:rFonts w:ascii="Calibri" w:eastAsia="Calibri" w:hAnsi="Calibri" w:cs="Calibri"/>
          <w:color w:val="000000" w:themeColor="text1"/>
        </w:rPr>
      </w:pPr>
      <w:r w:rsidRPr="6FF1A3C2">
        <w:rPr>
          <w:rFonts w:ascii="Calibri" w:eastAsia="Calibri" w:hAnsi="Calibri" w:cs="Calibri"/>
          <w:color w:val="000000" w:themeColor="text1"/>
          <w:u w:val="single"/>
        </w:rPr>
        <w:t>Accountability of recipients to funders.</w:t>
      </w:r>
      <w:r w:rsidRPr="6FF1A3C2">
        <w:rPr>
          <w:rFonts w:ascii="Calibri" w:eastAsia="Calibri" w:hAnsi="Calibri" w:cs="Calibri"/>
          <w:color w:val="000000" w:themeColor="text1"/>
        </w:rPr>
        <w:t xml:space="preserve"> Firstly, 26 of the 42 participants interviewed described the importance of recipients being held accountable to funders. However, how participants portrayed this importance and their preferred means of accountability varied greatly. For nine participants, </w:t>
      </w:r>
      <w:r w:rsidR="26EC1319" w:rsidRPr="6FF1A3C2">
        <w:rPr>
          <w:rFonts w:ascii="Calibri" w:eastAsia="Calibri" w:hAnsi="Calibri" w:cs="Calibri"/>
          <w:color w:val="000000" w:themeColor="text1"/>
        </w:rPr>
        <w:t xml:space="preserve">accountability – primarily through transparency – was considered part and parcel of ‘nurturing’ the </w:t>
      </w:r>
      <w:proofErr w:type="gramStart"/>
      <w:r w:rsidR="26EC1319" w:rsidRPr="6FF1A3C2">
        <w:rPr>
          <w:rFonts w:ascii="Calibri" w:eastAsia="Calibri" w:hAnsi="Calibri" w:cs="Calibri"/>
          <w:color w:val="000000" w:themeColor="text1"/>
        </w:rPr>
        <w:t>funder-</w:t>
      </w:r>
      <w:proofErr w:type="gramEnd"/>
      <w:r w:rsidR="26EC1319" w:rsidRPr="6FF1A3C2">
        <w:rPr>
          <w:rFonts w:ascii="Calibri" w:eastAsia="Calibri" w:hAnsi="Calibri" w:cs="Calibri"/>
          <w:color w:val="000000" w:themeColor="text1"/>
        </w:rPr>
        <w:t>recipient relationship. All nine expressed a desire to be kept updated by recipients through transparent reporting of their activities. This type of transparency and communication was perceived as supporting a more “personal” (F4) relationship between the participant and their recipients, helping them feel more “valued” (L2) as supporters. Thus, to continue receiving contributions from these participants, recipients are expected to be transparent over how previous contributions have been used.</w:t>
      </w:r>
    </w:p>
    <w:p w14:paraId="4D465BC5" w14:textId="6AA5740F" w:rsidR="26EC1319" w:rsidRDefault="26EC1319" w:rsidP="6FF1A3C2">
      <w:pPr>
        <w:widowControl/>
        <w:spacing w:after="240"/>
        <w:ind w:right="-28" w:firstLine="238"/>
        <w:jc w:val="both"/>
        <w:rPr>
          <w:rFonts w:ascii="Calibri" w:eastAsia="Calibri" w:hAnsi="Calibri" w:cs="Calibri"/>
          <w:color w:val="000000" w:themeColor="text1"/>
        </w:rPr>
      </w:pPr>
      <w:r w:rsidRPr="6FF1A3C2">
        <w:rPr>
          <w:rFonts w:ascii="Calibri" w:eastAsia="Calibri" w:hAnsi="Calibri" w:cs="Calibri"/>
          <w:color w:val="000000" w:themeColor="text1"/>
        </w:rPr>
        <w:lastRenderedPageBreak/>
        <w:t xml:space="preserve">In contrast, other participants felt the need for recipients to be held accountable to their funders </w:t>
      </w:r>
      <w:proofErr w:type="gramStart"/>
      <w:r w:rsidRPr="6FF1A3C2">
        <w:rPr>
          <w:rFonts w:ascii="Calibri" w:eastAsia="Calibri" w:hAnsi="Calibri" w:cs="Calibri"/>
          <w:color w:val="000000" w:themeColor="text1"/>
        </w:rPr>
        <w:t>to</w:t>
      </w:r>
      <w:proofErr w:type="gramEnd"/>
      <w:r w:rsidRPr="6FF1A3C2">
        <w:rPr>
          <w:rFonts w:ascii="Calibri" w:eastAsia="Calibri" w:hAnsi="Calibri" w:cs="Calibri"/>
          <w:color w:val="000000" w:themeColor="text1"/>
        </w:rPr>
        <w:t xml:space="preserve"> that those funders can ensure an impact is being achieved. These participants primarily described their approach to philanthropy as either ‘strategic philanthropy’ or ‘venture philanthropy’. The nine participants who described t</w:t>
      </w:r>
      <w:r w:rsidR="731DEF9D" w:rsidRPr="6FF1A3C2">
        <w:rPr>
          <w:rFonts w:ascii="Calibri" w:eastAsia="Calibri" w:hAnsi="Calibri" w:cs="Calibri"/>
          <w:color w:val="000000" w:themeColor="text1"/>
        </w:rPr>
        <w:t xml:space="preserve">heir approach as ‘strategic philanthropy’ argued accountability mechanisms help funders ensure they are getting “the best value for money” and that their capital contributions are “not being wasted” (E8). For all nine of these participants, philanthropic contributions – even once made – were viewed as the possession of the funder, thus giving that funder a right to know what the recipient is doing. As </w:t>
      </w:r>
      <w:proofErr w:type="spellStart"/>
      <w:r w:rsidR="731DEF9D" w:rsidRPr="6FF1A3C2">
        <w:rPr>
          <w:rFonts w:ascii="Calibri" w:eastAsia="Calibri" w:hAnsi="Calibri" w:cs="Calibri"/>
          <w:color w:val="000000" w:themeColor="text1"/>
        </w:rPr>
        <w:t>summarised</w:t>
      </w:r>
      <w:proofErr w:type="spellEnd"/>
      <w:r w:rsidR="731DEF9D" w:rsidRPr="6FF1A3C2">
        <w:rPr>
          <w:rFonts w:ascii="Calibri" w:eastAsia="Calibri" w:hAnsi="Calibri" w:cs="Calibri"/>
          <w:color w:val="000000" w:themeColor="text1"/>
        </w:rPr>
        <w:t xml:space="preserve"> by I2: “You have fiduciary obligations to your donors to use the money as judiciously as you can”. Strategic philanthropy participants largely achieve this desired accountability through impact measurement, but interestingly noted that the degree of accountability sought needs to be proportionate to the size of one’s capital contributions: while most claimed to measure the impact of all their ‘significant’ philanthropic engagements (</w:t>
      </w:r>
      <w:proofErr w:type="gramStart"/>
      <w:r w:rsidR="731DEF9D" w:rsidRPr="6FF1A3C2">
        <w:rPr>
          <w:rFonts w:ascii="Calibri" w:eastAsia="Calibri" w:hAnsi="Calibri" w:cs="Calibri"/>
          <w:color w:val="000000" w:themeColor="text1"/>
        </w:rPr>
        <w:t>i.e.</w:t>
      </w:r>
      <w:proofErr w:type="gramEnd"/>
      <w:r w:rsidR="731DEF9D" w:rsidRPr="6FF1A3C2">
        <w:rPr>
          <w:rFonts w:ascii="Calibri" w:eastAsia="Calibri" w:hAnsi="Calibri" w:cs="Calibri"/>
          <w:color w:val="000000" w:themeColor="text1"/>
        </w:rPr>
        <w:t xml:space="preserve"> those involving large contributions of economic capital), they are less concerned about measuring the impact of relatively smaller engagements. As stated by I3, for instance: “I think it does depend on the amount of the donation. </w:t>
      </w:r>
      <w:proofErr w:type="gramStart"/>
      <w:r w:rsidR="731DEF9D" w:rsidRPr="6FF1A3C2">
        <w:rPr>
          <w:rFonts w:ascii="Calibri" w:eastAsia="Calibri" w:hAnsi="Calibri" w:cs="Calibri"/>
          <w:color w:val="000000" w:themeColor="text1"/>
        </w:rPr>
        <w:t>So</w:t>
      </w:r>
      <w:proofErr w:type="gramEnd"/>
      <w:r w:rsidR="731DEF9D" w:rsidRPr="6FF1A3C2">
        <w:rPr>
          <w:rFonts w:ascii="Calibri" w:eastAsia="Calibri" w:hAnsi="Calibri" w:cs="Calibri"/>
          <w:color w:val="000000" w:themeColor="text1"/>
        </w:rPr>
        <w:t xml:space="preserve"> if you give 50 quid cos somebody’s done a fundraising walk for RNLI, I don’t really expect the RNLI to write me a long report.” </w:t>
      </w:r>
      <w:proofErr w:type="gramStart"/>
      <w:r w:rsidR="731DEF9D" w:rsidRPr="6FF1A3C2">
        <w:rPr>
          <w:rFonts w:ascii="Calibri" w:eastAsia="Calibri" w:hAnsi="Calibri" w:cs="Calibri"/>
          <w:color w:val="000000" w:themeColor="text1"/>
        </w:rPr>
        <w:t>Similar to</w:t>
      </w:r>
      <w:proofErr w:type="gramEnd"/>
      <w:r w:rsidR="731DEF9D" w:rsidRPr="6FF1A3C2">
        <w:rPr>
          <w:rFonts w:ascii="Calibri" w:eastAsia="Calibri" w:hAnsi="Calibri" w:cs="Calibri"/>
          <w:color w:val="000000" w:themeColor="text1"/>
        </w:rPr>
        <w:t xml:space="preserve"> their attitudes towards due diligence (Section 6.3.2.), these participants described expecting a smaller degree of reporting or accountability if they are providing relatively smaller capital contributions.</w:t>
      </w:r>
    </w:p>
    <w:p w14:paraId="26AF3147" w14:textId="71F3D1CA" w:rsidR="731DEF9D" w:rsidRDefault="731DEF9D" w:rsidP="6FF1A3C2">
      <w:pPr>
        <w:widowControl/>
        <w:spacing w:after="240"/>
        <w:ind w:right="-28" w:firstLine="238"/>
        <w:jc w:val="both"/>
        <w:rPr>
          <w:rFonts w:ascii="Calibri" w:eastAsia="Calibri" w:hAnsi="Calibri" w:cs="Calibri"/>
          <w:color w:val="000000" w:themeColor="text1"/>
        </w:rPr>
      </w:pPr>
      <w:r w:rsidRPr="6FF1A3C2">
        <w:rPr>
          <w:rFonts w:ascii="Calibri" w:eastAsia="Calibri" w:hAnsi="Calibri" w:cs="Calibri"/>
          <w:color w:val="000000" w:themeColor="text1"/>
        </w:rPr>
        <w:t xml:space="preserve">Three participants – all of whom described themselves as venture philanthropists – similarly </w:t>
      </w:r>
      <w:proofErr w:type="spellStart"/>
      <w:r w:rsidRPr="6FF1A3C2">
        <w:rPr>
          <w:rFonts w:ascii="Calibri" w:eastAsia="Calibri" w:hAnsi="Calibri" w:cs="Calibri"/>
          <w:color w:val="000000" w:themeColor="text1"/>
        </w:rPr>
        <w:t>prioritise</w:t>
      </w:r>
      <w:proofErr w:type="spellEnd"/>
      <w:r w:rsidRPr="6FF1A3C2">
        <w:rPr>
          <w:rFonts w:ascii="Calibri" w:eastAsia="Calibri" w:hAnsi="Calibri" w:cs="Calibri"/>
          <w:color w:val="000000" w:themeColor="text1"/>
        </w:rPr>
        <w:t xml:space="preserve"> the accountability of recipients to their funders, relying on impact measurement to do so. </w:t>
      </w:r>
      <w:r w:rsidR="5095CB82" w:rsidRPr="6FF1A3C2">
        <w:rPr>
          <w:rFonts w:ascii="Calibri" w:eastAsia="Calibri" w:hAnsi="Calibri" w:cs="Calibri"/>
          <w:color w:val="000000" w:themeColor="text1"/>
        </w:rPr>
        <w:t xml:space="preserve">However, these three participants – and the other three participants also taking a venture philanthropy strategy – predominantly </w:t>
      </w:r>
      <w:proofErr w:type="spellStart"/>
      <w:r w:rsidR="5095CB82" w:rsidRPr="6FF1A3C2">
        <w:rPr>
          <w:rFonts w:ascii="Calibri" w:eastAsia="Calibri" w:hAnsi="Calibri" w:cs="Calibri"/>
          <w:color w:val="000000" w:themeColor="text1"/>
        </w:rPr>
        <w:t>emphasised</w:t>
      </w:r>
      <w:proofErr w:type="spellEnd"/>
      <w:r w:rsidR="5095CB82" w:rsidRPr="6FF1A3C2">
        <w:rPr>
          <w:rFonts w:ascii="Calibri" w:eastAsia="Calibri" w:hAnsi="Calibri" w:cs="Calibri"/>
          <w:color w:val="000000" w:themeColor="text1"/>
        </w:rPr>
        <w:t xml:space="preserve"> the role of impact measurement as a tool for learning rather than accountability, evaluating the extent to which an initiative was ‘successful’ and learning what could be done differently in future to further improve the rate of success. Given the centrality of impact measurement to their philanthropic model, the willingness of recipients to engage in impact measurement can be a deciding factor in whether venture philanthropists are willing to support them. As </w:t>
      </w:r>
      <w:proofErr w:type="spellStart"/>
      <w:r w:rsidR="5095CB82" w:rsidRPr="6FF1A3C2">
        <w:rPr>
          <w:rFonts w:ascii="Calibri" w:eastAsia="Calibri" w:hAnsi="Calibri" w:cs="Calibri"/>
          <w:color w:val="000000" w:themeColor="text1"/>
        </w:rPr>
        <w:t>summarised</w:t>
      </w:r>
      <w:proofErr w:type="spellEnd"/>
      <w:r w:rsidR="5095CB82" w:rsidRPr="6FF1A3C2">
        <w:rPr>
          <w:rFonts w:ascii="Calibri" w:eastAsia="Calibri" w:hAnsi="Calibri" w:cs="Calibri"/>
          <w:color w:val="000000" w:themeColor="text1"/>
        </w:rPr>
        <w:t xml:space="preserve"> by E9: “If they don’t get it then we don’t invest. It’s very simple – we don’t take the time to convince them.” Thus, whether impact measurement is used for learning or accountability, it remains a key feature of the venture philanthropy strategy portrayed by participants.</w:t>
      </w:r>
    </w:p>
    <w:p w14:paraId="50E14706" w14:textId="2E422742" w:rsidR="5095CB82" w:rsidRDefault="5095CB82" w:rsidP="6FF1A3C2">
      <w:pPr>
        <w:widowControl/>
        <w:spacing w:after="240"/>
        <w:ind w:right="-28" w:firstLine="238"/>
        <w:jc w:val="both"/>
        <w:rPr>
          <w:rFonts w:ascii="Calibri" w:eastAsia="Calibri" w:hAnsi="Calibri" w:cs="Calibri"/>
          <w:color w:val="000000" w:themeColor="text1"/>
        </w:rPr>
      </w:pPr>
      <w:r w:rsidRPr="6FF1A3C2">
        <w:rPr>
          <w:rFonts w:ascii="Calibri" w:eastAsia="Calibri" w:hAnsi="Calibri" w:cs="Calibri"/>
          <w:color w:val="000000" w:themeColor="text1"/>
          <w:u w:val="single"/>
        </w:rPr>
        <w:t>Accountability of recipients to beneficiaries.</w:t>
      </w:r>
      <w:r w:rsidRPr="6FF1A3C2">
        <w:rPr>
          <w:rFonts w:ascii="Calibri" w:eastAsia="Calibri" w:hAnsi="Calibri" w:cs="Calibri"/>
          <w:color w:val="000000" w:themeColor="text1"/>
        </w:rPr>
        <w:t xml:space="preserve"> Whereas most participants perceived a need for recipients to be accountable to their funders, only one – E12 – stated a need for recipients to be accountable to end beneficiaries. This was in response to my prompt during the interview: after previously stating the importance of recipients being accountable to them, I </w:t>
      </w:r>
      <w:proofErr w:type="gramStart"/>
      <w:r w:rsidRPr="6FF1A3C2">
        <w:rPr>
          <w:rFonts w:ascii="Calibri" w:eastAsia="Calibri" w:hAnsi="Calibri" w:cs="Calibri"/>
          <w:color w:val="000000" w:themeColor="text1"/>
        </w:rPr>
        <w:t>asked to</w:t>
      </w:r>
      <w:proofErr w:type="gramEnd"/>
      <w:r w:rsidRPr="6FF1A3C2">
        <w:rPr>
          <w:rFonts w:ascii="Calibri" w:eastAsia="Calibri" w:hAnsi="Calibri" w:cs="Calibri"/>
          <w:color w:val="000000" w:themeColor="text1"/>
        </w:rPr>
        <w:t xml:space="preserve"> who else recipients need to be accountable. E12 responded: “Well not just to us but also the wider stakeholders”. When asked how they 234 support this accountability, E12 stated: “It’s part of the impact reporting. We look at the relationship dynamics, how often [RECIPIENTS] visit [END BENEFICIARIES], how often [RECIPIENTS] talk to [END BENEFICIARIES], how [RECIPIENTS] manage their stakeholders.” E12 later clarified that these stakeholders primarily included end beneficiaries but also related parties such as beneficiaries’ families. The lack of attention on end beneficiaries was notable across the sample of participants: the attention was primarily on accountability, and the relationship formed in general, between themselves as funders and their immediate recipients (typically intermediary organisations such as charities), rather than end beneficiaries.</w:t>
      </w:r>
    </w:p>
    <w:p w14:paraId="26B8F3C9" w14:textId="29C1C3CF" w:rsidR="5095CB82" w:rsidRDefault="5095CB82" w:rsidP="00B9481C">
      <w:pPr>
        <w:pStyle w:val="ListParagraph"/>
        <w:widowControl/>
        <w:numPr>
          <w:ilvl w:val="1"/>
          <w:numId w:val="14"/>
        </w:numPr>
        <w:spacing w:after="240"/>
        <w:ind w:right="-28"/>
        <w:jc w:val="both"/>
        <w:rPr>
          <w:rFonts w:ascii="Calibri" w:eastAsia="Calibri" w:hAnsi="Calibri" w:cs="Calibri"/>
          <w:i/>
          <w:iCs/>
          <w:color w:val="000000" w:themeColor="text1"/>
        </w:rPr>
      </w:pPr>
      <w:r w:rsidRPr="6FF1A3C2">
        <w:rPr>
          <w:rFonts w:ascii="Calibri" w:eastAsia="Calibri" w:hAnsi="Calibri" w:cs="Calibri"/>
          <w:i/>
          <w:iCs/>
          <w:color w:val="000000" w:themeColor="text1"/>
        </w:rPr>
        <w:t>Accountability of funders</w:t>
      </w:r>
    </w:p>
    <w:p w14:paraId="67C099DA" w14:textId="7F4C797E" w:rsidR="5095CB82" w:rsidRDefault="5095CB82" w:rsidP="6FF1A3C2">
      <w:pPr>
        <w:widowControl/>
        <w:spacing w:after="240"/>
        <w:ind w:right="-28" w:firstLine="238"/>
        <w:jc w:val="both"/>
        <w:rPr>
          <w:rFonts w:ascii="Calibri" w:eastAsia="Calibri" w:hAnsi="Calibri" w:cs="Calibri"/>
          <w:color w:val="000000" w:themeColor="text1"/>
        </w:rPr>
      </w:pPr>
      <w:r w:rsidRPr="6FF1A3C2">
        <w:rPr>
          <w:rFonts w:ascii="Calibri" w:eastAsia="Calibri" w:hAnsi="Calibri" w:cs="Calibri"/>
          <w:color w:val="000000" w:themeColor="text1"/>
        </w:rPr>
        <w:lastRenderedPageBreak/>
        <w:t xml:space="preserve">Only six participants described a perceived need for funders to be held accountable for their philanthropic activities. These six all discussed the accountability of funders to their recipients. L1, for instance, serves on the board of and is an investor in a social investment fund. L1 described this fund as: “…an organisation that really values customer relationships. It’s not just about providing them with funding”. To help maintain positive relationships with their recipients, this fund issues an annual ‘customer survey’ in which they ask for feedback on their performance as funders. This survey was presented by L1 primarily as an accountability mechanism. </w:t>
      </w:r>
    </w:p>
    <w:p w14:paraId="202EB363" w14:textId="107F1810" w:rsidR="5095CB82" w:rsidRDefault="5095CB82" w:rsidP="6FF1A3C2">
      <w:pPr>
        <w:widowControl/>
        <w:spacing w:after="240"/>
        <w:ind w:right="-28" w:firstLine="238"/>
        <w:jc w:val="both"/>
        <w:rPr>
          <w:rFonts w:ascii="Calibri" w:eastAsia="Calibri" w:hAnsi="Calibri" w:cs="Calibri"/>
          <w:color w:val="000000" w:themeColor="text1"/>
        </w:rPr>
      </w:pPr>
      <w:r w:rsidRPr="6FF1A3C2">
        <w:rPr>
          <w:rFonts w:ascii="Calibri" w:eastAsia="Calibri" w:hAnsi="Calibri" w:cs="Calibri"/>
          <w:color w:val="000000" w:themeColor="text1"/>
        </w:rPr>
        <w:t xml:space="preserve">E9 – a venture philanthropist – also added the need for themselves as philanthropic funders to be held accountable: “In fact, in terms of philanthropy we should be held to account also for our investments, so I don’t see it’s any different for anyone else.” When asked who they think they 235 should be held accountable to, E9 responded: “The charity regulators”. No participant stated funders should be held accountable to end beneficiaries. </w:t>
      </w:r>
    </w:p>
    <w:p w14:paraId="4C2E464C" w14:textId="37E27BB6" w:rsidR="5095CB82" w:rsidRDefault="5095CB82" w:rsidP="6FF1A3C2">
      <w:pPr>
        <w:widowControl/>
        <w:spacing w:after="240"/>
        <w:ind w:right="-28" w:firstLine="238"/>
        <w:jc w:val="both"/>
        <w:rPr>
          <w:rFonts w:ascii="Calibri" w:eastAsia="Calibri" w:hAnsi="Calibri" w:cs="Calibri"/>
          <w:color w:val="000000" w:themeColor="text1"/>
        </w:rPr>
      </w:pPr>
      <w:r w:rsidRPr="6FF1A3C2">
        <w:rPr>
          <w:rFonts w:ascii="Calibri" w:eastAsia="Calibri" w:hAnsi="Calibri" w:cs="Calibri"/>
          <w:color w:val="000000" w:themeColor="text1"/>
        </w:rPr>
        <w:t xml:space="preserve">For each of the six participants who </w:t>
      </w:r>
      <w:proofErr w:type="spellStart"/>
      <w:r w:rsidRPr="6FF1A3C2">
        <w:rPr>
          <w:rFonts w:ascii="Calibri" w:eastAsia="Calibri" w:hAnsi="Calibri" w:cs="Calibri"/>
          <w:color w:val="000000" w:themeColor="text1"/>
        </w:rPr>
        <w:t>emphasised</w:t>
      </w:r>
      <w:proofErr w:type="spellEnd"/>
      <w:r w:rsidRPr="6FF1A3C2">
        <w:rPr>
          <w:rFonts w:ascii="Calibri" w:eastAsia="Calibri" w:hAnsi="Calibri" w:cs="Calibri"/>
          <w:color w:val="000000" w:themeColor="text1"/>
        </w:rPr>
        <w:t xml:space="preserve"> the need for funders to be accountable, the primary means of achieving this type of accountability used was transparency: openly reporting on their performance, and publishing records of philanthropic engagements online. As stated by E9: “We pride ourselves in being very transparent so if anyone wants to hold us to account – they can.” None presented impact measurement as a relevant or used means of accountability for this purpose.</w:t>
      </w:r>
    </w:p>
    <w:p w14:paraId="254376A1" w14:textId="47198806" w:rsidR="3B214A9C" w:rsidRDefault="001F7F52" w:rsidP="6FF1A3C2">
      <w:pPr>
        <w:keepNext/>
        <w:widowControl/>
        <w:numPr>
          <w:ilvl w:val="0"/>
          <w:numId w:val="1"/>
        </w:numPr>
        <w:spacing w:before="240" w:after="240"/>
        <w:rPr>
          <w:rFonts w:ascii="Calibri" w:eastAsia="Calibri" w:hAnsi="Calibri" w:cs="Calibri"/>
          <w:b/>
          <w:bCs/>
          <w:color w:val="000000" w:themeColor="text1"/>
        </w:rPr>
      </w:pPr>
      <w:r>
        <w:rPr>
          <w:rFonts w:ascii="Calibri" w:eastAsia="Calibri" w:hAnsi="Calibri" w:cs="Calibri"/>
          <w:b/>
          <w:bCs/>
          <w:color w:val="000000" w:themeColor="text1"/>
        </w:rPr>
        <w:t>Discussion &amp; C</w:t>
      </w:r>
      <w:r w:rsidR="3B214A9C" w:rsidRPr="6FF1A3C2">
        <w:rPr>
          <w:rFonts w:ascii="Calibri" w:eastAsia="Calibri" w:hAnsi="Calibri" w:cs="Calibri"/>
          <w:b/>
          <w:bCs/>
          <w:color w:val="000000" w:themeColor="text1"/>
        </w:rPr>
        <w:t>onclusions</w:t>
      </w:r>
    </w:p>
    <w:p w14:paraId="20AC3AB6" w14:textId="77777777" w:rsidR="001F7F52" w:rsidRDefault="5D5A1DCE" w:rsidP="001F7F52">
      <w:pPr>
        <w:keepNext/>
        <w:widowControl/>
        <w:spacing w:before="240"/>
        <w:ind w:right="-28" w:firstLine="238"/>
        <w:jc w:val="both"/>
        <w:rPr>
          <w:rFonts w:ascii="Calibri" w:eastAsia="Calibri" w:hAnsi="Calibri" w:cs="Calibri"/>
          <w:color w:val="000000" w:themeColor="text1"/>
        </w:rPr>
      </w:pPr>
      <w:r w:rsidRPr="6FF1A3C2">
        <w:rPr>
          <w:rFonts w:ascii="Calibri" w:eastAsia="Calibri" w:hAnsi="Calibri" w:cs="Calibri"/>
          <w:color w:val="000000" w:themeColor="text1"/>
        </w:rPr>
        <w:t>In this study, I have examined HNWI-</w:t>
      </w:r>
      <w:proofErr w:type="gramStart"/>
      <w:r w:rsidRPr="6FF1A3C2">
        <w:rPr>
          <w:rFonts w:ascii="Calibri" w:eastAsia="Calibri" w:hAnsi="Calibri" w:cs="Calibri"/>
          <w:color w:val="000000" w:themeColor="text1"/>
        </w:rPr>
        <w:t>philanthropists</w:t>
      </w:r>
      <w:proofErr w:type="gramEnd"/>
      <w:r w:rsidRPr="6FF1A3C2">
        <w:rPr>
          <w:rFonts w:ascii="Calibri" w:eastAsia="Calibri" w:hAnsi="Calibri" w:cs="Calibri"/>
          <w:color w:val="000000" w:themeColor="text1"/>
        </w:rPr>
        <w:t xml:space="preserve"> perceptions of accountability including the perceived role and function of accountability, mechanisms through which they aim to achieve accountability, and who they believe should be held accountable to whom. In so doing, I identified and demonstrated the connections between HNWI-</w:t>
      </w:r>
      <w:proofErr w:type="gramStart"/>
      <w:r w:rsidRPr="6FF1A3C2">
        <w:rPr>
          <w:rFonts w:ascii="Calibri" w:eastAsia="Calibri" w:hAnsi="Calibri" w:cs="Calibri"/>
          <w:color w:val="000000" w:themeColor="text1"/>
        </w:rPr>
        <w:t>philanthropists</w:t>
      </w:r>
      <w:proofErr w:type="gramEnd"/>
      <w:r w:rsidRPr="6FF1A3C2">
        <w:rPr>
          <w:rFonts w:ascii="Calibri" w:eastAsia="Calibri" w:hAnsi="Calibri" w:cs="Calibri"/>
          <w:color w:val="000000" w:themeColor="text1"/>
        </w:rPr>
        <w:t xml:space="preserve"> strategies and approache</w:t>
      </w:r>
      <w:r w:rsidR="527FC587" w:rsidRPr="6FF1A3C2">
        <w:rPr>
          <w:rFonts w:ascii="Calibri" w:eastAsia="Calibri" w:hAnsi="Calibri" w:cs="Calibri"/>
          <w:color w:val="000000" w:themeColor="text1"/>
        </w:rPr>
        <w:t xml:space="preserve">s to philanthropy and their views on accountability. </w:t>
      </w:r>
    </w:p>
    <w:p w14:paraId="1E42518F" w14:textId="2C0935AA" w:rsidR="001F7F52" w:rsidRDefault="001F7F52" w:rsidP="001F7F52">
      <w:pPr>
        <w:keepNext/>
        <w:widowControl/>
        <w:spacing w:before="240"/>
        <w:ind w:right="-28" w:firstLine="238"/>
        <w:jc w:val="both"/>
        <w:rPr>
          <w:rFonts w:ascii="Calibri" w:eastAsia="Calibri" w:hAnsi="Calibri" w:cs="Calibri"/>
          <w:color w:val="000000" w:themeColor="text1"/>
        </w:rPr>
      </w:pPr>
      <w:proofErr w:type="gramStart"/>
      <w:r>
        <w:rPr>
          <w:rFonts w:ascii="Calibri" w:eastAsia="Calibri" w:hAnsi="Calibri" w:cs="Calibri"/>
          <w:color w:val="000000" w:themeColor="text1"/>
        </w:rPr>
        <w:t>This insights</w:t>
      </w:r>
      <w:proofErr w:type="gramEnd"/>
      <w:r>
        <w:rPr>
          <w:rFonts w:ascii="Calibri" w:eastAsia="Calibri" w:hAnsi="Calibri" w:cs="Calibri"/>
          <w:color w:val="000000" w:themeColor="text1"/>
        </w:rPr>
        <w:t xml:space="preserve"> address the previous dearth of literature examining HNWI-philanthropy, particularly in the UK, and the perceptions of HNWIs on accountability. Participants of this study expect SPOs that receive their support to remain transparent with how their contributions are used by the organisation as a bear minimum. Those who self-describe as </w:t>
      </w:r>
      <w:proofErr w:type="gramStart"/>
      <w:r>
        <w:rPr>
          <w:rFonts w:ascii="Calibri" w:eastAsia="Calibri" w:hAnsi="Calibri" w:cs="Calibri"/>
          <w:color w:val="000000" w:themeColor="text1"/>
        </w:rPr>
        <w:t>strategic</w:t>
      </w:r>
      <w:proofErr w:type="gramEnd"/>
      <w:r>
        <w:rPr>
          <w:rFonts w:ascii="Calibri" w:eastAsia="Calibri" w:hAnsi="Calibri" w:cs="Calibri"/>
          <w:color w:val="000000" w:themeColor="text1"/>
        </w:rPr>
        <w:t xml:space="preserve"> or venture philanthropists also conduct impact measurement – presented initially as an effective mechanism of holding SPOs they support to account for impact achieved. Venture philanthropists also portrayed impact measurement as a learning mechanism – evaluating what works and how initiatives can be improved. </w:t>
      </w:r>
    </w:p>
    <w:p w14:paraId="11A98FAC" w14:textId="66B44AD1" w:rsidR="001F7F52" w:rsidRDefault="001F7F52" w:rsidP="001F7F52">
      <w:pPr>
        <w:keepNext/>
        <w:widowControl/>
        <w:spacing w:before="240"/>
        <w:ind w:right="-28" w:firstLine="238"/>
        <w:jc w:val="both"/>
        <w:rPr>
          <w:rFonts w:ascii="Calibri" w:eastAsia="Calibri" w:hAnsi="Calibri" w:cs="Calibri"/>
          <w:color w:val="000000" w:themeColor="text1"/>
        </w:rPr>
      </w:pPr>
      <w:r>
        <w:rPr>
          <w:rFonts w:ascii="Calibri" w:eastAsia="Calibri" w:hAnsi="Calibri" w:cs="Calibri"/>
          <w:color w:val="000000" w:themeColor="text1"/>
        </w:rPr>
        <w:t xml:space="preserve">These findings support concerns over the effects of impact measurement: impact measurement is inherently exclusionary as not all SPOs can afford to undertake such measures and not everything is quantifiable or can be evaluated using current impact measurement techniques. Accordingly, some SPOs and some causes are more difficult to measure the impact of than others. Given those participants who </w:t>
      </w:r>
      <w:proofErr w:type="gramStart"/>
      <w:r>
        <w:rPr>
          <w:rFonts w:ascii="Calibri" w:eastAsia="Calibri" w:hAnsi="Calibri" w:cs="Calibri"/>
          <w:color w:val="000000" w:themeColor="text1"/>
        </w:rPr>
        <w:t>value</w:t>
      </w:r>
      <w:proofErr w:type="gramEnd"/>
      <w:r>
        <w:rPr>
          <w:rFonts w:ascii="Calibri" w:eastAsia="Calibri" w:hAnsi="Calibri" w:cs="Calibri"/>
          <w:color w:val="000000" w:themeColor="text1"/>
        </w:rPr>
        <w:t xml:space="preserve"> and conduct impact measurement were rigid in their views and described avoiding those organisations not willing to measure impact, SPOs unable or unwilling to measure impact are hence more likely to go unsupported by HNWI-philanthropists. Given measurement is a performative exercise, questions of who decides what gets measured and how remain important. </w:t>
      </w:r>
    </w:p>
    <w:p w14:paraId="01571B14" w14:textId="26A407A2" w:rsidR="5D5A1DCE" w:rsidRDefault="527FC587" w:rsidP="001F7F52">
      <w:pPr>
        <w:keepNext/>
        <w:widowControl/>
        <w:spacing w:before="240"/>
        <w:ind w:right="-28" w:firstLine="238"/>
        <w:jc w:val="both"/>
        <w:rPr>
          <w:rFonts w:ascii="Calibri" w:eastAsia="Calibri" w:hAnsi="Calibri" w:cs="Calibri"/>
          <w:color w:val="000000" w:themeColor="text1"/>
        </w:rPr>
      </w:pPr>
      <w:r w:rsidRPr="6FF1A3C2">
        <w:rPr>
          <w:rFonts w:ascii="Calibri" w:eastAsia="Calibri" w:hAnsi="Calibri" w:cs="Calibri"/>
          <w:color w:val="000000" w:themeColor="text1"/>
        </w:rPr>
        <w:t xml:space="preserve">We continue to lack insight into how these are subsequently viewed and experienced by recipients. </w:t>
      </w:r>
      <w:r w:rsidR="001F7F52">
        <w:rPr>
          <w:rFonts w:ascii="Calibri" w:eastAsia="Calibri" w:hAnsi="Calibri" w:cs="Calibri"/>
          <w:color w:val="000000" w:themeColor="text1"/>
        </w:rPr>
        <w:t xml:space="preserve">Future research may therefore examine the perceptions and experiences of SPOs responding to impact measurement </w:t>
      </w:r>
      <w:r w:rsidR="001F7F52">
        <w:rPr>
          <w:rFonts w:ascii="Calibri" w:eastAsia="Calibri" w:hAnsi="Calibri" w:cs="Calibri"/>
          <w:color w:val="000000" w:themeColor="text1"/>
        </w:rPr>
        <w:lastRenderedPageBreak/>
        <w:t xml:space="preserve">and transparency requests and requirements from HNWI-philanthropists and the impact such measures have on their organisation and mission. </w:t>
      </w:r>
    </w:p>
    <w:p w14:paraId="4A03A7DD" w14:textId="5FC7A641" w:rsidR="3B214A9C" w:rsidRDefault="3B214A9C" w:rsidP="6FF1A3C2">
      <w:pPr>
        <w:keepNext/>
        <w:widowControl/>
        <w:spacing w:before="240" w:after="240"/>
        <w:rPr>
          <w:rFonts w:ascii="Calibri" w:eastAsia="Calibri" w:hAnsi="Calibri" w:cs="Calibri"/>
          <w:b/>
          <w:bCs/>
          <w:color w:val="000000" w:themeColor="text1"/>
        </w:rPr>
      </w:pPr>
      <w:r w:rsidRPr="6FF1A3C2">
        <w:rPr>
          <w:rFonts w:ascii="Calibri" w:eastAsia="Calibri" w:hAnsi="Calibri" w:cs="Calibri"/>
          <w:b/>
          <w:bCs/>
          <w:color w:val="000000" w:themeColor="text1"/>
        </w:rPr>
        <w:t>References</w:t>
      </w:r>
    </w:p>
    <w:p w14:paraId="7064BAB3" w14:textId="6B260317" w:rsidR="35C40F7D" w:rsidRDefault="35C40F7D" w:rsidP="00B9481C">
      <w:pPr>
        <w:pStyle w:val="Normal0"/>
        <w:widowControl/>
        <w:tabs>
          <w:tab w:val="left" w:pos="1980"/>
        </w:tabs>
        <w:ind w:left="360" w:hanging="360"/>
        <w:jc w:val="both"/>
        <w:rPr>
          <w:rFonts w:ascii="Calibri" w:eastAsia="Calibri" w:hAnsi="Calibri" w:cs="Calibri"/>
          <w:color w:val="000000" w:themeColor="text1"/>
        </w:rPr>
      </w:pPr>
      <w:r w:rsidRPr="6FF1A3C2">
        <w:rPr>
          <w:rFonts w:ascii="Calibri" w:eastAsia="Calibri" w:hAnsi="Calibri" w:cs="Calibri"/>
          <w:color w:val="000000" w:themeColor="text1"/>
        </w:rPr>
        <w:t xml:space="preserve">Clark, T., Woodley, R., De Halas, D., 1962. Gas-Graphite Systems, in </w:t>
      </w:r>
      <w:r w:rsidRPr="6FF1A3C2">
        <w:rPr>
          <w:rFonts w:ascii="Calibri" w:eastAsia="Calibri" w:hAnsi="Calibri" w:cs="Calibri"/>
          <w:i/>
          <w:iCs/>
          <w:color w:val="000000" w:themeColor="text1"/>
        </w:rPr>
        <w:t>“Nuclear Graphite”</w:t>
      </w:r>
      <w:r w:rsidRPr="6FF1A3C2">
        <w:rPr>
          <w:rFonts w:ascii="Calibri" w:eastAsia="Calibri" w:hAnsi="Calibri" w:cs="Calibri"/>
          <w:color w:val="000000" w:themeColor="text1"/>
        </w:rPr>
        <w:t xml:space="preserve"> R. Nightingale, Editor. Academic Press, New York, p. 387.</w:t>
      </w:r>
    </w:p>
    <w:p w14:paraId="4A6F8BDD" w14:textId="41712C49" w:rsidR="35C40F7D" w:rsidRDefault="35C40F7D" w:rsidP="00B9481C">
      <w:pPr>
        <w:pStyle w:val="Normal0"/>
        <w:widowControl/>
        <w:tabs>
          <w:tab w:val="left" w:pos="1980"/>
        </w:tabs>
        <w:ind w:left="360" w:hanging="360"/>
        <w:jc w:val="both"/>
        <w:rPr>
          <w:rFonts w:ascii="Calibri" w:eastAsia="Calibri" w:hAnsi="Calibri" w:cs="Calibri"/>
          <w:color w:val="000000" w:themeColor="text1"/>
        </w:rPr>
      </w:pPr>
      <w:r w:rsidRPr="6FF1A3C2">
        <w:rPr>
          <w:rFonts w:ascii="Calibri" w:eastAsia="Calibri" w:hAnsi="Calibri" w:cs="Calibri"/>
          <w:color w:val="000000" w:themeColor="text1"/>
        </w:rPr>
        <w:t>Deal, B., Grove, A., 1965. General Relationship for the Thermal Oxidation of Silicon, Journal of Applied Physics 36, p. 3770.</w:t>
      </w:r>
    </w:p>
    <w:p w14:paraId="5AD9C4E4" w14:textId="566C0D43" w:rsidR="35C40F7D" w:rsidRDefault="35C40F7D" w:rsidP="00B9481C">
      <w:pPr>
        <w:pStyle w:val="Normal0"/>
        <w:widowControl/>
        <w:ind w:left="360" w:hanging="360"/>
        <w:jc w:val="both"/>
        <w:rPr>
          <w:rFonts w:ascii="Calibri" w:eastAsia="Calibri" w:hAnsi="Calibri" w:cs="Calibri"/>
          <w:color w:val="000000" w:themeColor="text1"/>
        </w:rPr>
      </w:pPr>
      <w:r w:rsidRPr="6FF1A3C2">
        <w:rPr>
          <w:rFonts w:ascii="Calibri" w:eastAsia="Calibri" w:hAnsi="Calibri" w:cs="Calibri"/>
          <w:color w:val="000000" w:themeColor="text1"/>
        </w:rPr>
        <w:t>Deep-Burn Project: Annual Report for 2009, Idaho National Laboratory, Sept. 2009.</w:t>
      </w:r>
    </w:p>
    <w:p w14:paraId="4177D7B0" w14:textId="2AB1D008" w:rsidR="35C40F7D" w:rsidRDefault="35C40F7D" w:rsidP="00B9481C">
      <w:pPr>
        <w:keepNext/>
        <w:widowControl/>
        <w:ind w:left="360" w:hanging="360"/>
        <w:rPr>
          <w:rFonts w:ascii="Calibri" w:eastAsia="Calibri" w:hAnsi="Calibri" w:cs="Calibri"/>
        </w:rPr>
      </w:pPr>
      <w:r w:rsidRPr="6FF1A3C2">
        <w:rPr>
          <w:rFonts w:ascii="Calibri" w:eastAsia="Calibri" w:hAnsi="Calibri" w:cs="Calibri"/>
        </w:rPr>
        <w:t>Addis, R. (2015) ‘The role of government and policy in social finance’, in Nicholls, A., Paton, R., and Emerson, J. (eds) Social Finance. Oxford: Oxford University Press, pp. 383–459.</w:t>
      </w:r>
    </w:p>
    <w:p w14:paraId="7E731C0A" w14:textId="41476D86" w:rsidR="35C40F7D" w:rsidRDefault="35C40F7D" w:rsidP="00B9481C">
      <w:pPr>
        <w:keepNext/>
        <w:widowControl/>
        <w:ind w:left="360" w:hanging="360"/>
        <w:rPr>
          <w:rFonts w:ascii="Calibri" w:eastAsia="Calibri" w:hAnsi="Calibri" w:cs="Calibri"/>
          <w:color w:val="000000" w:themeColor="text1"/>
        </w:rPr>
      </w:pPr>
      <w:proofErr w:type="spellStart"/>
      <w:r w:rsidRPr="6FF1A3C2">
        <w:rPr>
          <w:rFonts w:ascii="Calibri" w:eastAsia="Calibri" w:hAnsi="Calibri" w:cs="Calibri"/>
          <w:color w:val="000000" w:themeColor="text1"/>
        </w:rPr>
        <w:t>Arudvabi</w:t>
      </w:r>
      <w:proofErr w:type="spellEnd"/>
      <w:r w:rsidRPr="6FF1A3C2">
        <w:rPr>
          <w:rFonts w:ascii="Calibri" w:eastAsia="Calibri" w:hAnsi="Calibri" w:cs="Calibri"/>
          <w:color w:val="000000" w:themeColor="text1"/>
        </w:rPr>
        <w:t xml:space="preserve"> et al 2020</w:t>
      </w:r>
    </w:p>
    <w:p w14:paraId="5ECE557A" w14:textId="3CEFC7B0" w:rsidR="35C40F7D" w:rsidRDefault="35C40F7D" w:rsidP="00B9481C">
      <w:pPr>
        <w:pStyle w:val="Normal0"/>
        <w:ind w:left="360" w:hanging="360"/>
        <w:rPr>
          <w:rFonts w:ascii="Calibri" w:eastAsia="Calibri" w:hAnsi="Calibri" w:cs="Calibri"/>
          <w:color w:val="000000" w:themeColor="text1"/>
        </w:rPr>
      </w:pPr>
      <w:proofErr w:type="spellStart"/>
      <w:r w:rsidRPr="6FF1A3C2">
        <w:rPr>
          <w:rFonts w:ascii="Calibri" w:eastAsia="Calibri" w:hAnsi="Calibri" w:cs="Calibri"/>
          <w:color w:val="000000" w:themeColor="text1"/>
        </w:rPr>
        <w:t>Anheier</w:t>
      </w:r>
      <w:proofErr w:type="spellEnd"/>
      <w:r w:rsidRPr="6FF1A3C2">
        <w:rPr>
          <w:rFonts w:ascii="Calibri" w:eastAsia="Calibri" w:hAnsi="Calibri" w:cs="Calibri"/>
          <w:color w:val="000000" w:themeColor="text1"/>
        </w:rPr>
        <w:t xml:space="preserve">, H.K. &amp; </w:t>
      </w:r>
      <w:proofErr w:type="spellStart"/>
      <w:r w:rsidRPr="6FF1A3C2">
        <w:rPr>
          <w:rFonts w:ascii="Calibri" w:eastAsia="Calibri" w:hAnsi="Calibri" w:cs="Calibri"/>
          <w:color w:val="000000" w:themeColor="text1"/>
        </w:rPr>
        <w:t>Leat</w:t>
      </w:r>
      <w:proofErr w:type="spellEnd"/>
      <w:r w:rsidRPr="6FF1A3C2">
        <w:rPr>
          <w:rFonts w:ascii="Calibri" w:eastAsia="Calibri" w:hAnsi="Calibri" w:cs="Calibri"/>
          <w:color w:val="000000" w:themeColor="text1"/>
        </w:rPr>
        <w:t xml:space="preserve">, D. 2006 </w:t>
      </w:r>
      <w:r w:rsidRPr="6FF1A3C2">
        <w:rPr>
          <w:rFonts w:ascii="Calibri" w:eastAsia="Calibri" w:hAnsi="Calibri" w:cs="Calibri"/>
          <w:i/>
          <w:iCs/>
          <w:color w:val="000000" w:themeColor="text1"/>
        </w:rPr>
        <w:t>Creative Philanthropy: Toward a New Philanthropy for the Twenty-First Century</w:t>
      </w:r>
      <w:r w:rsidRPr="6FF1A3C2">
        <w:rPr>
          <w:rFonts w:ascii="Calibri" w:eastAsia="Calibri" w:hAnsi="Calibri" w:cs="Calibri"/>
          <w:color w:val="000000" w:themeColor="text1"/>
        </w:rPr>
        <w:t>, London: Routledge.</w:t>
      </w:r>
    </w:p>
    <w:p w14:paraId="0A611BAE" w14:textId="77777777" w:rsidR="00310043" w:rsidRDefault="35C40F7D" w:rsidP="00310043">
      <w:pPr>
        <w:pStyle w:val="Normal0"/>
        <w:ind w:left="360" w:hanging="360"/>
        <w:rPr>
          <w:rFonts w:ascii="Calibri" w:eastAsia="Calibri" w:hAnsi="Calibri" w:cs="Calibri"/>
        </w:rPr>
      </w:pPr>
      <w:proofErr w:type="spellStart"/>
      <w:r w:rsidRPr="6FF1A3C2">
        <w:rPr>
          <w:rFonts w:ascii="Calibri" w:eastAsia="Calibri" w:hAnsi="Calibri" w:cs="Calibri"/>
          <w:color w:val="000000" w:themeColor="text1"/>
        </w:rPr>
        <w:t>Arnove</w:t>
      </w:r>
      <w:proofErr w:type="spellEnd"/>
      <w:r w:rsidRPr="6FF1A3C2">
        <w:rPr>
          <w:rFonts w:ascii="Calibri" w:eastAsia="Calibri" w:hAnsi="Calibri" w:cs="Calibri"/>
          <w:color w:val="000000" w:themeColor="text1"/>
        </w:rPr>
        <w:t xml:space="preserve">, R.F. 1980 </w:t>
      </w:r>
      <w:r w:rsidRPr="6FF1A3C2">
        <w:rPr>
          <w:rFonts w:ascii="Calibri" w:eastAsia="Calibri" w:hAnsi="Calibri" w:cs="Calibri"/>
          <w:i/>
          <w:iCs/>
          <w:color w:val="000000" w:themeColor="text1"/>
        </w:rPr>
        <w:t>Philanthropy and imperialism: The foundations at home and abroad</w:t>
      </w:r>
      <w:r w:rsidRPr="6FF1A3C2">
        <w:rPr>
          <w:rFonts w:ascii="Calibri" w:eastAsia="Calibri" w:hAnsi="Calibri" w:cs="Calibri"/>
          <w:color w:val="000000" w:themeColor="text1"/>
        </w:rPr>
        <w:t>, Boston: GK Hall.</w:t>
      </w:r>
      <w:r w:rsidR="00B9481C">
        <w:rPr>
          <w:rFonts w:ascii="Calibri" w:eastAsia="Calibri" w:hAnsi="Calibri" w:cs="Calibri"/>
          <w:color w:val="000000" w:themeColor="text1"/>
        </w:rPr>
        <w:t xml:space="preserve"> </w:t>
      </w:r>
      <w:r w:rsidRPr="6FF1A3C2">
        <w:rPr>
          <w:rFonts w:ascii="Calibri" w:eastAsia="Calibri" w:hAnsi="Calibri" w:cs="Calibri"/>
        </w:rPr>
        <w:t>Bishop, M. (2006) The birth of philanthrocapitalism: The leading new philanthropists see themselves as social investors, The Economist. [Online] Available at: https://www.economist.com/node/5517656 (Accessed: 07/05/2018).</w:t>
      </w:r>
    </w:p>
    <w:p w14:paraId="72EE5211" w14:textId="77777777" w:rsidR="00310043" w:rsidRDefault="35C40F7D" w:rsidP="00310043">
      <w:pPr>
        <w:pStyle w:val="Normal0"/>
        <w:ind w:left="360" w:hanging="360"/>
        <w:rPr>
          <w:rFonts w:ascii="Calibri" w:eastAsia="Calibri" w:hAnsi="Calibri" w:cs="Calibri"/>
        </w:rPr>
      </w:pPr>
      <w:r w:rsidRPr="6FF1A3C2">
        <w:rPr>
          <w:rFonts w:ascii="Calibri" w:eastAsia="Calibri" w:hAnsi="Calibri" w:cs="Calibri"/>
        </w:rPr>
        <w:t>Bishop, M. &amp; Green, M. (2008) Philanthrocapitalism: How the Rich Can Save the World and Why We Should Let Them. London: A&amp;C Black Publishers Ltd.</w:t>
      </w:r>
    </w:p>
    <w:p w14:paraId="651FD4EF" w14:textId="77777777" w:rsidR="00310043" w:rsidRDefault="35C40F7D" w:rsidP="00310043">
      <w:pPr>
        <w:pStyle w:val="Normal0"/>
        <w:ind w:left="360" w:hanging="360"/>
        <w:rPr>
          <w:rFonts w:ascii="Calibri" w:eastAsia="Calibri" w:hAnsi="Calibri" w:cs="Calibri"/>
        </w:rPr>
      </w:pPr>
      <w:r w:rsidRPr="6FF1A3C2">
        <w:rPr>
          <w:rFonts w:ascii="Calibri" w:eastAsia="Calibri" w:hAnsi="Calibri" w:cs="Calibri"/>
        </w:rPr>
        <w:t>Bosworth, D. (2011) ‘The Cultural Contradictions of Philanthrocapitalism’, Society, 48 (5) pp. 382–388.</w:t>
      </w:r>
    </w:p>
    <w:p w14:paraId="50520385" w14:textId="77777777" w:rsidR="00310043" w:rsidRDefault="35C40F7D" w:rsidP="00310043">
      <w:pPr>
        <w:pStyle w:val="Normal0"/>
        <w:ind w:left="360" w:hanging="360"/>
        <w:rPr>
          <w:rFonts w:ascii="Calibri" w:eastAsia="Calibri" w:hAnsi="Calibri" w:cs="Calibri"/>
        </w:rPr>
      </w:pPr>
      <w:r w:rsidRPr="6FF1A3C2">
        <w:rPr>
          <w:rFonts w:ascii="Calibri" w:eastAsia="Calibri" w:hAnsi="Calibri" w:cs="Calibri"/>
        </w:rPr>
        <w:t>Breeze, B. &amp; Lloyd, T. (2013) Richer Lives: Why rich people give. London: Directory of Social Change</w:t>
      </w:r>
      <w:r w:rsidR="00310043">
        <w:rPr>
          <w:rFonts w:ascii="Calibri" w:eastAsia="Calibri" w:hAnsi="Calibri" w:cs="Calibri"/>
        </w:rPr>
        <w:t>.</w:t>
      </w:r>
    </w:p>
    <w:p w14:paraId="3C6E421E" w14:textId="77777777" w:rsidR="00310043" w:rsidRDefault="35C40F7D" w:rsidP="00310043">
      <w:pPr>
        <w:pStyle w:val="Normal0"/>
        <w:ind w:left="360" w:hanging="360"/>
        <w:rPr>
          <w:rFonts w:ascii="Calibri" w:eastAsia="Calibri" w:hAnsi="Calibri" w:cs="Calibri"/>
        </w:rPr>
      </w:pPr>
      <w:r w:rsidRPr="6FF1A3C2">
        <w:rPr>
          <w:rFonts w:ascii="Calibri" w:eastAsia="Calibri" w:hAnsi="Calibri" w:cs="Calibri"/>
        </w:rPr>
        <w:t>Bronfman, C. &amp; Solomon, J. (2010) The Art of Giving: Where the Soul Meets a Business Plan. San Francisco, CA: Jossey Bass.</w:t>
      </w:r>
    </w:p>
    <w:p w14:paraId="35B8B065" w14:textId="77777777" w:rsidR="00310043" w:rsidRDefault="35C40F7D" w:rsidP="00310043">
      <w:pPr>
        <w:pStyle w:val="Normal0"/>
        <w:ind w:left="360" w:hanging="360"/>
        <w:rPr>
          <w:rFonts w:ascii="Calibri" w:eastAsia="Calibri" w:hAnsi="Calibri" w:cs="Calibri"/>
        </w:rPr>
      </w:pPr>
      <w:r w:rsidRPr="6FF1A3C2">
        <w:rPr>
          <w:rFonts w:ascii="Calibri" w:eastAsia="Calibri" w:hAnsi="Calibri" w:cs="Calibri"/>
        </w:rPr>
        <w:t>Buchanan, P. (2019) Giving Done Right: Effective Philanthropy and Making Every Dollar 309 Count. New York, NY: Public Affairs.</w:t>
      </w:r>
    </w:p>
    <w:p w14:paraId="46B0064C" w14:textId="77777777" w:rsidR="002D3E9E" w:rsidRDefault="35C40F7D" w:rsidP="002D3E9E">
      <w:pPr>
        <w:pStyle w:val="Normal0"/>
        <w:ind w:left="360" w:hanging="360"/>
        <w:rPr>
          <w:rFonts w:ascii="Calibri" w:eastAsia="Calibri" w:hAnsi="Calibri" w:cs="Calibri"/>
        </w:rPr>
      </w:pPr>
      <w:r w:rsidRPr="6FF1A3C2">
        <w:rPr>
          <w:rFonts w:ascii="Calibri" w:eastAsia="Calibri" w:hAnsi="Calibri" w:cs="Calibri"/>
        </w:rPr>
        <w:t>Castleberry, A. &amp; Nolen, A. (2018) ‘Thematic analysis of qualitative research data: Is it as easy as it sounds?’, Currents in Pharmacy Teaching and Learning, 10 (6) pp. 807–815.</w:t>
      </w:r>
    </w:p>
    <w:p w14:paraId="110B6F7A" w14:textId="77777777" w:rsidR="002D3E9E" w:rsidRDefault="35C40F7D" w:rsidP="002D3E9E">
      <w:pPr>
        <w:pStyle w:val="Normal0"/>
        <w:ind w:left="360" w:hanging="360"/>
        <w:rPr>
          <w:rFonts w:ascii="Calibri" w:eastAsia="Calibri" w:hAnsi="Calibri" w:cs="Calibri"/>
        </w:rPr>
      </w:pPr>
      <w:r w:rsidRPr="6FF1A3C2">
        <w:rPr>
          <w:rFonts w:ascii="Calibri" w:eastAsia="Calibri" w:hAnsi="Calibri" w:cs="Calibri"/>
        </w:rPr>
        <w:t>Davies, R. (2015) Public Good by Private Means: How Philanthropy Shapes Britain. London: Alliance Publishing Trust.</w:t>
      </w:r>
    </w:p>
    <w:p w14:paraId="23C44F91" w14:textId="77777777" w:rsidR="002D3E9E" w:rsidRDefault="35C40F7D" w:rsidP="002D3E9E">
      <w:pPr>
        <w:pStyle w:val="Normal0"/>
        <w:ind w:left="360" w:hanging="360"/>
        <w:rPr>
          <w:rFonts w:ascii="Calibri" w:eastAsia="Calibri" w:hAnsi="Calibri" w:cs="Calibri"/>
        </w:rPr>
      </w:pPr>
      <w:proofErr w:type="spellStart"/>
      <w:r w:rsidRPr="6FF1A3C2">
        <w:rPr>
          <w:rFonts w:ascii="Calibri" w:eastAsia="Calibri" w:hAnsi="Calibri" w:cs="Calibri"/>
        </w:rPr>
        <w:t>Deboskey</w:t>
      </w:r>
      <w:proofErr w:type="spellEnd"/>
      <w:r w:rsidRPr="6FF1A3C2">
        <w:rPr>
          <w:rFonts w:ascii="Calibri" w:eastAsia="Calibri" w:hAnsi="Calibri" w:cs="Calibri"/>
        </w:rPr>
        <w:t>, B. (2019) On Philanthropy: Philanthropy is the ‘ultimate risk capital’, The Denver Post. [Online] Available at: https://www.denverpost.com/2019/06/09/on-philanthropyphilanthropy-risk-capital-bruce-deboskey/ (Accessed: 01/03/2021).</w:t>
      </w:r>
    </w:p>
    <w:p w14:paraId="612354E7" w14:textId="77777777" w:rsidR="002D3E9E" w:rsidRDefault="35C40F7D" w:rsidP="002D3E9E">
      <w:pPr>
        <w:pStyle w:val="Normal0"/>
        <w:ind w:left="360" w:hanging="360"/>
        <w:rPr>
          <w:rFonts w:ascii="Calibri" w:eastAsia="Calibri" w:hAnsi="Calibri" w:cs="Calibri"/>
        </w:rPr>
      </w:pPr>
      <w:r w:rsidRPr="6FF1A3C2">
        <w:rPr>
          <w:rFonts w:ascii="Calibri" w:eastAsia="Calibri" w:hAnsi="Calibri" w:cs="Calibri"/>
        </w:rPr>
        <w:t>Ealy, L. T. (2014) ‘The Intellectual Crisis in Philanthropy’, Culture and Society, 51 (1) pp. 87– 96.</w:t>
      </w:r>
    </w:p>
    <w:p w14:paraId="1C22001C" w14:textId="77777777" w:rsidR="002D3E9E" w:rsidRDefault="35C40F7D" w:rsidP="002D3E9E">
      <w:pPr>
        <w:pStyle w:val="Normal0"/>
        <w:ind w:left="360" w:hanging="360"/>
        <w:rPr>
          <w:rFonts w:ascii="Calibri" w:eastAsia="Calibri" w:hAnsi="Calibri" w:cs="Calibri"/>
        </w:rPr>
      </w:pPr>
      <w:r w:rsidRPr="6FF1A3C2">
        <w:rPr>
          <w:rFonts w:ascii="Calibri" w:eastAsia="Calibri" w:hAnsi="Calibri" w:cs="Calibri"/>
        </w:rPr>
        <w:t xml:space="preserve">Eriksson, P. &amp; Kovalainen, A. (2016) Qualitative Methods in Business Research. 2nd </w:t>
      </w:r>
      <w:proofErr w:type="spellStart"/>
      <w:r w:rsidRPr="6FF1A3C2">
        <w:rPr>
          <w:rFonts w:ascii="Calibri" w:eastAsia="Calibri" w:hAnsi="Calibri" w:cs="Calibri"/>
        </w:rPr>
        <w:t>edn</w:t>
      </w:r>
      <w:proofErr w:type="spellEnd"/>
      <w:r w:rsidRPr="6FF1A3C2">
        <w:rPr>
          <w:rFonts w:ascii="Calibri" w:eastAsia="Calibri" w:hAnsi="Calibri" w:cs="Calibri"/>
        </w:rPr>
        <w:t>. London: Sage.</w:t>
      </w:r>
    </w:p>
    <w:p w14:paraId="01804AB6" w14:textId="77777777" w:rsidR="002D3E9E" w:rsidRDefault="35C40F7D" w:rsidP="002D3E9E">
      <w:pPr>
        <w:pStyle w:val="Normal0"/>
        <w:ind w:left="360" w:hanging="360"/>
        <w:rPr>
          <w:rFonts w:ascii="Calibri" w:eastAsia="Calibri" w:hAnsi="Calibri" w:cs="Calibri"/>
        </w:rPr>
      </w:pPr>
      <w:r w:rsidRPr="6FF1A3C2">
        <w:rPr>
          <w:rFonts w:ascii="Calibri" w:eastAsia="Calibri" w:hAnsi="Calibri" w:cs="Calibri"/>
        </w:rPr>
        <w:t xml:space="preserve">FCA (2017) ‘Communicating with clients, including financial promotions’, in Conduct of Business Sourcebook. 17th </w:t>
      </w:r>
      <w:proofErr w:type="spellStart"/>
      <w:r w:rsidRPr="6FF1A3C2">
        <w:rPr>
          <w:rFonts w:ascii="Calibri" w:eastAsia="Calibri" w:hAnsi="Calibri" w:cs="Calibri"/>
        </w:rPr>
        <w:t>edn</w:t>
      </w:r>
      <w:proofErr w:type="spellEnd"/>
      <w:r w:rsidRPr="6FF1A3C2">
        <w:rPr>
          <w:rFonts w:ascii="Calibri" w:eastAsia="Calibri" w:hAnsi="Calibri" w:cs="Calibri"/>
        </w:rPr>
        <w:t>. London: Financial Conduct Authority, pp. 49–92.</w:t>
      </w:r>
    </w:p>
    <w:p w14:paraId="71D02818" w14:textId="77777777" w:rsidR="002D3E9E" w:rsidRDefault="35C40F7D" w:rsidP="002D3E9E">
      <w:pPr>
        <w:pStyle w:val="Normal0"/>
        <w:ind w:left="360" w:hanging="360"/>
        <w:rPr>
          <w:rFonts w:ascii="Calibri" w:eastAsia="Calibri" w:hAnsi="Calibri" w:cs="Calibri"/>
        </w:rPr>
      </w:pPr>
      <w:r w:rsidRPr="6FF1A3C2">
        <w:rPr>
          <w:rFonts w:ascii="Calibri" w:eastAsia="Calibri" w:hAnsi="Calibri" w:cs="Calibri"/>
        </w:rPr>
        <w:t>Fleishman, J. L. (2017) Putting Wealth to Work: Philanthropy for Today or Investing for Tomorrow? New York, NY: Public Affairs.</w:t>
      </w:r>
    </w:p>
    <w:p w14:paraId="6C39908D" w14:textId="77777777" w:rsidR="002D3E9E" w:rsidRPr="002D3E9E" w:rsidRDefault="35C40F7D" w:rsidP="002D3E9E">
      <w:pPr>
        <w:pStyle w:val="Normal0"/>
        <w:ind w:left="360" w:hanging="360"/>
        <w:rPr>
          <w:rFonts w:ascii="Calibri" w:eastAsia="Calibri" w:hAnsi="Calibri" w:cs="Calibri"/>
        </w:rPr>
      </w:pPr>
      <w:r w:rsidRPr="6FF1A3C2">
        <w:rPr>
          <w:rFonts w:ascii="Calibri" w:eastAsia="Calibri" w:hAnsi="Calibri" w:cs="Calibri"/>
        </w:rPr>
        <w:t>Friedman, E. (2013) Reinventing Philanthropy: A Framework for More Effective Giving. Dulles, VA: Potomac Books.</w:t>
      </w:r>
      <w:r w:rsidR="002D3E9E">
        <w:rPr>
          <w:rFonts w:ascii="Calibri" w:eastAsia="Calibri" w:hAnsi="Calibri" w:cs="Calibri"/>
        </w:rPr>
        <w:t xml:space="preserve"> </w:t>
      </w:r>
      <w:r w:rsidR="002D3E9E" w:rsidRPr="002D3E9E">
        <w:rPr>
          <w:rFonts w:ascii="Calibri" w:eastAsia="Calibri" w:hAnsi="Calibri" w:cs="Calibri"/>
        </w:rPr>
        <w:t xml:space="preserve">Godfrey, J. (2016) ‘Engaging HNWI Indians’, Journal of Development </w:t>
      </w:r>
      <w:proofErr w:type="gramStart"/>
      <w:r w:rsidR="002D3E9E" w:rsidRPr="002D3E9E">
        <w:rPr>
          <w:rFonts w:ascii="Calibri" w:eastAsia="Calibri" w:hAnsi="Calibri" w:cs="Calibri"/>
        </w:rPr>
        <w:t>Policy</w:t>
      </w:r>
      <w:proofErr w:type="gramEnd"/>
      <w:r w:rsidR="002D3E9E" w:rsidRPr="002D3E9E">
        <w:rPr>
          <w:rFonts w:ascii="Calibri" w:eastAsia="Calibri" w:hAnsi="Calibri" w:cs="Calibri"/>
        </w:rPr>
        <w:t xml:space="preserve"> and Practice, 1 (1) pp. 89–113.</w:t>
      </w:r>
    </w:p>
    <w:p w14:paraId="776B625D" w14:textId="77777777" w:rsidR="002D3E9E" w:rsidRPr="002D3E9E" w:rsidRDefault="002D3E9E" w:rsidP="002D3E9E">
      <w:pPr>
        <w:pStyle w:val="Normal0"/>
        <w:ind w:left="360" w:hanging="360"/>
        <w:rPr>
          <w:rFonts w:ascii="Calibri" w:eastAsia="Calibri" w:hAnsi="Calibri" w:cs="Calibri"/>
        </w:rPr>
      </w:pPr>
      <w:r w:rsidRPr="002D3E9E">
        <w:rPr>
          <w:rFonts w:ascii="Calibri" w:eastAsia="Calibri" w:hAnsi="Calibri" w:cs="Calibri"/>
        </w:rPr>
        <w:t>Goss, K. A. (2016) ‘Policy Plutocrats: How America’s Wealthy Seek to Influence Governance’, PS: Political Science &amp; Politics, 49 (03) pp. 442–448.</w:t>
      </w:r>
    </w:p>
    <w:p w14:paraId="6DA96E69" w14:textId="77777777" w:rsidR="002D3E9E" w:rsidRPr="002D3E9E" w:rsidRDefault="002D3E9E" w:rsidP="002D3E9E">
      <w:pPr>
        <w:pStyle w:val="Normal0"/>
        <w:ind w:left="360" w:hanging="360"/>
        <w:rPr>
          <w:rFonts w:ascii="Calibri" w:eastAsia="Calibri" w:hAnsi="Calibri" w:cs="Calibri"/>
        </w:rPr>
      </w:pPr>
      <w:r w:rsidRPr="002D3E9E">
        <w:rPr>
          <w:rFonts w:ascii="Calibri" w:eastAsia="Calibri" w:hAnsi="Calibri" w:cs="Calibri"/>
        </w:rPr>
        <w:t xml:space="preserve">Grant, P. (2012) The Business of Giving: The Theory and Practice of Philanthropy, Grantmaking and Social </w:t>
      </w:r>
      <w:r w:rsidRPr="002D3E9E">
        <w:rPr>
          <w:rFonts w:ascii="Calibri" w:eastAsia="Calibri" w:hAnsi="Calibri" w:cs="Calibri"/>
        </w:rPr>
        <w:lastRenderedPageBreak/>
        <w:t>Investment. New York, NY: Palgrave Macmillan.</w:t>
      </w:r>
    </w:p>
    <w:p w14:paraId="17FDB040" w14:textId="77777777" w:rsidR="002D3E9E" w:rsidRPr="002D3E9E" w:rsidRDefault="002D3E9E" w:rsidP="002D3E9E">
      <w:pPr>
        <w:pStyle w:val="Normal0"/>
        <w:ind w:left="360" w:hanging="360"/>
        <w:rPr>
          <w:rFonts w:ascii="Calibri" w:eastAsia="Calibri" w:hAnsi="Calibri" w:cs="Calibri"/>
        </w:rPr>
      </w:pPr>
      <w:r w:rsidRPr="002D3E9E">
        <w:rPr>
          <w:rFonts w:ascii="Calibri" w:eastAsia="Calibri" w:hAnsi="Calibri" w:cs="Calibri"/>
        </w:rPr>
        <w:t xml:space="preserve">Guest, G., MacQueen, K. M. &amp; </w:t>
      </w:r>
      <w:proofErr w:type="spellStart"/>
      <w:r w:rsidRPr="002D3E9E">
        <w:rPr>
          <w:rFonts w:ascii="Calibri" w:eastAsia="Calibri" w:hAnsi="Calibri" w:cs="Calibri"/>
        </w:rPr>
        <w:t>Namey</w:t>
      </w:r>
      <w:proofErr w:type="spellEnd"/>
      <w:r w:rsidRPr="002D3E9E">
        <w:rPr>
          <w:rFonts w:ascii="Calibri" w:eastAsia="Calibri" w:hAnsi="Calibri" w:cs="Calibri"/>
        </w:rPr>
        <w:t>, E. E. (2012) Applied thematic analysis. London: Sage.</w:t>
      </w:r>
    </w:p>
    <w:p w14:paraId="7A5F55B2" w14:textId="77777777" w:rsidR="002D3E9E" w:rsidRPr="002D3E9E" w:rsidRDefault="002D3E9E" w:rsidP="002D3E9E">
      <w:pPr>
        <w:pStyle w:val="Normal0"/>
        <w:ind w:left="360" w:hanging="360"/>
        <w:rPr>
          <w:rFonts w:ascii="Calibri" w:eastAsia="Calibri" w:hAnsi="Calibri" w:cs="Calibri"/>
        </w:rPr>
      </w:pPr>
      <w:r w:rsidRPr="002D3E9E">
        <w:rPr>
          <w:rFonts w:ascii="Calibri" w:eastAsia="Calibri" w:hAnsi="Calibri" w:cs="Calibri"/>
        </w:rPr>
        <w:t xml:space="preserve">Hassid, J. &amp; Jeffreys, E. (2015) ‘Doing good or doing nothing? Celebrity, </w:t>
      </w:r>
      <w:proofErr w:type="gramStart"/>
      <w:r w:rsidRPr="002D3E9E">
        <w:rPr>
          <w:rFonts w:ascii="Calibri" w:eastAsia="Calibri" w:hAnsi="Calibri" w:cs="Calibri"/>
        </w:rPr>
        <w:t>media</w:t>
      </w:r>
      <w:proofErr w:type="gramEnd"/>
      <w:r w:rsidRPr="002D3E9E">
        <w:rPr>
          <w:rFonts w:ascii="Calibri" w:eastAsia="Calibri" w:hAnsi="Calibri" w:cs="Calibri"/>
        </w:rPr>
        <w:t xml:space="preserve"> and philanthropy in China’, Third World Quarterly, 36 (1) pp. 75–93.</w:t>
      </w:r>
    </w:p>
    <w:p w14:paraId="366794B0" w14:textId="77777777" w:rsidR="002D3E9E" w:rsidRPr="002D3E9E" w:rsidRDefault="002D3E9E" w:rsidP="002D3E9E">
      <w:pPr>
        <w:pStyle w:val="Normal0"/>
        <w:ind w:left="360" w:hanging="360"/>
        <w:rPr>
          <w:rFonts w:ascii="Calibri" w:eastAsia="Calibri" w:hAnsi="Calibri" w:cs="Calibri"/>
        </w:rPr>
      </w:pPr>
      <w:r w:rsidRPr="002D3E9E">
        <w:rPr>
          <w:rFonts w:ascii="Calibri" w:eastAsia="Calibri" w:hAnsi="Calibri" w:cs="Calibri"/>
        </w:rPr>
        <w:t>Hay, I. &amp; Muller, S. (</w:t>
      </w:r>
      <w:proofErr w:type="gramStart"/>
      <w:r w:rsidRPr="002D3E9E">
        <w:rPr>
          <w:rFonts w:ascii="Calibri" w:eastAsia="Calibri" w:hAnsi="Calibri" w:cs="Calibri"/>
        </w:rPr>
        <w:t>2012) ‘</w:t>
      </w:r>
      <w:proofErr w:type="gramEnd"/>
      <w:r w:rsidRPr="002D3E9E">
        <w:rPr>
          <w:rFonts w:ascii="Calibri" w:eastAsia="Calibri" w:hAnsi="Calibri" w:cs="Calibri"/>
        </w:rPr>
        <w:t>‘That Tiny, Stratospheric Apex That Owns Most of the World’- Exploring Geographies of the Super-Rich’, Geographical Research, 50 (1) pp. 75–88.</w:t>
      </w:r>
    </w:p>
    <w:p w14:paraId="3EBFE3B4" w14:textId="77777777" w:rsidR="002D3E9E" w:rsidRPr="002D3E9E" w:rsidRDefault="002D3E9E" w:rsidP="002D3E9E">
      <w:pPr>
        <w:pStyle w:val="Normal0"/>
        <w:ind w:left="360" w:hanging="360"/>
        <w:rPr>
          <w:rFonts w:ascii="Calibri" w:eastAsia="Calibri" w:hAnsi="Calibri" w:cs="Calibri"/>
        </w:rPr>
      </w:pPr>
      <w:r w:rsidRPr="002D3E9E">
        <w:rPr>
          <w:rFonts w:ascii="Calibri" w:eastAsia="Calibri" w:hAnsi="Calibri" w:cs="Calibri"/>
        </w:rPr>
        <w:t xml:space="preserve">Jung, T. 2018 Foundations in the UK: Organizations and Nations in a State of Flux, </w:t>
      </w:r>
      <w:r w:rsidRPr="002D3E9E">
        <w:rPr>
          <w:rFonts w:ascii="Calibri" w:eastAsia="Calibri" w:hAnsi="Calibri" w:cs="Calibri"/>
          <w:i/>
          <w:iCs/>
        </w:rPr>
        <w:t>American Behavioral Scientist</w:t>
      </w:r>
      <w:r w:rsidRPr="002D3E9E">
        <w:rPr>
          <w:rFonts w:ascii="Calibri" w:eastAsia="Calibri" w:hAnsi="Calibri" w:cs="Calibri"/>
        </w:rPr>
        <w:t>, 62(13).</w:t>
      </w:r>
    </w:p>
    <w:p w14:paraId="628F39F8" w14:textId="77777777" w:rsidR="002D3E9E" w:rsidRPr="002D3E9E" w:rsidRDefault="002D3E9E" w:rsidP="002D3E9E">
      <w:pPr>
        <w:pStyle w:val="Normal0"/>
        <w:ind w:left="360" w:hanging="360"/>
        <w:rPr>
          <w:rFonts w:ascii="Calibri" w:eastAsia="Calibri" w:hAnsi="Calibri" w:cs="Calibri"/>
        </w:rPr>
      </w:pPr>
      <w:r w:rsidRPr="002D3E9E">
        <w:rPr>
          <w:rFonts w:ascii="Calibri" w:eastAsia="Calibri" w:hAnsi="Calibri" w:cs="Calibri"/>
        </w:rPr>
        <w:t xml:space="preserve">Jung, T. &amp; Harrow, J. 2015 New development: Philanthropy in networked governance — treading with care, </w:t>
      </w:r>
      <w:r w:rsidRPr="002D3E9E">
        <w:rPr>
          <w:rFonts w:ascii="Calibri" w:eastAsia="Calibri" w:hAnsi="Calibri" w:cs="Calibri"/>
          <w:i/>
          <w:iCs/>
        </w:rPr>
        <w:t>Public Money &amp; Management</w:t>
      </w:r>
      <w:r w:rsidRPr="002D3E9E">
        <w:rPr>
          <w:rFonts w:ascii="Calibri" w:eastAsia="Calibri" w:hAnsi="Calibri" w:cs="Calibri"/>
        </w:rPr>
        <w:t xml:space="preserve">, 35(1) pp.47–52. </w:t>
      </w:r>
    </w:p>
    <w:p w14:paraId="2BAFC72C" w14:textId="77777777" w:rsidR="002D3E9E" w:rsidRPr="002D3E9E" w:rsidRDefault="002D3E9E" w:rsidP="002D3E9E">
      <w:pPr>
        <w:pStyle w:val="Normal0"/>
        <w:ind w:left="360" w:hanging="360"/>
        <w:rPr>
          <w:rFonts w:ascii="Calibri" w:eastAsia="Calibri" w:hAnsi="Calibri" w:cs="Calibri"/>
        </w:rPr>
      </w:pPr>
      <w:proofErr w:type="spellStart"/>
      <w:r w:rsidRPr="002D3E9E">
        <w:rPr>
          <w:rFonts w:ascii="Calibri" w:eastAsia="Calibri" w:hAnsi="Calibri" w:cs="Calibri"/>
        </w:rPr>
        <w:t>Kuldova</w:t>
      </w:r>
      <w:proofErr w:type="spellEnd"/>
      <w:r w:rsidRPr="002D3E9E">
        <w:rPr>
          <w:rFonts w:ascii="Calibri" w:eastAsia="Calibri" w:hAnsi="Calibri" w:cs="Calibri"/>
        </w:rPr>
        <w:t>, T. (2018) ‘When elites and outlaws do philanthropy: on the limits of private vices for public benefit’, Trends in Organized Crime, 21 pp. 295–309.</w:t>
      </w:r>
    </w:p>
    <w:p w14:paraId="1178A1ED" w14:textId="77777777" w:rsidR="002D3E9E" w:rsidRPr="002D3E9E" w:rsidRDefault="002D3E9E" w:rsidP="002D3E9E">
      <w:pPr>
        <w:pStyle w:val="Normal0"/>
        <w:ind w:left="360" w:hanging="360"/>
        <w:rPr>
          <w:rFonts w:ascii="Calibri" w:eastAsia="Calibri" w:hAnsi="Calibri" w:cs="Calibri"/>
        </w:rPr>
      </w:pPr>
      <w:r w:rsidRPr="002D3E9E">
        <w:rPr>
          <w:rFonts w:ascii="Calibri" w:eastAsia="Calibri" w:hAnsi="Calibri" w:cs="Calibri"/>
        </w:rPr>
        <w:t>Kumar, A. &amp; Brooks, S. (2021) ‘Bridges, platforms and satellites: Theorizing the power of global philanthropy in international development’, Economy and Society, 50 (2) pp. 322–345.</w:t>
      </w:r>
    </w:p>
    <w:p w14:paraId="5BE8CAC0" w14:textId="77777777" w:rsidR="002D3E9E" w:rsidRPr="002D3E9E" w:rsidRDefault="002D3E9E" w:rsidP="002D3E9E">
      <w:pPr>
        <w:pStyle w:val="Normal0"/>
        <w:ind w:left="360" w:hanging="360"/>
        <w:rPr>
          <w:rFonts w:ascii="Calibri" w:eastAsia="Calibri" w:hAnsi="Calibri" w:cs="Calibri"/>
        </w:rPr>
      </w:pPr>
      <w:r w:rsidRPr="002D3E9E">
        <w:rPr>
          <w:rFonts w:ascii="Calibri" w:eastAsia="Calibri" w:hAnsi="Calibri" w:cs="Calibri"/>
        </w:rPr>
        <w:t>Kumar, R. (2019) The Business of Changing the World: How Billionaires, Tech Disrupters, and Social Entrepreneurs are Transforming the Global Aid Industry. Boston, MA: Beacon Press.</w:t>
      </w:r>
    </w:p>
    <w:p w14:paraId="0CB716CC" w14:textId="77777777" w:rsidR="002D3E9E" w:rsidRPr="002D3E9E" w:rsidRDefault="002D3E9E" w:rsidP="002D3E9E">
      <w:pPr>
        <w:pStyle w:val="Normal0"/>
        <w:ind w:left="360" w:hanging="360"/>
        <w:rPr>
          <w:rFonts w:ascii="Calibri" w:eastAsia="Calibri" w:hAnsi="Calibri" w:cs="Calibri"/>
        </w:rPr>
      </w:pPr>
      <w:r w:rsidRPr="002D3E9E">
        <w:rPr>
          <w:rFonts w:ascii="Calibri" w:eastAsia="Calibri" w:hAnsi="Calibri" w:cs="Calibri"/>
        </w:rPr>
        <w:t>Liu, X. (2018) ‘Interviewing Elites: Methodological Issues Confronting a Novice’, International Journal of Qualitative Methods, 17 (1) pp. 1–9.</w:t>
      </w:r>
    </w:p>
    <w:p w14:paraId="66F24AED" w14:textId="77777777" w:rsidR="002D3E9E" w:rsidRPr="002D3E9E" w:rsidRDefault="002D3E9E" w:rsidP="002D3E9E">
      <w:pPr>
        <w:pStyle w:val="Normal0"/>
        <w:ind w:left="360" w:hanging="360"/>
        <w:rPr>
          <w:rFonts w:ascii="Calibri" w:eastAsia="Calibri" w:hAnsi="Calibri" w:cs="Calibri"/>
        </w:rPr>
      </w:pPr>
      <w:r w:rsidRPr="002D3E9E">
        <w:rPr>
          <w:rFonts w:ascii="Calibri" w:eastAsia="Calibri" w:hAnsi="Calibri" w:cs="Calibri"/>
        </w:rPr>
        <w:t>MacAskill, W. (2015) Doing Good Better: How Effective Altruism Can Help You Make a Difference. London: Faber &amp; Faber</w:t>
      </w:r>
    </w:p>
    <w:p w14:paraId="7831567D" w14:textId="77777777" w:rsidR="002D3E9E" w:rsidRPr="002D3E9E" w:rsidRDefault="002D3E9E" w:rsidP="002D3E9E">
      <w:pPr>
        <w:pStyle w:val="Normal0"/>
        <w:ind w:left="360" w:hanging="360"/>
        <w:rPr>
          <w:rFonts w:ascii="Calibri" w:eastAsia="Calibri" w:hAnsi="Calibri" w:cs="Calibri"/>
        </w:rPr>
      </w:pPr>
      <w:r w:rsidRPr="002D3E9E">
        <w:rPr>
          <w:rFonts w:ascii="Calibri" w:eastAsia="Calibri" w:hAnsi="Calibri" w:cs="Calibri"/>
        </w:rPr>
        <w:t>Mathison, S. (2018) ‘Does evaluation contribute to the public good?’, Evaluation, 24 (1) pp. 113–119.</w:t>
      </w:r>
    </w:p>
    <w:p w14:paraId="17CFE4EF" w14:textId="77777777" w:rsidR="002D3E9E" w:rsidRPr="002D3E9E" w:rsidRDefault="002D3E9E" w:rsidP="002D3E9E">
      <w:pPr>
        <w:pStyle w:val="Normal0"/>
        <w:ind w:left="360" w:hanging="360"/>
        <w:rPr>
          <w:rFonts w:ascii="Calibri" w:eastAsia="Calibri" w:hAnsi="Calibri" w:cs="Calibri"/>
        </w:rPr>
      </w:pPr>
      <w:r w:rsidRPr="002D3E9E">
        <w:rPr>
          <w:rFonts w:ascii="Calibri" w:eastAsia="Calibri" w:hAnsi="Calibri" w:cs="Calibri"/>
        </w:rPr>
        <w:t>McGoey, L. (2015) No Such Thing as a Free Gift: The Gates Foundation and the Price of Philanthropy. London: Verso.</w:t>
      </w:r>
    </w:p>
    <w:p w14:paraId="1D8E717A" w14:textId="77777777" w:rsidR="002D3E9E" w:rsidRPr="002D3E9E" w:rsidRDefault="002D3E9E" w:rsidP="002D3E9E">
      <w:pPr>
        <w:pStyle w:val="Normal0"/>
        <w:ind w:left="360" w:hanging="360"/>
        <w:rPr>
          <w:rFonts w:ascii="Calibri" w:eastAsia="Calibri" w:hAnsi="Calibri" w:cs="Calibri"/>
        </w:rPr>
      </w:pPr>
      <w:r w:rsidRPr="002D3E9E">
        <w:rPr>
          <w:rFonts w:ascii="Calibri" w:eastAsia="Calibri" w:hAnsi="Calibri" w:cs="Calibri"/>
        </w:rPr>
        <w:t>Nicholls, A., Nicholls, J. &amp; Paton, R. (2015) ‘Measuring social impact’, in Nicholls, A., Paton, R., and Emerson, J. (eds) Social Finance. Oxford: Oxford University Press, pp. 253–281.</w:t>
      </w:r>
    </w:p>
    <w:p w14:paraId="7CA42830" w14:textId="77777777" w:rsidR="002D3E9E" w:rsidRPr="002D3E9E" w:rsidRDefault="002D3E9E" w:rsidP="002D3E9E">
      <w:pPr>
        <w:pStyle w:val="Normal0"/>
        <w:ind w:left="360" w:hanging="360"/>
        <w:rPr>
          <w:rFonts w:ascii="Calibri" w:eastAsia="Calibri" w:hAnsi="Calibri" w:cs="Calibri"/>
        </w:rPr>
      </w:pPr>
      <w:r w:rsidRPr="002D3E9E">
        <w:rPr>
          <w:rFonts w:ascii="Calibri" w:eastAsia="Calibri" w:hAnsi="Calibri" w:cs="Calibri"/>
        </w:rPr>
        <w:t>Nicholls, A. (2010) ‘The Institutionalization of Social Investment: The Interplay of Investment Logics and Investor Rationalities’, Journal of Social Entrepreneurship, 1 (1) pp. 70–100.</w:t>
      </w:r>
    </w:p>
    <w:p w14:paraId="40A6B598" w14:textId="77777777" w:rsidR="002D3E9E" w:rsidRPr="002D3E9E" w:rsidRDefault="002D3E9E" w:rsidP="002D3E9E">
      <w:pPr>
        <w:pStyle w:val="Normal0"/>
        <w:ind w:left="360" w:hanging="360"/>
        <w:rPr>
          <w:rFonts w:ascii="Calibri" w:eastAsia="Calibri" w:hAnsi="Calibri" w:cs="Calibri"/>
        </w:rPr>
      </w:pPr>
      <w:r w:rsidRPr="002D3E9E">
        <w:rPr>
          <w:rFonts w:ascii="Calibri" w:eastAsia="Calibri" w:hAnsi="Calibri" w:cs="Calibri"/>
        </w:rPr>
        <w:t>Nicholls, A. &amp; Patton, A. (2015) ‘Projection, valuation, and pricing in social finance’, in Nicholls, A., Paton, R., and Emerson, J. (eds) Social Finance. Oxford: Oxford University Press, pp. 311–334.</w:t>
      </w:r>
    </w:p>
    <w:p w14:paraId="5691614F" w14:textId="77777777" w:rsidR="002D3E9E" w:rsidRPr="002D3E9E" w:rsidRDefault="002D3E9E" w:rsidP="002D3E9E">
      <w:pPr>
        <w:pStyle w:val="Normal0"/>
        <w:ind w:left="360" w:hanging="360"/>
        <w:rPr>
          <w:rFonts w:ascii="Calibri" w:eastAsia="Calibri" w:hAnsi="Calibri" w:cs="Calibri"/>
        </w:rPr>
      </w:pPr>
      <w:proofErr w:type="spellStart"/>
      <w:r w:rsidRPr="002D3E9E">
        <w:rPr>
          <w:rFonts w:ascii="Calibri" w:eastAsia="Calibri" w:hAnsi="Calibri" w:cs="Calibri"/>
        </w:rPr>
        <w:t>Odendahl</w:t>
      </w:r>
      <w:proofErr w:type="spellEnd"/>
      <w:r w:rsidRPr="002D3E9E">
        <w:rPr>
          <w:rFonts w:ascii="Calibri" w:eastAsia="Calibri" w:hAnsi="Calibri" w:cs="Calibri"/>
        </w:rPr>
        <w:t xml:space="preserve">, T. &amp; Shaw, A. M. (2001) ‘Interviewing Elites’, in </w:t>
      </w:r>
      <w:proofErr w:type="spellStart"/>
      <w:r w:rsidRPr="002D3E9E">
        <w:rPr>
          <w:rFonts w:ascii="Calibri" w:eastAsia="Calibri" w:hAnsi="Calibri" w:cs="Calibri"/>
        </w:rPr>
        <w:t>Gubrium</w:t>
      </w:r>
      <w:proofErr w:type="spellEnd"/>
      <w:r w:rsidRPr="002D3E9E">
        <w:rPr>
          <w:rFonts w:ascii="Calibri" w:eastAsia="Calibri" w:hAnsi="Calibri" w:cs="Calibri"/>
        </w:rPr>
        <w:t>, J. F. and Holstein, J. A. (eds) Handbook of Interview Research. London: Sage Publications, pp. 299–316.</w:t>
      </w:r>
    </w:p>
    <w:p w14:paraId="224EEC6B" w14:textId="77777777" w:rsidR="002D3E9E" w:rsidRPr="002D3E9E" w:rsidRDefault="002D3E9E" w:rsidP="002D3E9E">
      <w:pPr>
        <w:pStyle w:val="Normal0"/>
        <w:ind w:left="360" w:hanging="360"/>
        <w:rPr>
          <w:rFonts w:ascii="Calibri" w:eastAsia="Calibri" w:hAnsi="Calibri" w:cs="Calibri"/>
        </w:rPr>
      </w:pPr>
      <w:r w:rsidRPr="002D3E9E">
        <w:rPr>
          <w:rFonts w:ascii="Calibri" w:eastAsia="Calibri" w:hAnsi="Calibri" w:cs="Calibri"/>
        </w:rPr>
        <w:t>ONS (2021) Average household income, UK: financial year ending 2020, Office for National Statistics. London: Office for National Statistics.</w:t>
      </w:r>
    </w:p>
    <w:p w14:paraId="48D07ABF" w14:textId="77777777" w:rsidR="002D3E9E" w:rsidRPr="002D3E9E" w:rsidRDefault="002D3E9E" w:rsidP="002D3E9E">
      <w:pPr>
        <w:pStyle w:val="Normal0"/>
        <w:ind w:left="360" w:hanging="360"/>
        <w:rPr>
          <w:rFonts w:ascii="Calibri" w:eastAsia="Calibri" w:hAnsi="Calibri" w:cs="Calibri"/>
        </w:rPr>
      </w:pPr>
      <w:r w:rsidRPr="002D3E9E">
        <w:rPr>
          <w:rFonts w:ascii="Calibri" w:eastAsia="Calibri" w:hAnsi="Calibri" w:cs="Calibri"/>
        </w:rPr>
        <w:t>Ostrander, S. A. (2007) ‘The growth of donor control: Revisiting the social relations of philanthropy’, Nonprofit and Voluntary Sector Quarterly, 36 (2) pp. 356–372.</w:t>
      </w:r>
    </w:p>
    <w:p w14:paraId="0101BBDF" w14:textId="77777777" w:rsidR="002D3E9E" w:rsidRPr="002D3E9E" w:rsidRDefault="002D3E9E" w:rsidP="002D3E9E">
      <w:pPr>
        <w:pStyle w:val="Normal0"/>
        <w:ind w:left="360" w:hanging="360"/>
        <w:rPr>
          <w:rFonts w:ascii="Calibri" w:eastAsia="Calibri" w:hAnsi="Calibri" w:cs="Calibri"/>
        </w:rPr>
      </w:pPr>
      <w:r w:rsidRPr="002D3E9E">
        <w:rPr>
          <w:rFonts w:ascii="Calibri" w:eastAsia="Calibri" w:hAnsi="Calibri" w:cs="Calibri"/>
        </w:rPr>
        <w:t>Phillips, S. D. &amp; Jung, T. (2016) ‘Concluding thoughts: The “Ubers” of philanthropy and future disruptions’, in Jung, T., Phillips, S. D., and Harrow, J. (eds) The Routledge Companion to Philanthropy. Oxon: Routledge, pp. 510–519.</w:t>
      </w:r>
    </w:p>
    <w:p w14:paraId="3A90FC41" w14:textId="77777777" w:rsidR="002D3E9E" w:rsidRPr="002D3E9E" w:rsidRDefault="002D3E9E" w:rsidP="002D3E9E">
      <w:pPr>
        <w:pStyle w:val="Normal0"/>
        <w:ind w:left="360" w:hanging="360"/>
        <w:rPr>
          <w:rFonts w:ascii="Calibri" w:eastAsia="Calibri" w:hAnsi="Calibri" w:cs="Calibri"/>
        </w:rPr>
      </w:pPr>
      <w:r w:rsidRPr="002D3E9E">
        <w:rPr>
          <w:rFonts w:ascii="Calibri" w:eastAsia="Calibri" w:hAnsi="Calibri" w:cs="Calibri"/>
        </w:rPr>
        <w:t>Power, M. (1994) The Audit Explosion. London: DEMOS.</w:t>
      </w:r>
    </w:p>
    <w:p w14:paraId="672A23D3" w14:textId="77777777" w:rsidR="002D3E9E" w:rsidRPr="002D3E9E" w:rsidRDefault="002D3E9E" w:rsidP="002D3E9E">
      <w:pPr>
        <w:pStyle w:val="Normal0"/>
        <w:ind w:left="360" w:hanging="360"/>
        <w:rPr>
          <w:rFonts w:ascii="Calibri" w:eastAsia="Calibri" w:hAnsi="Calibri" w:cs="Calibri"/>
        </w:rPr>
      </w:pPr>
      <w:r w:rsidRPr="002D3E9E">
        <w:rPr>
          <w:rFonts w:ascii="Calibri" w:eastAsia="Calibri" w:hAnsi="Calibri" w:cs="Calibri"/>
        </w:rPr>
        <w:t xml:space="preserve">Prewitt, K., Dogan, M., </w:t>
      </w:r>
      <w:proofErr w:type="spellStart"/>
      <w:r w:rsidRPr="002D3E9E">
        <w:rPr>
          <w:rFonts w:ascii="Calibri" w:eastAsia="Calibri" w:hAnsi="Calibri" w:cs="Calibri"/>
        </w:rPr>
        <w:t>Heydemann</w:t>
      </w:r>
      <w:proofErr w:type="spellEnd"/>
      <w:r w:rsidRPr="002D3E9E">
        <w:rPr>
          <w:rFonts w:ascii="Calibri" w:eastAsia="Calibri" w:hAnsi="Calibri" w:cs="Calibri"/>
        </w:rPr>
        <w:t xml:space="preserve">, S., Toepler, S. 2006 </w:t>
      </w:r>
      <w:r w:rsidRPr="002D3E9E">
        <w:rPr>
          <w:rFonts w:ascii="Calibri" w:eastAsia="Calibri" w:hAnsi="Calibri" w:cs="Calibri"/>
          <w:i/>
          <w:iCs/>
        </w:rPr>
        <w:t>Legitimacy of Philanthropy Foundations: United States and European Perspectives</w:t>
      </w:r>
      <w:r w:rsidRPr="002D3E9E">
        <w:rPr>
          <w:rFonts w:ascii="Calibri" w:eastAsia="Calibri" w:hAnsi="Calibri" w:cs="Calibri"/>
        </w:rPr>
        <w:t>, Russell Sage Foundation.</w:t>
      </w:r>
    </w:p>
    <w:p w14:paraId="56AD55A1" w14:textId="77777777" w:rsidR="002D3E9E" w:rsidRPr="002D3E9E" w:rsidRDefault="002D3E9E" w:rsidP="002D3E9E">
      <w:pPr>
        <w:pStyle w:val="Normal0"/>
        <w:ind w:left="360" w:hanging="360"/>
        <w:rPr>
          <w:rFonts w:ascii="Calibri" w:eastAsia="Calibri" w:hAnsi="Calibri" w:cs="Calibri"/>
        </w:rPr>
      </w:pPr>
      <w:r w:rsidRPr="002D3E9E">
        <w:rPr>
          <w:rFonts w:ascii="Calibri" w:eastAsia="Calibri" w:hAnsi="Calibri" w:cs="Calibri"/>
        </w:rPr>
        <w:t xml:space="preserve">Reich, R. 2018 </w:t>
      </w:r>
      <w:r w:rsidRPr="002D3E9E">
        <w:rPr>
          <w:rFonts w:ascii="Calibri" w:eastAsia="Calibri" w:hAnsi="Calibri" w:cs="Calibri"/>
          <w:i/>
          <w:iCs/>
        </w:rPr>
        <w:t>Just Giving: Why Philanthropy is Failing Democracy and How It Can Do Better,</w:t>
      </w:r>
      <w:r w:rsidRPr="002D3E9E">
        <w:rPr>
          <w:rFonts w:ascii="Calibri" w:eastAsia="Calibri" w:hAnsi="Calibri" w:cs="Calibri"/>
        </w:rPr>
        <w:t xml:space="preserve"> Princeton: Princeton University Press.</w:t>
      </w:r>
    </w:p>
    <w:p w14:paraId="52BAE49E" w14:textId="77777777" w:rsidR="002D3E9E" w:rsidRPr="002D3E9E" w:rsidRDefault="002D3E9E" w:rsidP="002D3E9E">
      <w:pPr>
        <w:pStyle w:val="Normal0"/>
        <w:ind w:left="360" w:hanging="360"/>
        <w:rPr>
          <w:rFonts w:ascii="Calibri" w:eastAsia="Calibri" w:hAnsi="Calibri" w:cs="Calibri"/>
        </w:rPr>
      </w:pPr>
      <w:r w:rsidRPr="002D3E9E">
        <w:rPr>
          <w:rFonts w:ascii="Calibri" w:eastAsia="Calibri" w:hAnsi="Calibri" w:cs="Calibri"/>
        </w:rPr>
        <w:t>Rogers, R. (2011) ‘Why Philanthro-Policymaking Matters’, Society, 48 (5) pp. 376–381.</w:t>
      </w:r>
    </w:p>
    <w:p w14:paraId="66E16726" w14:textId="77777777" w:rsidR="002D3E9E" w:rsidRPr="002D3E9E" w:rsidRDefault="002D3E9E" w:rsidP="002D3E9E">
      <w:pPr>
        <w:pStyle w:val="Normal0"/>
        <w:ind w:left="360" w:hanging="360"/>
        <w:rPr>
          <w:rFonts w:ascii="Calibri" w:eastAsia="Calibri" w:hAnsi="Calibri" w:cs="Calibri"/>
        </w:rPr>
      </w:pPr>
      <w:r w:rsidRPr="002D3E9E">
        <w:rPr>
          <w:rFonts w:ascii="Calibri" w:eastAsia="Calibri" w:hAnsi="Calibri" w:cs="Calibri"/>
        </w:rPr>
        <w:t xml:space="preserve">Saldana, J. (2021) The Coding Manual for Qualitative Researchers. 2nd </w:t>
      </w:r>
      <w:proofErr w:type="spellStart"/>
      <w:r w:rsidRPr="002D3E9E">
        <w:rPr>
          <w:rFonts w:ascii="Calibri" w:eastAsia="Calibri" w:hAnsi="Calibri" w:cs="Calibri"/>
        </w:rPr>
        <w:t>edn</w:t>
      </w:r>
      <w:proofErr w:type="spellEnd"/>
      <w:r w:rsidRPr="002D3E9E">
        <w:rPr>
          <w:rFonts w:ascii="Calibri" w:eastAsia="Calibri" w:hAnsi="Calibri" w:cs="Calibri"/>
        </w:rPr>
        <w:t>. London: SAGE Publications.</w:t>
      </w:r>
    </w:p>
    <w:p w14:paraId="703F1044" w14:textId="77777777" w:rsidR="002D3E9E" w:rsidRPr="002D3E9E" w:rsidRDefault="002D3E9E" w:rsidP="002D3E9E">
      <w:pPr>
        <w:pStyle w:val="Normal0"/>
        <w:ind w:left="360" w:hanging="360"/>
        <w:rPr>
          <w:rFonts w:ascii="Calibri" w:eastAsia="Calibri" w:hAnsi="Calibri" w:cs="Calibri"/>
        </w:rPr>
      </w:pPr>
      <w:r w:rsidRPr="002D3E9E">
        <w:rPr>
          <w:rFonts w:ascii="Calibri" w:eastAsia="Calibri" w:hAnsi="Calibri" w:cs="Calibri"/>
        </w:rPr>
        <w:t xml:space="preserve">Saunders, B., Sim, J., Kingstone, T., Baker, S., Waterfield, J., Bartlam, B., Burroughs, H. &amp; Jinks, C. (2018) </w:t>
      </w:r>
      <w:r w:rsidRPr="002D3E9E">
        <w:rPr>
          <w:rFonts w:ascii="Calibri" w:eastAsia="Calibri" w:hAnsi="Calibri" w:cs="Calibri"/>
        </w:rPr>
        <w:lastRenderedPageBreak/>
        <w:t>‘Saturation in qualitative research: exploring its conceptualization and operationalization’, Quality and Quantity, 52 (4) pp. 1893–1907.</w:t>
      </w:r>
    </w:p>
    <w:p w14:paraId="3E5FFD62" w14:textId="77777777" w:rsidR="002D3E9E" w:rsidRPr="002D3E9E" w:rsidRDefault="002D3E9E" w:rsidP="002D3E9E">
      <w:pPr>
        <w:pStyle w:val="Normal0"/>
        <w:ind w:left="360" w:hanging="360"/>
        <w:rPr>
          <w:rFonts w:ascii="Calibri" w:eastAsia="Calibri" w:hAnsi="Calibri" w:cs="Calibri"/>
        </w:rPr>
      </w:pPr>
      <w:r w:rsidRPr="002D3E9E">
        <w:rPr>
          <w:rFonts w:ascii="Calibri" w:eastAsia="Calibri" w:hAnsi="Calibri" w:cs="Calibri"/>
        </w:rPr>
        <w:t xml:space="preserve">Simon, L. (2016) If Philanthropy Won’t Take Risks, Who </w:t>
      </w:r>
      <w:proofErr w:type="gramStart"/>
      <w:r w:rsidRPr="002D3E9E">
        <w:rPr>
          <w:rFonts w:ascii="Calibri" w:eastAsia="Calibri" w:hAnsi="Calibri" w:cs="Calibri"/>
        </w:rPr>
        <w:t>Will?,</w:t>
      </w:r>
      <w:proofErr w:type="gramEnd"/>
      <w:r w:rsidRPr="002D3E9E">
        <w:rPr>
          <w:rFonts w:ascii="Calibri" w:eastAsia="Calibri" w:hAnsi="Calibri" w:cs="Calibri"/>
        </w:rPr>
        <w:t xml:space="preserve"> Philanthropy News Digest. [Online] Available at: https://philanthropynewsdigest.org/commentary-and-opinion/ifphilanthropy-won-t-take-risks-who-will (Accessed: 01/03/2021).</w:t>
      </w:r>
    </w:p>
    <w:p w14:paraId="03887C09" w14:textId="77777777" w:rsidR="002D3E9E" w:rsidRPr="002D3E9E" w:rsidRDefault="002D3E9E" w:rsidP="002D3E9E">
      <w:pPr>
        <w:pStyle w:val="Normal0"/>
        <w:ind w:left="360" w:hanging="360"/>
        <w:rPr>
          <w:rFonts w:ascii="Calibri" w:eastAsia="Calibri" w:hAnsi="Calibri" w:cs="Calibri"/>
        </w:rPr>
      </w:pPr>
      <w:r w:rsidRPr="002D3E9E">
        <w:rPr>
          <w:rFonts w:ascii="Calibri" w:eastAsia="Calibri" w:hAnsi="Calibri" w:cs="Calibri"/>
        </w:rPr>
        <w:t>Tierney, T. J. &amp; Fleishman, J. L. (2011) Give Smart: Philanthropy That Gets Results. New York, NY: Public Affairs.</w:t>
      </w:r>
    </w:p>
    <w:p w14:paraId="260B1A2C" w14:textId="77777777" w:rsidR="002D3E9E" w:rsidRPr="002D3E9E" w:rsidRDefault="002D3E9E" w:rsidP="002D3E9E">
      <w:pPr>
        <w:pStyle w:val="Normal0"/>
        <w:ind w:left="360" w:hanging="360"/>
        <w:rPr>
          <w:rFonts w:ascii="Calibri" w:eastAsia="Calibri" w:hAnsi="Calibri" w:cs="Calibri"/>
        </w:rPr>
      </w:pPr>
      <w:r w:rsidRPr="002D3E9E">
        <w:rPr>
          <w:rFonts w:ascii="Calibri" w:eastAsia="Calibri" w:hAnsi="Calibri" w:cs="Calibri"/>
        </w:rPr>
        <w:t>Walker, J. &amp; Sarkodie, G. (2019) ‘Adult education as corporate social responsibility in Canadian mining companies: performing the good citizen for greater self-regulation’, Compare, 49 (2) pp. 298–317.</w:t>
      </w:r>
    </w:p>
    <w:p w14:paraId="2300055E" w14:textId="12F7C69B" w:rsidR="35C40F7D" w:rsidRDefault="002D3E9E" w:rsidP="002D3E9E">
      <w:pPr>
        <w:pStyle w:val="Normal0"/>
        <w:ind w:left="360" w:hanging="360"/>
        <w:rPr>
          <w:rFonts w:ascii="Calibri" w:eastAsia="Calibri" w:hAnsi="Calibri" w:cs="Calibri"/>
        </w:rPr>
      </w:pPr>
      <w:r w:rsidRPr="002D3E9E">
        <w:rPr>
          <w:rFonts w:ascii="Calibri" w:eastAsia="Calibri" w:hAnsi="Calibri" w:cs="Calibri"/>
        </w:rPr>
        <w:t xml:space="preserve">Worth, M. J., Pandey, S., Pandey, S. K. &amp; </w:t>
      </w:r>
      <w:proofErr w:type="spellStart"/>
      <w:r w:rsidRPr="002D3E9E">
        <w:rPr>
          <w:rFonts w:ascii="Calibri" w:eastAsia="Calibri" w:hAnsi="Calibri" w:cs="Calibri"/>
        </w:rPr>
        <w:t>Qadummi</w:t>
      </w:r>
      <w:proofErr w:type="spellEnd"/>
      <w:r w:rsidRPr="002D3E9E">
        <w:rPr>
          <w:rFonts w:ascii="Calibri" w:eastAsia="Calibri" w:hAnsi="Calibri" w:cs="Calibri"/>
        </w:rPr>
        <w:t>, S. (2020) ‘Understanding Motivations of Mega-Gift Donors to Higher Education: A Qualitative Study’, Public Administration Review, 80 (2) pp. 281–293.</w:t>
      </w:r>
    </w:p>
    <w:p w14:paraId="1C7713DB" w14:textId="77777777" w:rsidR="002D3E9E" w:rsidRDefault="002D3E9E" w:rsidP="002D3E9E">
      <w:pPr>
        <w:pStyle w:val="Normal0"/>
        <w:ind w:left="360" w:hanging="360"/>
        <w:rPr>
          <w:rFonts w:ascii="Calibri" w:eastAsia="Calibri" w:hAnsi="Calibri" w:cs="Calibri"/>
        </w:rPr>
      </w:pPr>
    </w:p>
    <w:p w14:paraId="4D02BC02" w14:textId="199AD856" w:rsidR="6FF1A3C2" w:rsidRDefault="6FF1A3C2" w:rsidP="00B9481C">
      <w:pPr>
        <w:widowControl/>
        <w:ind w:left="360" w:hanging="360"/>
        <w:jc w:val="both"/>
        <w:rPr>
          <w:rFonts w:ascii="Calibri" w:eastAsia="Calibri" w:hAnsi="Calibri" w:cs="Calibri"/>
          <w:color w:val="000000" w:themeColor="text1"/>
        </w:rPr>
      </w:pPr>
    </w:p>
    <w:sectPr w:rsidR="6FF1A3C2" w:rsidSect="00B9481C">
      <w:pgSz w:w="10773" w:h="14742"/>
      <w:pgMar w:top="754" w:right="1191" w:bottom="2126" w:left="737" w:header="510" w:footer="9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4B56C" w14:textId="77777777" w:rsidR="00A324F0" w:rsidRDefault="00A324F0">
      <w:r>
        <w:separator/>
      </w:r>
    </w:p>
  </w:endnote>
  <w:endnote w:type="continuationSeparator" w:id="0">
    <w:p w14:paraId="62A45608" w14:textId="77777777" w:rsidR="00A324F0" w:rsidRDefault="00A3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77777777" w:rsidR="004C4CF5" w:rsidRDefault="004C4CF5">
    <w:pPr>
      <w:pStyle w:val="Normal0"/>
      <w:widowControl/>
      <w:pBdr>
        <w:top w:val="nil"/>
        <w:left w:val="nil"/>
        <w:bottom w:val="nil"/>
        <w:right w:val="nil"/>
        <w:between w:val="nil"/>
      </w:pBdr>
      <w:tabs>
        <w:tab w:val="right" w:pos="10080"/>
      </w:tabs>
      <w:spacing w:after="240"/>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4C4CF5" w:rsidRDefault="004C4CF5">
    <w:pPr>
      <w:pStyle w:val="Normal0"/>
      <w:widowControl/>
      <w:pBdr>
        <w:top w:val="nil"/>
        <w:left w:val="nil"/>
        <w:bottom w:val="nil"/>
        <w:right w:val="nil"/>
        <w:between w:val="nil"/>
      </w:pBdr>
      <w:tabs>
        <w:tab w:val="right" w:pos="10080"/>
      </w:tabs>
      <w:spacing w:after="240"/>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4" w14:textId="77777777" w:rsidR="004C4CF5" w:rsidRDefault="004C4CF5">
    <w:pPr>
      <w:pStyle w:val="Normal0"/>
      <w:widowControl/>
      <w:pBdr>
        <w:top w:val="nil"/>
        <w:left w:val="nil"/>
        <w:bottom w:val="nil"/>
        <w:right w:val="nil"/>
        <w:between w:val="nil"/>
      </w:pBdr>
      <w:tabs>
        <w:tab w:val="right" w:pos="10080"/>
      </w:tabs>
      <w:spacing w:after="240"/>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D372C" w14:textId="77777777" w:rsidR="00A324F0" w:rsidRDefault="00A324F0">
      <w:pPr>
        <w:pStyle w:val="Normal0"/>
      </w:pPr>
      <w:r>
        <w:separator/>
      </w:r>
    </w:p>
  </w:footnote>
  <w:footnote w:type="continuationSeparator" w:id="0">
    <w:p w14:paraId="3081026D" w14:textId="77777777" w:rsidR="00A324F0" w:rsidRDefault="00A324F0">
      <w:pPr>
        <w:pStyle w:val="Normal0"/>
      </w:pPr>
      <w:r>
        <w:continuationSeparator/>
      </w:r>
    </w:p>
  </w:footnote>
  <w:footnote w:id="1">
    <w:p w14:paraId="029A3098" w14:textId="1931378E" w:rsidR="6FF1A3C2" w:rsidRDefault="6FF1A3C2" w:rsidP="6FF1A3C2">
      <w:pPr>
        <w:pStyle w:val="FootnoteText"/>
      </w:pPr>
      <w:r w:rsidRPr="6FF1A3C2">
        <w:rPr>
          <w:rStyle w:val="FootnoteReference"/>
        </w:rPr>
        <w:footnoteRef/>
      </w:r>
      <w:r>
        <w:t xml:space="preserve"> </w:t>
      </w:r>
      <w:r w:rsidRPr="6FF1A3C2">
        <w:rPr>
          <w:rFonts w:ascii="Calibri" w:eastAsia="Calibri" w:hAnsi="Calibri" w:cs="Calibri"/>
          <w:color w:val="000000" w:themeColor="text1"/>
        </w:rPr>
        <w:t>The FCA is the UK’s independent financial regulator.</w:t>
      </w:r>
    </w:p>
  </w:footnote>
  <w:footnote w:id="2">
    <w:p w14:paraId="41BC63DB" w14:textId="77777777" w:rsidR="00B9481C" w:rsidRPr="00B9481C" w:rsidRDefault="00B9481C" w:rsidP="00B9481C">
      <w:pPr>
        <w:pStyle w:val="FootnoteText"/>
        <w:rPr>
          <w:rFonts w:asciiTheme="minorHAnsi" w:hAnsiTheme="minorHAnsi" w:cstheme="minorHAnsi"/>
        </w:rPr>
      </w:pPr>
      <w:r w:rsidRPr="00B9481C">
        <w:rPr>
          <w:rStyle w:val="FootnoteReference"/>
          <w:rFonts w:asciiTheme="minorHAnsi" w:hAnsiTheme="minorHAnsi" w:cstheme="minorHAnsi"/>
        </w:rPr>
        <w:footnoteRef/>
      </w:r>
      <w:r w:rsidRPr="00B9481C">
        <w:rPr>
          <w:rFonts w:asciiTheme="minorHAnsi" w:hAnsiTheme="minorHAnsi" w:cstheme="minorHAnsi"/>
        </w:rPr>
        <w:t xml:space="preserve"> I3 left their banking career several years prior and is now a charity Director – a role from which they do not always claim an income.</w:t>
      </w:r>
    </w:p>
  </w:footnote>
  <w:footnote w:id="3">
    <w:p w14:paraId="734FAD1C" w14:textId="77777777" w:rsidR="00B9481C" w:rsidRDefault="00B9481C" w:rsidP="00B9481C">
      <w:pPr>
        <w:pStyle w:val="FootnoteText"/>
      </w:pPr>
      <w:r w:rsidRPr="00B9481C">
        <w:rPr>
          <w:rStyle w:val="FootnoteReference"/>
          <w:rFonts w:asciiTheme="minorHAnsi" w:hAnsiTheme="minorHAnsi" w:cstheme="minorHAnsi"/>
        </w:rPr>
        <w:footnoteRef/>
      </w:r>
      <w:r w:rsidRPr="00B9481C">
        <w:rPr>
          <w:rFonts w:asciiTheme="minorHAnsi" w:hAnsiTheme="minorHAnsi" w:cstheme="minorHAnsi"/>
        </w:rPr>
        <w:t xml:space="preserve"> L5 left their career prior to interview to establish a social enterprise which was yet to launch.</w:t>
      </w:r>
    </w:p>
  </w:footnote>
  <w:footnote w:id="4">
    <w:p w14:paraId="52B1023B" w14:textId="77777777" w:rsidR="00B9481C" w:rsidRPr="00B9481C" w:rsidRDefault="00B9481C" w:rsidP="00B9481C">
      <w:pPr>
        <w:pStyle w:val="FootnoteText"/>
        <w:rPr>
          <w:rFonts w:asciiTheme="minorHAnsi" w:hAnsiTheme="minorHAnsi" w:cstheme="minorHAnsi"/>
        </w:rPr>
      </w:pPr>
      <w:r w:rsidRPr="00B9481C">
        <w:rPr>
          <w:rStyle w:val="FootnoteReference"/>
          <w:rFonts w:asciiTheme="minorHAnsi" w:hAnsiTheme="minorHAnsi" w:cstheme="minorHAnsi"/>
        </w:rPr>
        <w:footnoteRef/>
      </w:r>
      <w:r w:rsidRPr="00B9481C">
        <w:rPr>
          <w:rFonts w:asciiTheme="minorHAnsi" w:hAnsiTheme="minorHAnsi" w:cstheme="minorHAnsi"/>
        </w:rPr>
        <w:t xml:space="preserve"> P1’s wealth was inherited. They do not hold any income-providing job.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F" w14:textId="2C615C99" w:rsidR="004C4CF5" w:rsidRDefault="00000000">
    <w:pPr>
      <w:pStyle w:val="Normal0"/>
      <w:widowControl/>
      <w:pBdr>
        <w:top w:val="nil"/>
        <w:left w:val="nil"/>
        <w:bottom w:val="nil"/>
        <w:right w:val="nil"/>
        <w:between w:val="nil"/>
      </w:pBdr>
      <w:tabs>
        <w:tab w:val="center" w:pos="4706"/>
        <w:tab w:val="right" w:pos="9356"/>
      </w:tabs>
      <w:spacing w:after="240"/>
      <w:rPr>
        <w:i/>
        <w:color w:val="000000"/>
        <w:sz w:val="16"/>
        <w:szCs w:val="16"/>
      </w:rPr>
    </w:pPr>
    <w:r>
      <w:rPr>
        <w:i/>
        <w:color w:val="000000"/>
        <w:sz w:val="16"/>
        <w:szCs w:val="16"/>
      </w:rPr>
      <w:fldChar w:fldCharType="begin"/>
    </w:r>
    <w:r>
      <w:rPr>
        <w:i/>
        <w:color w:val="000000"/>
        <w:sz w:val="16"/>
        <w:szCs w:val="16"/>
      </w:rPr>
      <w:instrText>PAGE</w:instrText>
    </w:r>
    <w:r>
      <w:rPr>
        <w:i/>
        <w:color w:val="000000"/>
        <w:sz w:val="16"/>
        <w:szCs w:val="16"/>
      </w:rPr>
      <w:fldChar w:fldCharType="separate"/>
    </w:r>
    <w:r w:rsidR="00B9481C">
      <w:rPr>
        <w:i/>
        <w:noProof/>
        <w:color w:val="000000"/>
        <w:sz w:val="16"/>
        <w:szCs w:val="16"/>
      </w:rPr>
      <w:t>2</w:t>
    </w:r>
    <w:r>
      <w:rPr>
        <w:i/>
        <w:color w:val="000000"/>
        <w:sz w:val="16"/>
        <w:szCs w:val="16"/>
      </w:rPr>
      <w:fldChar w:fldCharType="end"/>
    </w:r>
  </w:p>
  <w:p w14:paraId="00000030" w14:textId="77777777" w:rsidR="004C4CF5" w:rsidRDefault="004C4CF5">
    <w:pPr>
      <w:pStyle w:val="Normal0"/>
      <w:widowControl/>
      <w:pBdr>
        <w:top w:val="nil"/>
        <w:left w:val="nil"/>
        <w:bottom w:val="nil"/>
        <w:right w:val="nil"/>
        <w:between w:val="nil"/>
      </w:pBdr>
      <w:tabs>
        <w:tab w:val="center" w:pos="4706"/>
        <w:tab w:val="right" w:pos="9356"/>
        <w:tab w:val="center" w:pos="4920"/>
      </w:tabs>
      <w:spacing w:after="240"/>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2E2A2F4D" w:rsidR="004C4CF5" w:rsidRDefault="00000000">
    <w:pPr>
      <w:pStyle w:val="Normal0"/>
      <w:widowControl/>
      <w:pBdr>
        <w:top w:val="nil"/>
        <w:left w:val="nil"/>
        <w:bottom w:val="nil"/>
        <w:right w:val="nil"/>
        <w:between w:val="nil"/>
      </w:pBdr>
      <w:tabs>
        <w:tab w:val="center" w:pos="4706"/>
        <w:tab w:val="right" w:pos="9356"/>
      </w:tabs>
      <w:spacing w:after="240"/>
      <w:rPr>
        <w:i/>
        <w:color w:val="000000"/>
        <w:sz w:val="16"/>
        <w:szCs w:val="16"/>
      </w:rPr>
    </w:pPr>
    <w:r>
      <w:rPr>
        <w:i/>
        <w:color w:val="000000"/>
        <w:sz w:val="16"/>
        <w:szCs w:val="16"/>
      </w:rPr>
      <w:fldChar w:fldCharType="begin"/>
    </w:r>
    <w:r>
      <w:rPr>
        <w:i/>
        <w:color w:val="000000"/>
        <w:sz w:val="16"/>
        <w:szCs w:val="16"/>
      </w:rPr>
      <w:instrText>PAGE</w:instrText>
    </w:r>
    <w:r>
      <w:rPr>
        <w:i/>
        <w:color w:val="000000"/>
        <w:sz w:val="16"/>
        <w:szCs w:val="16"/>
      </w:rPr>
      <w:fldChar w:fldCharType="separate"/>
    </w:r>
    <w:r w:rsidR="00B9481C">
      <w:rPr>
        <w:i/>
        <w:noProof/>
        <w:color w:val="000000"/>
        <w:sz w:val="16"/>
        <w:szCs w:val="16"/>
      </w:rPr>
      <w:t>3</w:t>
    </w:r>
    <w:r>
      <w:rPr>
        <w:i/>
        <w:color w:val="000000"/>
        <w:sz w:val="16"/>
        <w:szCs w:val="16"/>
      </w:rPr>
      <w:fldChar w:fldCharType="end"/>
    </w:r>
  </w:p>
  <w:p w14:paraId="0000002E" w14:textId="77777777" w:rsidR="004C4CF5" w:rsidRDefault="004C4CF5">
    <w:pPr>
      <w:pStyle w:val="Normal0"/>
      <w:widowControl/>
      <w:pBdr>
        <w:top w:val="nil"/>
        <w:left w:val="nil"/>
        <w:bottom w:val="nil"/>
        <w:right w:val="nil"/>
        <w:between w:val="nil"/>
      </w:pBdr>
      <w:tabs>
        <w:tab w:val="center" w:pos="4706"/>
        <w:tab w:val="right" w:pos="9356"/>
        <w:tab w:val="center" w:pos="4920"/>
      </w:tabs>
      <w:spacing w:after="240"/>
      <w:rPr>
        <w:i/>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123D4" w14:textId="77777777" w:rsidR="00310043" w:rsidRDefault="00310043" w:rsidP="00310043">
    <w:pPr>
      <w:pStyle w:val="paragraph"/>
      <w:spacing w:before="0" w:beforeAutospacing="0" w:after="0" w:afterAutospacing="0"/>
      <w:jc w:val="center"/>
      <w:textAlignment w:val="baseline"/>
      <w:rPr>
        <w:rFonts w:ascii="Segoe UI" w:hAnsi="Segoe UI" w:cs="Segoe UI"/>
        <w:sz w:val="18"/>
        <w:szCs w:val="18"/>
      </w:rPr>
    </w:pPr>
    <w:r>
      <w:rPr>
        <w:rStyle w:val="normaltextrun"/>
        <w:rFonts w:ascii="Cambria" w:hAnsi="Cambria" w:cs="Segoe UI"/>
        <w:color w:val="000000"/>
        <w:lang w:val="en-US"/>
      </w:rPr>
      <w:t>European Research Network </w:t>
    </w:r>
    <w:proofErr w:type="gramStart"/>
    <w:r>
      <w:rPr>
        <w:rStyle w:val="normaltextrun"/>
        <w:rFonts w:ascii="Cambria" w:hAnsi="Cambria" w:cs="Segoe UI"/>
        <w:color w:val="000000"/>
        <w:lang w:val="en-US"/>
      </w:rPr>
      <w:t>On</w:t>
    </w:r>
    <w:proofErr w:type="gramEnd"/>
    <w:r>
      <w:rPr>
        <w:rStyle w:val="normaltextrun"/>
        <w:rFonts w:ascii="Cambria" w:hAnsi="Cambria" w:cs="Segoe UI"/>
        <w:color w:val="000000"/>
        <w:lang w:val="en-US"/>
      </w:rPr>
      <w:t> Philanthropy 1</w:t>
    </w:r>
    <w:r>
      <w:rPr>
        <w:rStyle w:val="normaltextrun"/>
        <w:rFonts w:ascii="Cambria" w:hAnsi="Cambria" w:cs="Segoe UI"/>
        <w:lang w:val="en-US"/>
      </w:rPr>
      <w:t>1</w:t>
    </w:r>
    <w:r>
      <w:rPr>
        <w:rStyle w:val="normaltextrun"/>
        <w:rFonts w:ascii="Cambria" w:hAnsi="Cambria" w:cs="Segoe UI"/>
        <w:color w:val="000000"/>
        <w:lang w:val="en-US"/>
      </w:rPr>
      <w:t>th International Conference </w:t>
    </w:r>
    <w:r>
      <w:rPr>
        <w:rStyle w:val="normaltextrun"/>
        <w:rFonts w:ascii="Cambria" w:hAnsi="Cambria" w:cs="Segoe UI"/>
        <w:lang w:val="en-US"/>
      </w:rPr>
      <w:t>Zagreb</w:t>
    </w:r>
    <w:r>
      <w:rPr>
        <w:rStyle w:val="normaltextrun"/>
        <w:rFonts w:ascii="Cambria" w:hAnsi="Cambria" w:cs="Segoe UI"/>
        <w:color w:val="000000"/>
        <w:lang w:val="en-US"/>
      </w:rPr>
      <w:t>, </w:t>
    </w:r>
    <w:r>
      <w:rPr>
        <w:rStyle w:val="normaltextrun"/>
        <w:rFonts w:ascii="Cambria" w:hAnsi="Cambria" w:cs="Segoe UI"/>
        <w:lang w:val="en-US"/>
      </w:rPr>
      <w:t>29-30 June</w:t>
    </w:r>
    <w:r>
      <w:rPr>
        <w:rStyle w:val="normaltextrun"/>
        <w:rFonts w:ascii="Cambria" w:hAnsi="Cambria" w:cs="Segoe UI"/>
        <w:color w:val="000000"/>
        <w:lang w:val="en-US"/>
      </w:rPr>
      <w:t> 202</w:t>
    </w:r>
    <w:r>
      <w:rPr>
        <w:rStyle w:val="normaltextrun"/>
        <w:rFonts w:ascii="Cambria" w:hAnsi="Cambria" w:cs="Segoe UI"/>
        <w:lang w:val="en-US"/>
      </w:rPr>
      <w:t>3</w:t>
    </w:r>
    <w:r>
      <w:rPr>
        <w:rStyle w:val="eop"/>
        <w:rFonts w:ascii="Cambria" w:hAnsi="Cambria" w:cs="Segoe UI"/>
      </w:rPr>
      <w:t> </w:t>
    </w:r>
  </w:p>
  <w:p w14:paraId="37685FAC" w14:textId="77777777" w:rsidR="00310043" w:rsidRDefault="00310043" w:rsidP="00310043">
    <w:pPr>
      <w:pStyle w:val="paragraph"/>
      <w:spacing w:before="0" w:beforeAutospacing="0" w:after="0" w:afterAutospacing="0"/>
      <w:textAlignment w:val="baseline"/>
      <w:rPr>
        <w:rFonts w:ascii="Segoe UI" w:hAnsi="Segoe UI" w:cs="Segoe UI"/>
        <w:sz w:val="18"/>
        <w:szCs w:val="18"/>
      </w:rPr>
    </w:pPr>
    <w:r>
      <w:rPr>
        <w:rStyle w:val="eop"/>
        <w:color w:val="000000"/>
        <w:sz w:val="16"/>
        <w:szCs w:val="16"/>
      </w:rPr>
      <w:t> </w:t>
    </w:r>
  </w:p>
  <w:p w14:paraId="00000032" w14:textId="74C942B5" w:rsidR="004C4CF5" w:rsidRPr="00B9481C" w:rsidRDefault="004C4CF5" w:rsidP="00B9481C">
    <w:pPr>
      <w:pStyle w:val="Normal0"/>
      <w:widowControl/>
      <w:pBdr>
        <w:top w:val="nil"/>
        <w:left w:val="nil"/>
        <w:bottom w:val="nil"/>
        <w:right w:val="nil"/>
        <w:between w:val="single" w:sz="4" w:space="1" w:color="4F81BD"/>
      </w:pBdr>
      <w:tabs>
        <w:tab w:val="center" w:pos="4706"/>
        <w:tab w:val="right" w:pos="9356"/>
      </w:tabs>
      <w:spacing w:after="240" w:line="276" w:lineRule="auto"/>
      <w:rPr>
        <w:rFonts w:ascii="Cambria" w:eastAsia="Cambria" w:hAnsi="Cambria" w:cs="Cambria"/>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8D1D4"/>
    <w:multiLevelType w:val="multilevel"/>
    <w:tmpl w:val="A0E0603C"/>
    <w:lvl w:ilvl="0">
      <w:start w:val="1"/>
      <w:numFmt w:val="upperLetter"/>
      <w:lvlText w:val="Appendix %1. "/>
      <w:lvlJc w:val="left"/>
      <w:pPr>
        <w:ind w:left="0" w:firstLine="0"/>
      </w:pPr>
      <w:rPr>
        <w:b/>
        <w:i w:val="0"/>
      </w:rPr>
    </w:lvl>
    <w:lvl w:ilvl="1">
      <w:start w:val="1"/>
      <w:numFmt w:val="decimal"/>
      <w:lvlText w:val="%1.%2. "/>
      <w:lvlJc w:val="left"/>
      <w:pPr>
        <w:ind w:left="0" w:firstLine="0"/>
      </w:pPr>
      <w:rPr>
        <w:rFonts w:ascii="Times New Roman" w:eastAsia="Times New Roman" w:hAnsi="Times New Roman" w:cs="Times New Roman"/>
        <w:b w:val="0"/>
        <w:i/>
        <w:sz w:val="20"/>
        <w:szCs w:val="20"/>
      </w:rPr>
    </w:lvl>
    <w:lvl w:ilvl="2">
      <w:start w:val="1"/>
      <w:numFmt w:val="decimal"/>
      <w:lvlText w:val=""/>
      <w:lvlJc w:val="left"/>
      <w:pPr>
        <w:ind w:left="0" w:firstLine="0"/>
      </w:pPr>
    </w:lvl>
    <w:lvl w:ilvl="3">
      <w:start w:val="1"/>
      <w:numFmt w:val="decimal"/>
      <w:lvlText w:val=""/>
      <w:lvlJc w:val="righ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1D8F04B7"/>
    <w:multiLevelType w:val="multilevel"/>
    <w:tmpl w:val="1C4E1DFE"/>
    <w:lvl w:ilvl="0">
      <w:start w:val="1"/>
      <w:numFmt w:val="upperLetter"/>
      <w:lvlText w:val="Appendix %1. "/>
      <w:lvlJc w:val="left"/>
      <w:pPr>
        <w:ind w:left="0" w:firstLine="0"/>
      </w:pPr>
      <w:rPr>
        <w:b/>
        <w:i w:val="0"/>
      </w:rPr>
    </w:lvl>
    <w:lvl w:ilvl="1">
      <w:start w:val="1"/>
      <w:numFmt w:val="decimal"/>
      <w:lvlText w:val="%1.%2. "/>
      <w:lvlJc w:val="left"/>
      <w:pPr>
        <w:ind w:left="0" w:firstLine="0"/>
      </w:pPr>
      <w:rPr>
        <w:rFonts w:ascii="Times New Roman" w:eastAsia="Times New Roman" w:hAnsi="Times New Roman" w:cs="Times New Roman"/>
        <w:b w:val="0"/>
        <w:i/>
        <w:sz w:val="20"/>
        <w:szCs w:val="20"/>
      </w:rPr>
    </w:lvl>
    <w:lvl w:ilvl="2">
      <w:start w:val="1"/>
      <w:numFmt w:val="decimal"/>
      <w:lvlText w:val=""/>
      <w:lvlJc w:val="left"/>
      <w:pPr>
        <w:ind w:left="0" w:firstLine="0"/>
      </w:pPr>
    </w:lvl>
    <w:lvl w:ilvl="3">
      <w:start w:val="1"/>
      <w:numFmt w:val="decimal"/>
      <w:lvlText w:val=""/>
      <w:lvlJc w:val="righ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25670D63"/>
    <w:multiLevelType w:val="multilevel"/>
    <w:tmpl w:val="8654C9C4"/>
    <w:lvl w:ilvl="0">
      <w:start w:val="1"/>
      <w:numFmt w:val="decimal"/>
      <w:lvlText w:val="%1."/>
      <w:lvlJc w:val="left"/>
      <w:pPr>
        <w:ind w:left="0" w:firstLine="0"/>
      </w:pPr>
    </w:lvl>
    <w:lvl w:ilvl="1">
      <w:start w:val="1"/>
      <w:numFmt w:val="decimal"/>
      <w:lvlText w:val="4.%2."/>
      <w:lvlJc w:val="left"/>
      <w:pPr>
        <w:ind w:left="360" w:hanging="360"/>
      </w:pPr>
      <w:rPr>
        <w:rFonts w:hint="default"/>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3" w15:restartNumberingAfterBreak="0">
    <w:nsid w:val="2EFDCCD9"/>
    <w:multiLevelType w:val="multilevel"/>
    <w:tmpl w:val="E3946660"/>
    <w:lvl w:ilvl="0">
      <w:start w:val="1"/>
      <w:numFmt w:val="decimal"/>
      <w:lvlText w:val="%1."/>
      <w:lvlJc w:val="left"/>
      <w:pPr>
        <w:ind w:left="0" w:firstLine="0"/>
      </w:pPr>
    </w:lvl>
    <w:lvl w:ilvl="1">
      <w:start w:val="1"/>
      <w:numFmt w:val="decimal"/>
      <w:lvlText w:val="3.%2."/>
      <w:lvlJc w:val="left"/>
      <w:pPr>
        <w:ind w:left="360" w:hanging="360"/>
      </w:pPr>
      <w:rPr>
        <w:rFonts w:hint="default"/>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4" w15:restartNumberingAfterBreak="0">
    <w:nsid w:val="35130B5A"/>
    <w:multiLevelType w:val="multilevel"/>
    <w:tmpl w:val="E9C6FD86"/>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5" w15:restartNumberingAfterBreak="0">
    <w:nsid w:val="42335101"/>
    <w:multiLevelType w:val="multilevel"/>
    <w:tmpl w:val="D15C2B9E"/>
    <w:lvl w:ilvl="0">
      <w:start w:val="1"/>
      <w:numFmt w:val="decimal"/>
      <w:pStyle w:val="Els-1storder-head"/>
      <w:lvlText w:val="%1."/>
      <w:lvlJc w:val="left"/>
      <w:pPr>
        <w:tabs>
          <w:tab w:val="num" w:pos="720"/>
        </w:tabs>
        <w:ind w:left="720" w:hanging="720"/>
      </w:pPr>
    </w:lvl>
    <w:lvl w:ilvl="1">
      <w:start w:val="1"/>
      <w:numFmt w:val="decimal"/>
      <w:pStyle w:val="Els-2ndorder-head"/>
      <w:lvlText w:val="%2."/>
      <w:lvlJc w:val="left"/>
      <w:pPr>
        <w:tabs>
          <w:tab w:val="num" w:pos="1440"/>
        </w:tabs>
        <w:ind w:left="1440" w:hanging="720"/>
      </w:pPr>
    </w:lvl>
    <w:lvl w:ilvl="2">
      <w:start w:val="1"/>
      <w:numFmt w:val="decimal"/>
      <w:pStyle w:val="Els-3rdorder-head"/>
      <w:lvlText w:val="%3."/>
      <w:lvlJc w:val="left"/>
      <w:pPr>
        <w:tabs>
          <w:tab w:val="num" w:pos="2160"/>
        </w:tabs>
        <w:ind w:left="2160" w:hanging="720"/>
      </w:pPr>
    </w:lvl>
    <w:lvl w:ilvl="3">
      <w:start w:val="1"/>
      <w:numFmt w:val="decimal"/>
      <w:pStyle w:val="Els-4thorder-head"/>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80462CC"/>
    <w:multiLevelType w:val="multilevel"/>
    <w:tmpl w:val="9C4A5650"/>
    <w:lvl w:ilvl="0">
      <w:start w:val="1"/>
      <w:numFmt w:val="decimal"/>
      <w:lvlText w:val="%1."/>
      <w:lvlJc w:val="left"/>
      <w:pPr>
        <w:ind w:left="0" w:firstLine="0"/>
      </w:pPr>
    </w:lvl>
    <w:lvl w:ilvl="1">
      <w:start w:val="1"/>
      <w:numFmt w:val="decimal"/>
      <w:lvlText w:val="5.%2."/>
      <w:lvlJc w:val="left"/>
      <w:pPr>
        <w:ind w:left="360" w:hanging="360"/>
      </w:pPr>
      <w:rPr>
        <w:rFonts w:hint="default"/>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num w:numId="1" w16cid:durableId="494227561">
    <w:abstractNumId w:val="4"/>
  </w:num>
  <w:num w:numId="2" w16cid:durableId="397557182">
    <w:abstractNumId w:val="3"/>
  </w:num>
  <w:num w:numId="3" w16cid:durableId="1897623482">
    <w:abstractNumId w:val="0"/>
  </w:num>
  <w:num w:numId="4" w16cid:durableId="548879925">
    <w:abstractNumId w:val="1"/>
  </w:num>
  <w:num w:numId="5" w16cid:durableId="1736508980">
    <w:abstractNumId w:val="5"/>
  </w:num>
  <w:num w:numId="6" w16cid:durableId="6519055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04557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8945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42543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95732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9000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98279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7289424">
    <w:abstractNumId w:val="2"/>
  </w:num>
  <w:num w:numId="14" w16cid:durableId="17194717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929"/>
    <w:rsid w:val="001F7F52"/>
    <w:rsid w:val="002D3E9E"/>
    <w:rsid w:val="00310043"/>
    <w:rsid w:val="004C4CF5"/>
    <w:rsid w:val="008F0929"/>
    <w:rsid w:val="00A324F0"/>
    <w:rsid w:val="00B9481C"/>
    <w:rsid w:val="00C608FB"/>
    <w:rsid w:val="00E44A1C"/>
    <w:rsid w:val="00ED7344"/>
    <w:rsid w:val="01D47229"/>
    <w:rsid w:val="031B9C73"/>
    <w:rsid w:val="0725ADD7"/>
    <w:rsid w:val="08551289"/>
    <w:rsid w:val="09209128"/>
    <w:rsid w:val="0A80641D"/>
    <w:rsid w:val="0CC9648D"/>
    <w:rsid w:val="0D1E1F57"/>
    <w:rsid w:val="0D8B63A6"/>
    <w:rsid w:val="0D94EF5B"/>
    <w:rsid w:val="0DA48C03"/>
    <w:rsid w:val="0E784B5D"/>
    <w:rsid w:val="0E7F2699"/>
    <w:rsid w:val="1129BCE7"/>
    <w:rsid w:val="11C05310"/>
    <w:rsid w:val="1268607E"/>
    <w:rsid w:val="12930020"/>
    <w:rsid w:val="13763821"/>
    <w:rsid w:val="15A00140"/>
    <w:rsid w:val="15EE4CC3"/>
    <w:rsid w:val="163A2DD6"/>
    <w:rsid w:val="1743FB95"/>
    <w:rsid w:val="17B9810E"/>
    <w:rsid w:val="17C5DCF0"/>
    <w:rsid w:val="18053160"/>
    <w:rsid w:val="18FFDA27"/>
    <w:rsid w:val="1A263835"/>
    <w:rsid w:val="1EAF1431"/>
    <w:rsid w:val="1FC7E7BF"/>
    <w:rsid w:val="21CDFD6F"/>
    <w:rsid w:val="2281FF90"/>
    <w:rsid w:val="228E9BC2"/>
    <w:rsid w:val="234F9329"/>
    <w:rsid w:val="2397D08D"/>
    <w:rsid w:val="2499E47B"/>
    <w:rsid w:val="257B37C5"/>
    <w:rsid w:val="26EC1319"/>
    <w:rsid w:val="275A1F5F"/>
    <w:rsid w:val="27A643D0"/>
    <w:rsid w:val="284B044F"/>
    <w:rsid w:val="285F1D29"/>
    <w:rsid w:val="28FDDD46"/>
    <w:rsid w:val="29D90F54"/>
    <w:rsid w:val="2A31AD2A"/>
    <w:rsid w:val="2A99ADA7"/>
    <w:rsid w:val="2CA5D542"/>
    <w:rsid w:val="2CF6756F"/>
    <w:rsid w:val="2EBD23D6"/>
    <w:rsid w:val="302E1631"/>
    <w:rsid w:val="31A84C57"/>
    <w:rsid w:val="31B83D8B"/>
    <w:rsid w:val="31D1D418"/>
    <w:rsid w:val="329CD206"/>
    <w:rsid w:val="32A4BF8C"/>
    <w:rsid w:val="3438A267"/>
    <w:rsid w:val="34408FED"/>
    <w:rsid w:val="35C40F7D"/>
    <w:rsid w:val="36A5453B"/>
    <w:rsid w:val="3727E7A3"/>
    <w:rsid w:val="388D30D7"/>
    <w:rsid w:val="39140110"/>
    <w:rsid w:val="3AAFD171"/>
    <w:rsid w:val="3B214A9C"/>
    <w:rsid w:val="3B827E81"/>
    <w:rsid w:val="3B8CDCEB"/>
    <w:rsid w:val="3C5CDCA9"/>
    <w:rsid w:val="3DDF84AD"/>
    <w:rsid w:val="3DE77233"/>
    <w:rsid w:val="3EC20CC9"/>
    <w:rsid w:val="3EC52798"/>
    <w:rsid w:val="3F668FFC"/>
    <w:rsid w:val="3F9D3ED7"/>
    <w:rsid w:val="404CF417"/>
    <w:rsid w:val="405DDD2A"/>
    <w:rsid w:val="411F12F5"/>
    <w:rsid w:val="420FE4DD"/>
    <w:rsid w:val="4255A5C4"/>
    <w:rsid w:val="42A8A0CD"/>
    <w:rsid w:val="42B2F5D0"/>
    <w:rsid w:val="42C29278"/>
    <w:rsid w:val="444EC631"/>
    <w:rsid w:val="45FA333A"/>
    <w:rsid w:val="479F0375"/>
    <w:rsid w:val="47A08633"/>
    <w:rsid w:val="4868EF0F"/>
    <w:rsid w:val="4A9B8D9E"/>
    <w:rsid w:val="4ABE07B5"/>
    <w:rsid w:val="4BD3B471"/>
    <w:rsid w:val="4C59D816"/>
    <w:rsid w:val="4C5F78C0"/>
    <w:rsid w:val="4C61C59C"/>
    <w:rsid w:val="4D4D9B09"/>
    <w:rsid w:val="4E05451F"/>
    <w:rsid w:val="4ED0430D"/>
    <w:rsid w:val="4F9178D8"/>
    <w:rsid w:val="50371EC9"/>
    <w:rsid w:val="5095CB82"/>
    <w:rsid w:val="513536BF"/>
    <w:rsid w:val="5207E3CF"/>
    <w:rsid w:val="527FC587"/>
    <w:rsid w:val="528043CD"/>
    <w:rsid w:val="56334784"/>
    <w:rsid w:val="579C8ABD"/>
    <w:rsid w:val="57AC2765"/>
    <w:rsid w:val="57CCF57C"/>
    <w:rsid w:val="59362577"/>
    <w:rsid w:val="5947F7C6"/>
    <w:rsid w:val="59CD5391"/>
    <w:rsid w:val="5A22925C"/>
    <w:rsid w:val="5A3BBAB9"/>
    <w:rsid w:val="5AED53DC"/>
    <w:rsid w:val="5BB6B39B"/>
    <w:rsid w:val="5C3A3364"/>
    <w:rsid w:val="5C7F9888"/>
    <w:rsid w:val="5D5A1DCE"/>
    <w:rsid w:val="5E0BCC41"/>
    <w:rsid w:val="5EE666D7"/>
    <w:rsid w:val="60A69ABA"/>
    <w:rsid w:val="62372FF6"/>
    <w:rsid w:val="62DF3D64"/>
    <w:rsid w:val="62E72AEA"/>
    <w:rsid w:val="654B5358"/>
    <w:rsid w:val="65A50A16"/>
    <w:rsid w:val="65FB8022"/>
    <w:rsid w:val="661ECBAC"/>
    <w:rsid w:val="66E723B9"/>
    <w:rsid w:val="693320E4"/>
    <w:rsid w:val="694E7EE8"/>
    <w:rsid w:val="6AEA4F49"/>
    <w:rsid w:val="6B2F5E85"/>
    <w:rsid w:val="6C861FAA"/>
    <w:rsid w:val="6D5E52C3"/>
    <w:rsid w:val="6EA2F444"/>
    <w:rsid w:val="6EFA2324"/>
    <w:rsid w:val="6F047827"/>
    <w:rsid w:val="6F0C2749"/>
    <w:rsid w:val="6F2661F0"/>
    <w:rsid w:val="6FF1A3C2"/>
    <w:rsid w:val="731DEF9D"/>
    <w:rsid w:val="735D801C"/>
    <w:rsid w:val="73CFFBC4"/>
    <w:rsid w:val="742B2D4E"/>
    <w:rsid w:val="7553964A"/>
    <w:rsid w:val="7569967E"/>
    <w:rsid w:val="756BCC25"/>
    <w:rsid w:val="7634EF76"/>
    <w:rsid w:val="763D196A"/>
    <w:rsid w:val="76560363"/>
    <w:rsid w:val="770F8A0C"/>
    <w:rsid w:val="78A1056A"/>
    <w:rsid w:val="78FFFCF7"/>
    <w:rsid w:val="792BFBA9"/>
    <w:rsid w:val="79C26974"/>
    <w:rsid w:val="79D08D17"/>
    <w:rsid w:val="7A3B60DA"/>
    <w:rsid w:val="7B297486"/>
    <w:rsid w:val="7DA3F43F"/>
    <w:rsid w:val="7EA43444"/>
    <w:rsid w:val="7FE3F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77028"/>
  <w15:docId w15:val="{7450A82D-4471-419F-AD7D-0A727CFE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pBdr>
        <w:top w:val="single" w:sz="4" w:space="1" w:color="000000"/>
        <w:left w:val="single" w:sz="4" w:space="4" w:color="000000"/>
        <w:bottom w:val="single" w:sz="4" w:space="1" w:color="000000"/>
        <w:right w:val="single" w:sz="4" w:space="4" w:color="000000"/>
      </w:pBdr>
      <w:ind w:right="113"/>
      <w:outlineLvl w:val="2"/>
    </w:pPr>
    <w:rPr>
      <w:b/>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rPr>
      <w:lang w:eastAsia="en-US"/>
    </w:rPr>
  </w:style>
  <w:style w:type="paragraph" w:customStyle="1" w:styleId="heading10">
    <w:name w:val="heading 10"/>
    <w:basedOn w:val="Normal0"/>
    <w:next w:val="Normal0"/>
    <w:link w:val="Kop1Char"/>
    <w:uiPriority w:val="9"/>
    <w:qFormat/>
    <w:rsid w:val="00B02F09"/>
    <w:pPr>
      <w:keepNext/>
      <w:spacing w:before="240" w:after="60"/>
      <w:outlineLvl w:val="0"/>
    </w:pPr>
    <w:rPr>
      <w:rFonts w:ascii="Cambria" w:hAnsi="Cambria"/>
      <w:b/>
      <w:bCs/>
      <w:kern w:val="32"/>
      <w:sz w:val="32"/>
      <w:szCs w:val="32"/>
    </w:rPr>
  </w:style>
  <w:style w:type="paragraph" w:customStyle="1" w:styleId="heading30">
    <w:name w:val="heading 30"/>
    <w:basedOn w:val="Normal0"/>
    <w:next w:val="Normal0"/>
    <w:autoRedefine/>
    <w:qFormat/>
    <w:pPr>
      <w:keepNext/>
      <w:pBdr>
        <w:top w:val="single" w:sz="4" w:space="1" w:color="auto"/>
        <w:left w:val="single" w:sz="4" w:space="4" w:color="auto"/>
        <w:bottom w:val="single" w:sz="4" w:space="1" w:color="auto"/>
        <w:right w:val="single" w:sz="4" w:space="4" w:color="auto"/>
      </w:pBdr>
      <w:ind w:right="113"/>
      <w:outlineLvl w:val="2"/>
    </w:pPr>
    <w:rPr>
      <w:b/>
      <w:bCs/>
      <w:szCs w:val="24"/>
    </w:rPr>
  </w:style>
  <w:style w:type="paragraph" w:customStyle="1" w:styleId="heading40">
    <w:name w:val="heading 40"/>
    <w:basedOn w:val="Normal0"/>
    <w:next w:val="Normal0"/>
    <w:qFormat/>
    <w:pPr>
      <w:keepNext/>
      <w:spacing w:before="240" w:after="60"/>
      <w:outlineLvl w:val="3"/>
    </w:pPr>
    <w:rPr>
      <w:b/>
      <w:bCs/>
      <w:sz w:val="28"/>
      <w:szCs w:val="28"/>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Caption">
    <w:name w:val="caption"/>
    <w:basedOn w:val="Normal0"/>
    <w:next w:val="Normal0"/>
    <w:qFormat/>
    <w:pPr>
      <w:keepLines/>
      <w:spacing w:before="200" w:after="240" w:line="200" w:lineRule="exact"/>
    </w:pPr>
    <w:rPr>
      <w:sz w:val="16"/>
    </w:rPr>
  </w:style>
  <w:style w:type="paragraph" w:customStyle="1" w:styleId="Els-1storder-head">
    <w:name w:val="Els-1storder-head"/>
    <w:next w:val="Els-body-text"/>
    <w:pPr>
      <w:keepNext/>
      <w:numPr>
        <w:numId w:val="5"/>
      </w:numPr>
      <w:suppressAutoHyphens/>
      <w:spacing w:before="240" w:after="240" w:line="240" w:lineRule="exact"/>
    </w:pPr>
    <w:rPr>
      <w:b/>
      <w:lang w:eastAsia="en-US"/>
    </w:rPr>
  </w:style>
  <w:style w:type="paragraph" w:customStyle="1" w:styleId="Els-2ndorder-head">
    <w:name w:val="Els-2ndorder-head"/>
    <w:next w:val="Els-body-text"/>
    <w:pPr>
      <w:keepNext/>
      <w:numPr>
        <w:ilvl w:val="1"/>
        <w:numId w:val="6"/>
      </w:numPr>
      <w:suppressAutoHyphens/>
      <w:spacing w:before="240" w:after="240" w:line="240" w:lineRule="exact"/>
    </w:pPr>
    <w:rPr>
      <w:i/>
      <w:lang w:eastAsia="en-US"/>
    </w:rPr>
  </w:style>
  <w:style w:type="paragraph" w:customStyle="1" w:styleId="Els-3rdorder-head">
    <w:name w:val="Els-3rdorder-head"/>
    <w:next w:val="Els-body-text"/>
    <w:pPr>
      <w:keepNext/>
      <w:numPr>
        <w:ilvl w:val="2"/>
        <w:numId w:val="7"/>
      </w:numPr>
      <w:suppressAutoHyphens/>
      <w:spacing w:before="240" w:line="240" w:lineRule="exact"/>
    </w:pPr>
    <w:rPr>
      <w:i/>
      <w:lang w:eastAsia="en-US"/>
    </w:rPr>
  </w:style>
  <w:style w:type="paragraph" w:customStyle="1" w:styleId="Els-4thorder-head">
    <w:name w:val="Els-4thorder-head"/>
    <w:next w:val="Els-body-text"/>
    <w:pPr>
      <w:keepNext/>
      <w:numPr>
        <w:ilvl w:val="3"/>
        <w:numId w:val="8"/>
      </w:numPr>
      <w:suppressAutoHyphens/>
      <w:spacing w:before="240" w:line="240" w:lineRule="exact"/>
    </w:pPr>
    <w:rPr>
      <w:i/>
      <w:lang w:eastAsia="en-US"/>
    </w:rPr>
  </w:style>
  <w:style w:type="paragraph" w:customStyle="1" w:styleId="Els-Abstract-head">
    <w:name w:val="Els-Abstract-head"/>
    <w:next w:val="Normal0"/>
    <w:pPr>
      <w:keepNext/>
      <w:pBdr>
        <w:top w:val="single" w:sz="4" w:space="10" w:color="auto"/>
      </w:pBdr>
      <w:suppressAutoHyphens/>
      <w:spacing w:after="220" w:line="220" w:lineRule="exact"/>
    </w:pPr>
    <w:rPr>
      <w:b/>
      <w:sz w:val="18"/>
      <w:lang w:eastAsia="en-US"/>
    </w:rPr>
  </w:style>
  <w:style w:type="paragraph" w:customStyle="1" w:styleId="Els-Abstract-text">
    <w:name w:val="Els-Abstract-text"/>
    <w:next w:val="Normal0"/>
    <w:pPr>
      <w:spacing w:line="220" w:lineRule="exact"/>
      <w:jc w:val="both"/>
    </w:pPr>
    <w:rPr>
      <w:sz w:val="18"/>
      <w:lang w:eastAsia="en-US"/>
    </w:rPr>
  </w:style>
  <w:style w:type="paragraph" w:customStyle="1" w:styleId="Els-acknowledgement">
    <w:name w:val="Els-acknowledgement"/>
    <w:next w:val="Normal0"/>
    <w:pPr>
      <w:keepNext/>
      <w:spacing w:before="480" w:after="240" w:line="220" w:lineRule="exact"/>
    </w:pPr>
    <w:rPr>
      <w:b/>
      <w:lang w:eastAsia="en-US"/>
    </w:rPr>
  </w:style>
  <w:style w:type="paragraph" w:customStyle="1" w:styleId="Els-aditional-article-history">
    <w:name w:val="Els-aditional-article-history"/>
    <w:basedOn w:val="Normal0"/>
    <w:pPr>
      <w:spacing w:after="400" w:line="200" w:lineRule="exact"/>
      <w:jc w:val="center"/>
    </w:pPr>
    <w:rPr>
      <w:b/>
      <w:noProof/>
      <w:sz w:val="16"/>
    </w:rPr>
  </w:style>
  <w:style w:type="paragraph" w:customStyle="1" w:styleId="Els-Affiliation">
    <w:name w:val="Els-Affiliation"/>
    <w:next w:val="Els-Abstract-head"/>
    <w:pPr>
      <w:suppressAutoHyphens/>
      <w:spacing w:line="200" w:lineRule="exact"/>
      <w:jc w:val="center"/>
    </w:pPr>
    <w:rPr>
      <w:i/>
      <w:noProof/>
      <w:sz w:val="16"/>
      <w:lang w:eastAsia="en-US"/>
    </w:rPr>
  </w:style>
  <w:style w:type="paragraph" w:customStyle="1" w:styleId="Els-appendixhead">
    <w:name w:val="Els-appendixhead"/>
    <w:next w:val="Normal0"/>
    <w:pPr>
      <w:tabs>
        <w:tab w:val="num" w:pos="720"/>
      </w:tabs>
      <w:spacing w:before="480" w:after="240" w:line="220" w:lineRule="exact"/>
      <w:ind w:left="720" w:hanging="720"/>
    </w:pPr>
    <w:rPr>
      <w:b/>
      <w:lang w:eastAsia="en-US"/>
    </w:rPr>
  </w:style>
  <w:style w:type="paragraph" w:customStyle="1" w:styleId="Els-appendixsubhead">
    <w:name w:val="Els-appendixsubhead"/>
    <w:next w:val="Normal0"/>
    <w:pPr>
      <w:tabs>
        <w:tab w:val="num" w:pos="1440"/>
      </w:tabs>
      <w:spacing w:before="240" w:after="240" w:line="220" w:lineRule="exact"/>
      <w:ind w:left="1440" w:hanging="720"/>
    </w:pPr>
    <w:rPr>
      <w:i/>
      <w:lang w:eastAsia="en-US"/>
    </w:rPr>
  </w:style>
  <w:style w:type="paragraph" w:customStyle="1" w:styleId="Els-Author">
    <w:name w:val="Els-Author"/>
    <w:next w:val="Normal0"/>
    <w:pPr>
      <w:keepNext/>
      <w:suppressAutoHyphens/>
      <w:spacing w:after="160" w:line="300" w:lineRule="exact"/>
      <w:jc w:val="center"/>
    </w:pPr>
    <w:rPr>
      <w:noProof/>
      <w:sz w:val="26"/>
      <w:lang w:eastAsia="en-US"/>
    </w:rPr>
  </w:style>
  <w:style w:type="paragraph" w:customStyle="1" w:styleId="Els-body-text">
    <w:name w:val="Els-body-text"/>
    <w:pPr>
      <w:spacing w:line="240" w:lineRule="exact"/>
      <w:ind w:firstLine="238"/>
      <w:jc w:val="both"/>
    </w:pPr>
    <w:rPr>
      <w:lang w:eastAsia="en-US"/>
    </w:rPr>
  </w:style>
  <w:style w:type="paragraph" w:customStyle="1" w:styleId="Els-bulletlist">
    <w:name w:val="Els-bulletlist"/>
    <w:basedOn w:val="Els-body-text"/>
    <w:pPr>
      <w:tabs>
        <w:tab w:val="left" w:pos="240"/>
        <w:tab w:val="num" w:pos="720"/>
      </w:tabs>
      <w:ind w:left="720" w:hanging="720"/>
      <w:jc w:val="left"/>
    </w:pPr>
  </w:style>
  <w:style w:type="paragraph" w:customStyle="1" w:styleId="Els-caption">
    <w:name w:val="Els-caption"/>
    <w:pPr>
      <w:keepLines/>
      <w:spacing w:before="200" w:after="240" w:line="200" w:lineRule="exact"/>
    </w:pPr>
    <w:rPr>
      <w:sz w:val="16"/>
      <w:lang w:eastAsia="en-US"/>
    </w:rPr>
  </w:style>
  <w:style w:type="paragraph" w:customStyle="1" w:styleId="Els-chem-equation">
    <w:name w:val="Els-chem-equation"/>
    <w:next w:val="Els-body-text"/>
    <w:pPr>
      <w:tabs>
        <w:tab w:val="right" w:pos="4320"/>
        <w:tab w:val="right" w:pos="9120"/>
      </w:tabs>
      <w:spacing w:before="120" w:after="120" w:line="220" w:lineRule="exact"/>
    </w:pPr>
    <w:rPr>
      <w:noProof/>
      <w:sz w:val="18"/>
      <w:lang w:eastAsia="en-US"/>
    </w:rPr>
  </w:style>
  <w:style w:type="paragraph" w:customStyle="1" w:styleId="Els-collaboration">
    <w:name w:val="Els-collaboration"/>
    <w:basedOn w:val="Els-Author"/>
    <w:pPr>
      <w:jc w:val="right"/>
    </w:pPr>
  </w:style>
  <w:style w:type="paragraph" w:customStyle="1" w:styleId="Els-collaboration-affiliation">
    <w:name w:val="Els-collaboration-affiliation"/>
    <w:basedOn w:val="Els-collaboration"/>
  </w:style>
  <w:style w:type="paragraph" w:customStyle="1" w:styleId="Els-presented-by">
    <w:name w:val="Els-presented-by"/>
    <w:pPr>
      <w:spacing w:after="200"/>
      <w:jc w:val="center"/>
    </w:pPr>
    <w:rPr>
      <w:b/>
      <w:sz w:val="16"/>
      <w:lang w:eastAsia="en-US"/>
    </w:rPr>
  </w:style>
  <w:style w:type="paragraph" w:customStyle="1" w:styleId="Els-dedicated-to">
    <w:name w:val="Els-dedicated-to"/>
    <w:basedOn w:val="Els-presented-by"/>
    <w:rPr>
      <w:b w:val="0"/>
    </w:rPr>
  </w:style>
  <w:style w:type="paragraph" w:customStyle="1" w:styleId="Els-equation">
    <w:name w:val="Els-equation"/>
    <w:next w:val="Normal0"/>
    <w:pPr>
      <w:tabs>
        <w:tab w:val="right" w:pos="4320"/>
        <w:tab w:val="right" w:pos="9120"/>
      </w:tabs>
      <w:spacing w:before="240" w:after="240"/>
      <w:ind w:left="482"/>
    </w:pPr>
    <w:rPr>
      <w:i/>
      <w:noProof/>
      <w:lang w:eastAsia="en-US"/>
    </w:rPr>
  </w:style>
  <w:style w:type="paragraph" w:customStyle="1" w:styleId="Els-footnote">
    <w:name w:val="Els-footnote"/>
    <w:pPr>
      <w:keepLines/>
      <w:spacing w:line="200" w:lineRule="exact"/>
      <w:ind w:firstLine="240"/>
      <w:jc w:val="both"/>
    </w:pPr>
    <w:rPr>
      <w:sz w:val="16"/>
      <w:lang w:eastAsia="en-US"/>
    </w:rPr>
  </w:style>
  <w:style w:type="paragraph" w:customStyle="1" w:styleId="Els-history">
    <w:name w:val="Els-history"/>
    <w:next w:val="Normal0"/>
    <w:pPr>
      <w:spacing w:before="120" w:after="400" w:line="200" w:lineRule="exact"/>
      <w:jc w:val="center"/>
    </w:pPr>
    <w:rPr>
      <w:noProof/>
      <w:sz w:val="16"/>
      <w:lang w:eastAsia="en-US"/>
    </w:rPr>
  </w:style>
  <w:style w:type="paragraph" w:customStyle="1" w:styleId="Els-journal-logo">
    <w:name w:val="Els-journal-logo"/>
    <w:pPr>
      <w:pBdr>
        <w:top w:val="thinThickLargeGap" w:sz="12" w:space="0" w:color="auto"/>
        <w:bottom w:val="thickThinLargeGap" w:sz="12" w:space="0" w:color="auto"/>
      </w:pBdr>
    </w:pPr>
    <w:rPr>
      <w:rFonts w:ascii="Helvetica" w:hAnsi="Helvetica"/>
      <w:b/>
      <w:noProof/>
      <w:sz w:val="24"/>
      <w:lang w:eastAsia="en-US"/>
    </w:rPr>
  </w:style>
  <w:style w:type="paragraph" w:customStyle="1" w:styleId="Els-keywords">
    <w:name w:val="Els-keywords"/>
    <w:next w:val="Normal0"/>
    <w:pPr>
      <w:pBdr>
        <w:bottom w:val="single" w:sz="4" w:space="10" w:color="auto"/>
      </w:pBdr>
      <w:spacing w:after="200" w:line="200" w:lineRule="exact"/>
    </w:pPr>
    <w:rPr>
      <w:noProof/>
      <w:sz w:val="16"/>
      <w:lang w:eastAsia="en-US"/>
    </w:rPr>
  </w:style>
  <w:style w:type="paragraph" w:customStyle="1" w:styleId="Els-numlist">
    <w:name w:val="Els-numlist"/>
    <w:basedOn w:val="Els-body-text"/>
    <w:pPr>
      <w:tabs>
        <w:tab w:val="left" w:pos="240"/>
        <w:tab w:val="num" w:pos="720"/>
      </w:tabs>
      <w:ind w:left="480" w:hanging="720"/>
      <w:jc w:val="left"/>
    </w:pPr>
  </w:style>
  <w:style w:type="paragraph" w:customStyle="1" w:styleId="Els-reference">
    <w:name w:val="Els-reference"/>
    <w:pPr>
      <w:tabs>
        <w:tab w:val="left" w:pos="312"/>
      </w:tabs>
      <w:spacing w:line="200" w:lineRule="exact"/>
      <w:ind w:left="312" w:hanging="312"/>
    </w:pPr>
    <w:rPr>
      <w:noProof/>
      <w:sz w:val="16"/>
      <w:lang w:eastAsia="en-US"/>
    </w:rPr>
  </w:style>
  <w:style w:type="paragraph" w:customStyle="1" w:styleId="Els-reference-head">
    <w:name w:val="Els-reference-head"/>
    <w:next w:val="Els-reference"/>
    <w:pPr>
      <w:keepNext/>
      <w:spacing w:before="480" w:after="200" w:line="220" w:lineRule="exact"/>
    </w:pPr>
    <w:rPr>
      <w:b/>
      <w:lang w:eastAsia="en-US"/>
    </w:rPr>
  </w:style>
  <w:style w:type="paragraph" w:customStyle="1" w:styleId="Els-reprint-line">
    <w:name w:val="Els-reprint-line"/>
    <w:basedOn w:val="Normal0"/>
    <w:pPr>
      <w:tabs>
        <w:tab w:val="left" w:pos="0"/>
        <w:tab w:val="center" w:pos="5443"/>
      </w:tabs>
      <w:jc w:val="center"/>
    </w:pPr>
    <w:rPr>
      <w:sz w:val="16"/>
    </w:rPr>
  </w:style>
  <w:style w:type="paragraph" w:customStyle="1" w:styleId="Els-table-text">
    <w:name w:val="Els-table-text"/>
    <w:pPr>
      <w:spacing w:after="80" w:line="200" w:lineRule="exact"/>
    </w:pPr>
    <w:rPr>
      <w:sz w:val="16"/>
      <w:lang w:eastAsia="en-US"/>
    </w:rPr>
  </w:style>
  <w:style w:type="paragraph" w:customStyle="1" w:styleId="Els-Title">
    <w:name w:val="Els-Title"/>
    <w:next w:val="Els-Author"/>
    <w:autoRedefine/>
    <w:rsid w:val="006047AE"/>
    <w:pPr>
      <w:suppressAutoHyphens/>
      <w:spacing w:after="240" w:line="400" w:lineRule="exact"/>
      <w:jc w:val="center"/>
    </w:pPr>
    <w:rPr>
      <w:rFonts w:ascii="Calibri" w:hAnsi="Calibri"/>
      <w:sz w:val="36"/>
      <w:lang w:eastAsia="en-US"/>
    </w:rPr>
  </w:style>
  <w:style w:type="character" w:styleId="EndnoteReference">
    <w:name w:val="endnote reference"/>
    <w:semiHidden/>
    <w:rPr>
      <w:vertAlign w:val="superscript"/>
    </w:rPr>
  </w:style>
  <w:style w:type="paragraph" w:styleId="Header">
    <w:name w:val="header"/>
    <w:link w:val="HeaderChar"/>
    <w:uiPriority w:val="99"/>
    <w:pPr>
      <w:tabs>
        <w:tab w:val="center" w:pos="4706"/>
        <w:tab w:val="right" w:pos="9356"/>
      </w:tabs>
      <w:spacing w:before="100" w:beforeAutospacing="1" w:after="240" w:line="200" w:lineRule="atLeast"/>
    </w:pPr>
    <w:rPr>
      <w:i/>
      <w:noProof/>
      <w:sz w:val="16"/>
      <w:lang w:eastAsia="en-US"/>
    </w:rPr>
  </w:style>
  <w:style w:type="paragraph" w:styleId="Footer">
    <w:name w:val="footer"/>
    <w:basedOn w:val="Header"/>
    <w:semiHidden/>
    <w:pPr>
      <w:tabs>
        <w:tab w:val="right" w:pos="10080"/>
      </w:tabs>
    </w:pPr>
    <w:rPr>
      <w:i w:val="0"/>
    </w:rPr>
  </w:style>
  <w:style w:type="character" w:styleId="FootnoteReference">
    <w:name w:val="footnote reference"/>
    <w:uiPriority w:val="99"/>
    <w:semiHidden/>
    <w:rPr>
      <w:vertAlign w:val="superscript"/>
    </w:rPr>
  </w:style>
  <w:style w:type="paragraph" w:styleId="FootnoteText">
    <w:name w:val="footnote text"/>
    <w:basedOn w:val="Normal0"/>
    <w:link w:val="FootnoteTextChar"/>
    <w:uiPriority w:val="99"/>
    <w:semiHidden/>
    <w:rPr>
      <w:rFonts w:ascii="Univers" w:hAnsi="Univers"/>
    </w:rPr>
  </w:style>
  <w:style w:type="character" w:styleId="Hyperlink">
    <w:name w:val="Hyperlink"/>
    <w:semiHidden/>
    <w:rPr>
      <w:color w:val="auto"/>
      <w:sz w:val="16"/>
      <w:u w:val="none"/>
    </w:rPr>
  </w:style>
  <w:style w:type="character" w:customStyle="1" w:styleId="MTEquationSection">
    <w:name w:val="MTEquationSection"/>
    <w:rPr>
      <w:vanish/>
      <w:color w:val="FF0000"/>
    </w:rPr>
  </w:style>
  <w:style w:type="character" w:styleId="PageNumber">
    <w:name w:val="page number"/>
    <w:semiHidden/>
    <w:rPr>
      <w:sz w:val="16"/>
    </w:rPr>
  </w:style>
  <w:style w:type="paragraph" w:styleId="PlainText">
    <w:name w:val="Plain Text"/>
    <w:basedOn w:val="Normal0"/>
    <w:semiHidden/>
    <w:rPr>
      <w:rFonts w:ascii="Courier New" w:hAnsi="Courier New" w:cs="Courier New"/>
    </w:rPr>
  </w:style>
  <w:style w:type="paragraph" w:customStyle="1" w:styleId="Els-5thorder-head">
    <w:name w:val="Els-5thorder-head"/>
    <w:next w:val="Els-body-text"/>
    <w:pPr>
      <w:keepNext/>
      <w:suppressAutoHyphens/>
      <w:spacing w:line="240" w:lineRule="exact"/>
    </w:pPr>
    <w:rPr>
      <w:i/>
      <w:lang w:eastAsia="en-US"/>
    </w:rPr>
  </w:style>
  <w:style w:type="paragraph" w:customStyle="1" w:styleId="Els-Abstract-Copyright">
    <w:name w:val="Els-Abstract-Copyright"/>
    <w:basedOn w:val="Els-Abstract-text"/>
    <w:pPr>
      <w:spacing w:after="220"/>
    </w:pPr>
  </w:style>
  <w:style w:type="paragraph" w:customStyle="1" w:styleId="DocHead">
    <w:name w:val="DocHead"/>
    <w:pPr>
      <w:spacing w:before="240" w:after="240"/>
      <w:jc w:val="center"/>
    </w:pPr>
    <w:rPr>
      <w:sz w:val="24"/>
      <w:lang w:eastAsia="en-US"/>
    </w:rPr>
  </w:style>
  <w:style w:type="character" w:styleId="FollowedHyperlink">
    <w:name w:val="FollowedHyperlink"/>
    <w:semiHidden/>
    <w:rPr>
      <w:color w:val="800080"/>
      <w:u w:val="single"/>
    </w:rPr>
  </w:style>
  <w:style w:type="character" w:customStyle="1" w:styleId="Els-1storder-headChar">
    <w:name w:val="Els-1storder-head Char"/>
    <w:rPr>
      <w:b/>
      <w:lang w:val="en-US" w:eastAsia="en-US" w:bidi="ar-SA"/>
    </w:rPr>
  </w:style>
  <w:style w:type="character" w:styleId="CommentReference">
    <w:name w:val="annotation reference"/>
    <w:semiHidden/>
    <w:unhideWhenUsed/>
    <w:rPr>
      <w:sz w:val="16"/>
      <w:szCs w:val="16"/>
    </w:rPr>
  </w:style>
  <w:style w:type="paragraph" w:styleId="BalloonText">
    <w:name w:val="Balloon Text"/>
    <w:basedOn w:val="Normal0"/>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styleId="CommentText">
    <w:name w:val="annotation text"/>
    <w:basedOn w:val="Normal0"/>
    <w:semiHidden/>
    <w:unhideWhenUsed/>
  </w:style>
  <w:style w:type="character" w:customStyle="1" w:styleId="CommentTextChar">
    <w:name w:val="Comment Text Char"/>
    <w:semiHidden/>
    <w:rPr>
      <w:lang w:val="en-GB"/>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b/>
      <w:bCs/>
      <w:lang w:val="en-GB"/>
    </w:rPr>
  </w:style>
  <w:style w:type="paragraph" w:styleId="BodyTextIndent">
    <w:name w:val="Body Text Indent"/>
    <w:basedOn w:val="Normal0"/>
    <w:semiHidden/>
    <w:pPr>
      <w:widowControl/>
      <w:suppressAutoHyphens/>
      <w:ind w:firstLine="360"/>
      <w:jc w:val="both"/>
    </w:pPr>
    <w:rPr>
      <w:kern w:val="14"/>
    </w:rPr>
  </w:style>
  <w:style w:type="paragraph" w:customStyle="1" w:styleId="ColorfulList-Accent11">
    <w:name w:val="Colorful List - Accent 11"/>
    <w:basedOn w:val="Normal0"/>
    <w:qFormat/>
    <w:pPr>
      <w:widowControl/>
      <w:ind w:left="720"/>
    </w:pPr>
    <w:rPr>
      <w:rFonts w:ascii="Arial" w:eastAsia="Batang" w:hAnsi="Arial"/>
      <w:sz w:val="22"/>
      <w:szCs w:val="24"/>
      <w:lang w:eastAsia="ko-KR"/>
    </w:rPr>
  </w:style>
  <w:style w:type="character" w:customStyle="1" w:styleId="HeaderChar">
    <w:name w:val="Header Char"/>
    <w:link w:val="Header"/>
    <w:uiPriority w:val="99"/>
    <w:rsid w:val="00B02F09"/>
    <w:rPr>
      <w:i/>
      <w:noProof/>
      <w:sz w:val="16"/>
      <w:lang w:val="en-US" w:eastAsia="en-US"/>
    </w:rPr>
  </w:style>
  <w:style w:type="character" w:customStyle="1" w:styleId="Kop1Char">
    <w:name w:val="Kop 1 Char"/>
    <w:link w:val="heading10"/>
    <w:uiPriority w:val="9"/>
    <w:rsid w:val="00B02F09"/>
    <w:rPr>
      <w:rFonts w:ascii="Cambria" w:eastAsia="SimSun" w:hAnsi="Cambria" w:cs="Times New Roman"/>
      <w:b/>
      <w:bCs/>
      <w:kern w:val="32"/>
      <w:sz w:val="32"/>
      <w:szCs w:val="32"/>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semiHidden/>
    <w:rsid w:val="00B9481C"/>
    <w:rPr>
      <w:rFonts w:ascii="Univers" w:hAnsi="Univers"/>
      <w:lang w:eastAsia="en-US"/>
    </w:rPr>
  </w:style>
  <w:style w:type="paragraph" w:customStyle="1" w:styleId="paragraph">
    <w:name w:val="paragraph"/>
    <w:basedOn w:val="Normal"/>
    <w:rsid w:val="00310043"/>
    <w:pPr>
      <w:widowControl/>
      <w:spacing w:before="100" w:beforeAutospacing="1" w:after="100" w:afterAutospacing="1"/>
    </w:pPr>
    <w:rPr>
      <w:sz w:val="24"/>
      <w:szCs w:val="24"/>
      <w:lang w:val="en-GB"/>
    </w:rPr>
  </w:style>
  <w:style w:type="character" w:customStyle="1" w:styleId="normaltextrun">
    <w:name w:val="normaltextrun"/>
    <w:basedOn w:val="DefaultParagraphFont"/>
    <w:rsid w:val="00310043"/>
  </w:style>
  <w:style w:type="character" w:customStyle="1" w:styleId="eop">
    <w:name w:val="eop"/>
    <w:basedOn w:val="DefaultParagraphFont"/>
    <w:rsid w:val="00310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85991">
      <w:bodyDiv w:val="1"/>
      <w:marLeft w:val="0"/>
      <w:marRight w:val="0"/>
      <w:marTop w:val="0"/>
      <w:marBottom w:val="0"/>
      <w:divBdr>
        <w:top w:val="none" w:sz="0" w:space="0" w:color="auto"/>
        <w:left w:val="none" w:sz="0" w:space="0" w:color="auto"/>
        <w:bottom w:val="none" w:sz="0" w:space="0" w:color="auto"/>
        <w:right w:val="none" w:sz="0" w:space="0" w:color="auto"/>
      </w:divBdr>
      <w:divsChild>
        <w:div w:id="60447097">
          <w:marLeft w:val="0"/>
          <w:marRight w:val="0"/>
          <w:marTop w:val="0"/>
          <w:marBottom w:val="0"/>
          <w:divBdr>
            <w:top w:val="none" w:sz="0" w:space="0" w:color="auto"/>
            <w:left w:val="none" w:sz="0" w:space="0" w:color="auto"/>
            <w:bottom w:val="none" w:sz="0" w:space="0" w:color="auto"/>
            <w:right w:val="none" w:sz="0" w:space="0" w:color="auto"/>
          </w:divBdr>
        </w:div>
        <w:div w:id="2676656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Z+K/x0FGtacyP4AO5tqGGhHXsw==">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6478</Words>
  <Characters>36929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yaog</dc:creator>
  <cp:lastModifiedBy>Steph Haywood</cp:lastModifiedBy>
  <cp:revision>2</cp:revision>
  <dcterms:created xsi:type="dcterms:W3CDTF">2023-06-02T15:16:00Z</dcterms:created>
  <dcterms:modified xsi:type="dcterms:W3CDTF">2023-06-02T15:16:00Z</dcterms:modified>
</cp:coreProperties>
</file>