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0775" w14:textId="77777777" w:rsidR="00DD7802" w:rsidRPr="007063A8" w:rsidRDefault="00DD7802" w:rsidP="00567B01">
      <w:pPr>
        <w:spacing w:line="276" w:lineRule="auto"/>
        <w:ind w:firstLine="360"/>
        <w:jc w:val="center"/>
        <w:rPr>
          <w:rFonts w:asciiTheme="minorHAnsi" w:hAnsiTheme="minorHAnsi" w:cstheme="minorHAnsi"/>
          <w:sz w:val="36"/>
          <w:szCs w:val="36"/>
        </w:rPr>
      </w:pPr>
      <w:r w:rsidRPr="007063A8">
        <w:rPr>
          <w:rFonts w:asciiTheme="minorHAnsi" w:hAnsiTheme="minorHAnsi" w:cstheme="minorHAnsi"/>
          <w:sz w:val="36"/>
          <w:szCs w:val="36"/>
        </w:rPr>
        <w:t>How did the pandemic crisis affect the financial, economic, and social performance of social enterprises?</w:t>
      </w:r>
    </w:p>
    <w:p w14:paraId="2CDFEC5F" w14:textId="0CB22D21" w:rsidR="0004116C" w:rsidRPr="007063A8" w:rsidRDefault="00DD7802" w:rsidP="00567B01">
      <w:pPr>
        <w:widowControl/>
        <w:pBdr>
          <w:top w:val="nil"/>
          <w:left w:val="nil"/>
          <w:bottom w:val="nil"/>
          <w:right w:val="nil"/>
          <w:between w:val="nil"/>
        </w:pBdr>
        <w:spacing w:before="240" w:after="240" w:line="276" w:lineRule="auto"/>
        <w:ind w:firstLine="360"/>
        <w:jc w:val="center"/>
        <w:rPr>
          <w:rFonts w:asciiTheme="minorHAnsi" w:eastAsia="Calibri" w:hAnsiTheme="minorHAnsi" w:cstheme="minorHAnsi"/>
          <w:color w:val="000000"/>
          <w:sz w:val="36"/>
          <w:szCs w:val="36"/>
        </w:rPr>
      </w:pPr>
      <w:r w:rsidRPr="007063A8">
        <w:rPr>
          <w:rFonts w:asciiTheme="minorHAnsi" w:hAnsiTheme="minorHAnsi" w:cstheme="minorHAnsi"/>
          <w:sz w:val="36"/>
          <w:szCs w:val="36"/>
        </w:rPr>
        <w:t>Insights from Italian social cooperatives</w:t>
      </w:r>
    </w:p>
    <w:p w14:paraId="257BBC53" w14:textId="73F04989" w:rsidR="0004116C" w:rsidRPr="007063A8" w:rsidRDefault="0070259D" w:rsidP="00567B01">
      <w:pPr>
        <w:keepNext/>
        <w:widowControl/>
        <w:pBdr>
          <w:top w:val="nil"/>
          <w:left w:val="nil"/>
          <w:bottom w:val="nil"/>
          <w:right w:val="nil"/>
          <w:between w:val="nil"/>
        </w:pBdr>
        <w:spacing w:after="160" w:line="276" w:lineRule="auto"/>
        <w:ind w:firstLine="360"/>
        <w:jc w:val="center"/>
        <w:rPr>
          <w:rFonts w:asciiTheme="minorHAnsi" w:eastAsia="Calibri" w:hAnsiTheme="minorHAnsi" w:cstheme="minorHAnsi"/>
          <w:sz w:val="26"/>
          <w:szCs w:val="26"/>
        </w:rPr>
      </w:pPr>
      <w:r w:rsidRPr="007063A8">
        <w:rPr>
          <w:rFonts w:asciiTheme="minorHAnsi" w:eastAsia="Calibri" w:hAnsiTheme="minorHAnsi" w:cstheme="minorHAnsi"/>
          <w:sz w:val="26"/>
          <w:szCs w:val="26"/>
        </w:rPr>
        <w:t>A</w:t>
      </w:r>
      <w:r w:rsidR="00DD7802" w:rsidRPr="007063A8">
        <w:rPr>
          <w:rFonts w:asciiTheme="minorHAnsi" w:eastAsia="Calibri" w:hAnsiTheme="minorHAnsi" w:cstheme="minorHAnsi"/>
          <w:sz w:val="26"/>
          <w:szCs w:val="26"/>
        </w:rPr>
        <w:t>lessandro Montrone</w:t>
      </w:r>
      <w:r w:rsidRPr="007063A8">
        <w:rPr>
          <w:rFonts w:asciiTheme="minorHAnsi" w:eastAsia="Calibri" w:hAnsiTheme="minorHAnsi" w:cstheme="minorHAnsi"/>
          <w:sz w:val="26"/>
          <w:szCs w:val="26"/>
        </w:rPr>
        <w:t xml:space="preserve"> (</w:t>
      </w:r>
      <w:r w:rsidR="00DD7802" w:rsidRPr="007063A8">
        <w:rPr>
          <w:rFonts w:asciiTheme="minorHAnsi" w:eastAsia="Calibri" w:hAnsiTheme="minorHAnsi" w:cstheme="minorHAnsi"/>
          <w:sz w:val="26"/>
          <w:szCs w:val="26"/>
        </w:rPr>
        <w:t>University of Perugia</w:t>
      </w:r>
      <w:r w:rsidRPr="007063A8">
        <w:rPr>
          <w:rFonts w:asciiTheme="minorHAnsi" w:eastAsia="Calibri" w:hAnsiTheme="minorHAnsi" w:cstheme="minorHAnsi"/>
          <w:sz w:val="26"/>
          <w:szCs w:val="26"/>
        </w:rPr>
        <w:t xml:space="preserve">), </w:t>
      </w:r>
      <w:r w:rsidR="00DD7802" w:rsidRPr="007063A8">
        <w:rPr>
          <w:rFonts w:asciiTheme="minorHAnsi" w:eastAsia="Calibri" w:hAnsiTheme="minorHAnsi" w:cstheme="minorHAnsi"/>
          <w:sz w:val="26"/>
          <w:szCs w:val="26"/>
        </w:rPr>
        <w:t>Elizabeth Searing</w:t>
      </w:r>
      <w:r w:rsidRPr="007063A8">
        <w:rPr>
          <w:rFonts w:asciiTheme="minorHAnsi" w:eastAsia="Calibri" w:hAnsiTheme="minorHAnsi" w:cstheme="minorHAnsi"/>
          <w:sz w:val="26"/>
          <w:szCs w:val="26"/>
        </w:rPr>
        <w:t xml:space="preserve"> (</w:t>
      </w:r>
      <w:r w:rsidR="00DD7802" w:rsidRPr="007063A8">
        <w:rPr>
          <w:rFonts w:asciiTheme="minorHAnsi" w:eastAsia="Calibri" w:hAnsiTheme="minorHAnsi" w:cstheme="minorHAnsi"/>
          <w:sz w:val="26"/>
          <w:szCs w:val="26"/>
        </w:rPr>
        <w:t>University of Texas at Dallas</w:t>
      </w:r>
      <w:r w:rsidRPr="007063A8">
        <w:rPr>
          <w:rFonts w:asciiTheme="minorHAnsi" w:eastAsia="Calibri" w:hAnsiTheme="minorHAnsi" w:cstheme="minorHAnsi"/>
          <w:sz w:val="26"/>
          <w:szCs w:val="26"/>
        </w:rPr>
        <w:t xml:space="preserve">), </w:t>
      </w:r>
      <w:r w:rsidR="00DD7802" w:rsidRPr="007063A8">
        <w:rPr>
          <w:rFonts w:asciiTheme="minorHAnsi" w:eastAsia="Calibri" w:hAnsiTheme="minorHAnsi" w:cstheme="minorHAnsi"/>
          <w:sz w:val="26"/>
          <w:szCs w:val="26"/>
        </w:rPr>
        <w:t>Simone Poledrini (University of Gen</w:t>
      </w:r>
      <w:r w:rsidR="00D50990" w:rsidRPr="007063A8">
        <w:rPr>
          <w:rFonts w:asciiTheme="minorHAnsi" w:eastAsia="Calibri" w:hAnsiTheme="minorHAnsi" w:cstheme="minorHAnsi"/>
          <w:sz w:val="26"/>
          <w:szCs w:val="26"/>
        </w:rPr>
        <w:t>o</w:t>
      </w:r>
      <w:r w:rsidR="00DD7802" w:rsidRPr="007063A8">
        <w:rPr>
          <w:rFonts w:asciiTheme="minorHAnsi" w:eastAsia="Calibri" w:hAnsiTheme="minorHAnsi" w:cstheme="minorHAnsi"/>
          <w:sz w:val="26"/>
          <w:szCs w:val="26"/>
        </w:rPr>
        <w:t>a)</w:t>
      </w:r>
    </w:p>
    <w:p w14:paraId="16F47E64" w14:textId="77777777" w:rsidR="0004116C" w:rsidRPr="00567B01" w:rsidRDefault="0004116C" w:rsidP="00567B01">
      <w:pPr>
        <w:widowControl/>
        <w:pBdr>
          <w:top w:val="nil"/>
          <w:left w:val="nil"/>
          <w:bottom w:val="nil"/>
          <w:right w:val="nil"/>
          <w:between w:val="nil"/>
        </w:pBdr>
        <w:spacing w:line="276" w:lineRule="auto"/>
        <w:ind w:firstLine="360"/>
        <w:jc w:val="center"/>
        <w:rPr>
          <w:rFonts w:eastAsia="Calibri"/>
          <w:i/>
          <w:color w:val="000000"/>
          <w:sz w:val="24"/>
          <w:szCs w:val="24"/>
        </w:rPr>
      </w:pPr>
    </w:p>
    <w:p w14:paraId="3CA18BAF" w14:textId="77777777" w:rsidR="00D80559" w:rsidRPr="00567B01" w:rsidRDefault="00D80559" w:rsidP="00567B01">
      <w:pPr>
        <w:widowControl/>
        <w:pBdr>
          <w:top w:val="nil"/>
          <w:left w:val="nil"/>
          <w:bottom w:val="nil"/>
          <w:right w:val="nil"/>
          <w:between w:val="nil"/>
        </w:pBdr>
        <w:spacing w:line="276" w:lineRule="auto"/>
        <w:ind w:firstLine="360"/>
        <w:jc w:val="center"/>
        <w:rPr>
          <w:rFonts w:eastAsia="Calibri"/>
          <w:i/>
          <w:color w:val="000000"/>
          <w:sz w:val="24"/>
          <w:szCs w:val="24"/>
        </w:rPr>
      </w:pPr>
    </w:p>
    <w:p w14:paraId="1C788BBF" w14:textId="77777777" w:rsidR="00D80559" w:rsidRPr="00567B01" w:rsidRDefault="00D80559" w:rsidP="00567B01">
      <w:pPr>
        <w:widowControl/>
        <w:pBdr>
          <w:top w:val="nil"/>
          <w:left w:val="nil"/>
          <w:bottom w:val="nil"/>
          <w:right w:val="nil"/>
          <w:between w:val="nil"/>
        </w:pBdr>
        <w:spacing w:line="276" w:lineRule="auto"/>
        <w:ind w:firstLine="360"/>
        <w:jc w:val="center"/>
        <w:rPr>
          <w:rFonts w:eastAsia="Calibri"/>
          <w:i/>
          <w:color w:val="000000"/>
          <w:sz w:val="24"/>
          <w:szCs w:val="24"/>
        </w:rPr>
      </w:pPr>
    </w:p>
    <w:p w14:paraId="5795E9B0" w14:textId="75D47580" w:rsidR="0004116C" w:rsidRPr="007063A8" w:rsidRDefault="007063A8" w:rsidP="007063A8">
      <w:pPr>
        <w:keepNext/>
        <w:pBdr>
          <w:top w:val="nil"/>
          <w:left w:val="nil"/>
          <w:bottom w:val="nil"/>
          <w:right w:val="nil"/>
          <w:between w:val="nil"/>
        </w:pBdr>
        <w:spacing w:before="240" w:after="240" w:line="276" w:lineRule="auto"/>
        <w:rPr>
          <w:rFonts w:asciiTheme="minorHAnsi" w:eastAsia="Calibri" w:hAnsiTheme="minorHAnsi" w:cstheme="minorHAnsi"/>
          <w:b/>
          <w:color w:val="000000"/>
        </w:rPr>
      </w:pPr>
      <w:r w:rsidRPr="007063A8">
        <w:rPr>
          <w:rFonts w:asciiTheme="minorHAnsi" w:eastAsia="Calibri" w:hAnsiTheme="minorHAnsi" w:cstheme="minorHAnsi"/>
          <w:b/>
          <w:color w:val="000000"/>
        </w:rPr>
        <w:t xml:space="preserve">1. </w:t>
      </w:r>
      <w:r>
        <w:rPr>
          <w:rFonts w:asciiTheme="minorHAnsi" w:eastAsia="Calibri" w:hAnsiTheme="minorHAnsi" w:cstheme="minorHAnsi"/>
          <w:b/>
          <w:color w:val="000000"/>
        </w:rPr>
        <w:tab/>
      </w:r>
      <w:r w:rsidR="0070259D" w:rsidRPr="007063A8">
        <w:rPr>
          <w:rFonts w:asciiTheme="minorHAnsi" w:eastAsia="Calibri" w:hAnsiTheme="minorHAnsi" w:cstheme="minorHAnsi"/>
          <w:b/>
          <w:color w:val="000000"/>
        </w:rPr>
        <w:t xml:space="preserve">Abstract </w:t>
      </w:r>
    </w:p>
    <w:p w14:paraId="2D32F3D5" w14:textId="3F667714" w:rsidR="00DD7802" w:rsidRPr="007063A8" w:rsidRDefault="00DD7802" w:rsidP="58FB800D">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z w:val="20"/>
          <w:szCs w:val="20"/>
          <w:lang w:val="en-US"/>
        </w:rPr>
        <w:t>The Covid-19 crisis affected the world's economic and social system in many ways. Social enterprises (SEs) play a necessary role in delivering social value during such crises</w:t>
      </w:r>
      <w:r w:rsidR="005653EA" w:rsidRPr="007063A8">
        <w:rPr>
          <w:rFonts w:asciiTheme="minorHAnsi" w:hAnsiTheme="minorHAnsi" w:cstheme="minorHAnsi"/>
          <w:sz w:val="20"/>
          <w:szCs w:val="20"/>
          <w:lang w:val="en-US"/>
        </w:rPr>
        <w:t xml:space="preserve"> (Bacq </w:t>
      </w:r>
      <w:r w:rsidR="4DCF6624" w:rsidRPr="007063A8">
        <w:rPr>
          <w:rFonts w:asciiTheme="minorHAnsi" w:hAnsiTheme="minorHAnsi" w:cstheme="minorHAnsi"/>
          <w:sz w:val="20"/>
          <w:szCs w:val="20"/>
          <w:lang w:val="en-US"/>
        </w:rPr>
        <w:t>and</w:t>
      </w:r>
      <w:r w:rsidR="005653EA" w:rsidRPr="007063A8">
        <w:rPr>
          <w:rFonts w:asciiTheme="minorHAnsi" w:hAnsiTheme="minorHAnsi" w:cstheme="minorHAnsi"/>
          <w:sz w:val="20"/>
          <w:szCs w:val="20"/>
          <w:lang w:val="en-US"/>
        </w:rPr>
        <w:t xml:space="preserve"> Lumpkin</w:t>
      </w:r>
      <w:r w:rsidR="217DE3CD" w:rsidRPr="007063A8">
        <w:rPr>
          <w:rFonts w:asciiTheme="minorHAnsi" w:hAnsiTheme="minorHAnsi" w:cstheme="minorHAnsi"/>
          <w:sz w:val="20"/>
          <w:szCs w:val="20"/>
          <w:lang w:val="en-US"/>
        </w:rPr>
        <w:t>,</w:t>
      </w:r>
      <w:r w:rsidR="005653EA" w:rsidRPr="007063A8">
        <w:rPr>
          <w:rFonts w:asciiTheme="minorHAnsi" w:hAnsiTheme="minorHAnsi" w:cstheme="minorHAnsi"/>
          <w:sz w:val="20"/>
          <w:szCs w:val="20"/>
          <w:lang w:val="en-US"/>
        </w:rPr>
        <w:t xml:space="preserve"> 2020; </w:t>
      </w:r>
      <w:r w:rsidR="005653EA" w:rsidRPr="007063A8">
        <w:rPr>
          <w:rFonts w:asciiTheme="minorHAnsi" w:hAnsiTheme="minorHAnsi" w:cstheme="minorHAnsi"/>
          <w:sz w:val="20"/>
          <w:szCs w:val="20"/>
          <w:shd w:val="clear" w:color="auto" w:fill="FFFFFF"/>
          <w:lang w:val="en-US"/>
        </w:rPr>
        <w:t>Sarma</w:t>
      </w:r>
      <w:r w:rsidR="09F136FB" w:rsidRPr="007063A8">
        <w:rPr>
          <w:rFonts w:asciiTheme="minorHAnsi" w:hAnsiTheme="minorHAnsi" w:cstheme="minorHAnsi"/>
          <w:sz w:val="20"/>
          <w:szCs w:val="20"/>
          <w:shd w:val="clear" w:color="auto" w:fill="FFFFFF"/>
          <w:lang w:val="en-US"/>
        </w:rPr>
        <w:t xml:space="preserve"> et al., </w:t>
      </w:r>
      <w:r w:rsidR="005653EA" w:rsidRPr="007063A8">
        <w:rPr>
          <w:rFonts w:asciiTheme="minorHAnsi" w:hAnsiTheme="minorHAnsi" w:cstheme="minorHAnsi"/>
          <w:sz w:val="20"/>
          <w:szCs w:val="20"/>
          <w:shd w:val="clear" w:color="auto" w:fill="FFFFFF"/>
          <w:lang w:val="en-US"/>
        </w:rPr>
        <w:t>2022</w:t>
      </w:r>
      <w:r w:rsidR="001A077E" w:rsidRPr="007063A8">
        <w:rPr>
          <w:rFonts w:asciiTheme="minorHAnsi" w:hAnsiTheme="minorHAnsi" w:cstheme="minorHAnsi"/>
          <w:sz w:val="20"/>
          <w:szCs w:val="20"/>
          <w:shd w:val="clear" w:color="auto" w:fill="FFFFFF"/>
          <w:lang w:val="en-US"/>
        </w:rPr>
        <w:t xml:space="preserve">; </w:t>
      </w:r>
      <w:r w:rsidRPr="007063A8">
        <w:rPr>
          <w:rFonts w:asciiTheme="minorHAnsi" w:hAnsiTheme="minorHAnsi" w:cstheme="minorHAnsi"/>
          <w:sz w:val="20"/>
          <w:szCs w:val="20"/>
          <w:lang w:val="en-US"/>
        </w:rPr>
        <w:t>Weaver</w:t>
      </w:r>
      <w:r w:rsidR="1057CD5F" w:rsidRPr="007063A8">
        <w:rPr>
          <w:rFonts w:asciiTheme="minorHAnsi" w:hAnsiTheme="minorHAnsi" w:cstheme="minorHAnsi"/>
          <w:sz w:val="20"/>
          <w:szCs w:val="20"/>
          <w:lang w:val="en-US"/>
        </w:rPr>
        <w:t>,</w:t>
      </w:r>
      <w:r w:rsidRPr="007063A8">
        <w:rPr>
          <w:rFonts w:asciiTheme="minorHAnsi" w:hAnsiTheme="minorHAnsi" w:cstheme="minorHAnsi"/>
          <w:sz w:val="20"/>
          <w:szCs w:val="20"/>
          <w:lang w:val="en-US"/>
        </w:rPr>
        <w:t xml:space="preserve"> 2020). However, there is still a lack of empirical evidence that analyzes the impact of the pandemic on the performance of SEs and how that performance differs from traditional, non-social companies. Therefore, the purpose of this contribution is to fill this gap.</w:t>
      </w:r>
    </w:p>
    <w:p w14:paraId="16C105A1" w14:textId="2C0D8EE9" w:rsidR="00DD7802" w:rsidRPr="007063A8" w:rsidRDefault="00DD7802" w:rsidP="58FB800D">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z w:val="20"/>
          <w:szCs w:val="20"/>
          <w:lang w:val="en-US"/>
        </w:rPr>
        <w:t>This study compares two types of organizations in the same Italian context: social cooperatives and private limited companies. We present and compare their performance using ratio analysis in a three-dimensional perspective: economic, financial, and social, where the latter concerns the ability to create and distribute value-added to stakeholders (Riahi</w:t>
      </w:r>
      <w:r w:rsidR="26D19CF7" w:rsidRPr="007063A8">
        <w:rPr>
          <w:rFonts w:asciiTheme="minorHAnsi" w:hAnsiTheme="minorHAnsi" w:cstheme="minorHAnsi"/>
          <w:sz w:val="20"/>
          <w:szCs w:val="20"/>
          <w:lang w:val="en-US"/>
        </w:rPr>
        <w:t>-</w:t>
      </w:r>
      <w:r w:rsidRPr="007063A8">
        <w:rPr>
          <w:rFonts w:asciiTheme="minorHAnsi" w:hAnsiTheme="minorHAnsi" w:cstheme="minorHAnsi"/>
          <w:sz w:val="20"/>
          <w:szCs w:val="20"/>
          <w:lang w:val="en-US"/>
        </w:rPr>
        <w:t>Belkaoui</w:t>
      </w:r>
      <w:r w:rsidR="297314CC" w:rsidRPr="007063A8">
        <w:rPr>
          <w:rFonts w:asciiTheme="minorHAnsi" w:hAnsiTheme="minorHAnsi" w:cstheme="minorHAnsi"/>
          <w:sz w:val="20"/>
          <w:szCs w:val="20"/>
          <w:lang w:val="en-US"/>
        </w:rPr>
        <w:t>,</w:t>
      </w:r>
      <w:r w:rsidRPr="007063A8">
        <w:rPr>
          <w:rFonts w:asciiTheme="minorHAnsi" w:hAnsiTheme="minorHAnsi" w:cstheme="minorHAnsi"/>
          <w:sz w:val="20"/>
          <w:szCs w:val="20"/>
          <w:lang w:val="en-US"/>
        </w:rPr>
        <w:t xml:space="preserve"> 1996), with particular emphasis on distributional fairness (</w:t>
      </w:r>
      <w:r w:rsidR="20EF38B5" w:rsidRPr="007063A8">
        <w:rPr>
          <w:rFonts w:asciiTheme="minorHAnsi" w:hAnsiTheme="minorHAnsi" w:cstheme="minorHAnsi"/>
          <w:sz w:val="20"/>
          <w:szCs w:val="20"/>
          <w:lang w:val="en-US"/>
        </w:rPr>
        <w:t>Landis</w:t>
      </w:r>
      <w:r w:rsidR="015BED47" w:rsidRPr="007063A8">
        <w:rPr>
          <w:rFonts w:asciiTheme="minorHAnsi" w:hAnsiTheme="minorHAnsi" w:cstheme="minorHAnsi"/>
          <w:sz w:val="20"/>
          <w:szCs w:val="20"/>
          <w:lang w:val="en-US"/>
        </w:rPr>
        <w:t xml:space="preserve"> et al.</w:t>
      </w:r>
      <w:r w:rsidR="20EF38B5" w:rsidRPr="007063A8">
        <w:rPr>
          <w:rFonts w:asciiTheme="minorHAnsi" w:hAnsiTheme="minorHAnsi" w:cstheme="minorHAnsi"/>
          <w:sz w:val="20"/>
          <w:szCs w:val="20"/>
          <w:lang w:val="en-US"/>
        </w:rPr>
        <w:t>,</w:t>
      </w:r>
      <w:r w:rsidRPr="007063A8">
        <w:rPr>
          <w:rFonts w:asciiTheme="minorHAnsi" w:hAnsiTheme="minorHAnsi" w:cstheme="minorHAnsi"/>
          <w:sz w:val="20"/>
          <w:szCs w:val="20"/>
          <w:lang w:val="en-US"/>
        </w:rPr>
        <w:t xml:space="preserve"> 201</w:t>
      </w:r>
      <w:r w:rsidR="005653EA" w:rsidRPr="007063A8">
        <w:rPr>
          <w:rFonts w:asciiTheme="minorHAnsi" w:hAnsiTheme="minorHAnsi" w:cstheme="minorHAnsi"/>
          <w:sz w:val="20"/>
          <w:szCs w:val="20"/>
          <w:lang w:val="en-US"/>
        </w:rPr>
        <w:t>4</w:t>
      </w:r>
      <w:r w:rsidRPr="007063A8">
        <w:rPr>
          <w:rFonts w:asciiTheme="minorHAnsi" w:hAnsiTheme="minorHAnsi" w:cstheme="minorHAnsi"/>
          <w:sz w:val="20"/>
          <w:szCs w:val="20"/>
          <w:lang w:val="en-US"/>
        </w:rPr>
        <w:t xml:space="preserve">). </w:t>
      </w:r>
      <w:r w:rsidR="00766AF5" w:rsidRPr="007063A8">
        <w:rPr>
          <w:rFonts w:asciiTheme="minorHAnsi" w:hAnsiTheme="minorHAnsi" w:cstheme="minorHAnsi"/>
          <w:sz w:val="20"/>
          <w:szCs w:val="20"/>
          <w:lang w:val="en-US"/>
        </w:rPr>
        <w:t>In addition to policy recommendations, this study provides guidance on how to use existing accounting data to approximate social elements in business.</w:t>
      </w:r>
    </w:p>
    <w:p w14:paraId="06019D66" w14:textId="77777777" w:rsidR="00321440" w:rsidRPr="007063A8" w:rsidRDefault="00321440" w:rsidP="00567B01">
      <w:pPr>
        <w:pStyle w:val="NormalWeb"/>
        <w:spacing w:before="0" w:beforeAutospacing="0" w:after="0" w:afterAutospacing="0" w:line="276" w:lineRule="auto"/>
        <w:ind w:firstLine="360"/>
        <w:jc w:val="both"/>
        <w:rPr>
          <w:rFonts w:asciiTheme="minorHAnsi" w:hAnsiTheme="minorHAnsi" w:cstheme="minorHAnsi"/>
          <w:sz w:val="20"/>
          <w:szCs w:val="20"/>
          <w:lang w:val="en-US"/>
        </w:rPr>
      </w:pPr>
    </w:p>
    <w:p w14:paraId="296AA6DA" w14:textId="77777777" w:rsidR="00321440" w:rsidRPr="007063A8" w:rsidRDefault="00321440" w:rsidP="00567B01">
      <w:pPr>
        <w:pStyle w:val="NormalWeb"/>
        <w:spacing w:before="0" w:beforeAutospacing="0" w:after="0" w:afterAutospacing="0" w:line="276" w:lineRule="auto"/>
        <w:ind w:firstLine="360"/>
        <w:jc w:val="both"/>
        <w:rPr>
          <w:rFonts w:asciiTheme="minorHAnsi" w:hAnsiTheme="minorHAnsi" w:cstheme="minorHAnsi"/>
          <w:sz w:val="20"/>
          <w:szCs w:val="20"/>
          <w:lang w:val="en-US"/>
        </w:rPr>
      </w:pPr>
    </w:p>
    <w:p w14:paraId="7B8FC7F1" w14:textId="6CBE2D88" w:rsidR="007549BF" w:rsidRPr="005F57AB" w:rsidRDefault="005F57AB" w:rsidP="005F57AB">
      <w:pPr>
        <w:spacing w:line="276" w:lineRule="auto"/>
        <w:jc w:val="both"/>
        <w:rPr>
          <w:rFonts w:asciiTheme="minorHAnsi" w:hAnsiTheme="minorHAnsi" w:cstheme="minorHAnsi"/>
          <w:b/>
          <w:bCs/>
        </w:rPr>
      </w:pPr>
      <w:r w:rsidRPr="005F57AB">
        <w:rPr>
          <w:rFonts w:asciiTheme="minorHAnsi" w:hAnsiTheme="minorHAnsi" w:cstheme="minorHAnsi"/>
          <w:b/>
          <w:bCs/>
        </w:rPr>
        <w:t>2.</w:t>
      </w:r>
      <w:r w:rsidRPr="005F57AB">
        <w:rPr>
          <w:rFonts w:asciiTheme="minorHAnsi" w:hAnsiTheme="minorHAnsi" w:cstheme="minorHAnsi"/>
          <w:b/>
          <w:bCs/>
        </w:rPr>
        <w:tab/>
      </w:r>
      <w:r w:rsidR="007549BF" w:rsidRPr="005F57AB">
        <w:rPr>
          <w:rFonts w:asciiTheme="minorHAnsi" w:hAnsiTheme="minorHAnsi" w:cstheme="minorHAnsi"/>
          <w:b/>
          <w:bCs/>
        </w:rPr>
        <w:t>Introduction</w:t>
      </w:r>
    </w:p>
    <w:p w14:paraId="55F66515" w14:textId="2EA161FB" w:rsidR="007549BF" w:rsidRPr="007063A8" w:rsidRDefault="007549BF" w:rsidP="00567B01">
      <w:pPr>
        <w:widowControl/>
        <w:spacing w:line="276" w:lineRule="auto"/>
        <w:ind w:firstLine="360"/>
        <w:jc w:val="both"/>
        <w:rPr>
          <w:rFonts w:asciiTheme="minorHAnsi" w:hAnsiTheme="minorHAnsi" w:cstheme="minorHAnsi"/>
        </w:rPr>
      </w:pPr>
      <w:r w:rsidRPr="007063A8">
        <w:rPr>
          <w:rFonts w:asciiTheme="minorHAnsi" w:hAnsiTheme="minorHAnsi" w:cstheme="minorHAnsi"/>
        </w:rPr>
        <w:t xml:space="preserve">In the last two decades, social enterprises (SEs) have been studied </w:t>
      </w:r>
      <w:r w:rsidR="00766AF5" w:rsidRPr="007063A8">
        <w:rPr>
          <w:rFonts w:asciiTheme="minorHAnsi" w:hAnsiTheme="minorHAnsi" w:cstheme="minorHAnsi"/>
        </w:rPr>
        <w:t xml:space="preserve">from several different perspectives, </w:t>
      </w:r>
      <w:r w:rsidRPr="007063A8">
        <w:rPr>
          <w:rFonts w:asciiTheme="minorHAnsi" w:hAnsiTheme="minorHAnsi" w:cstheme="minorHAnsi"/>
        </w:rPr>
        <w:t xml:space="preserve">such as different </w:t>
      </w:r>
      <w:r w:rsidR="00766AF5" w:rsidRPr="007063A8">
        <w:rPr>
          <w:rFonts w:asciiTheme="minorHAnsi" w:hAnsiTheme="minorHAnsi" w:cstheme="minorHAnsi"/>
        </w:rPr>
        <w:t xml:space="preserve">business </w:t>
      </w:r>
      <w:r w:rsidRPr="007063A8">
        <w:rPr>
          <w:rFonts w:asciiTheme="minorHAnsi" w:hAnsiTheme="minorHAnsi" w:cstheme="minorHAnsi"/>
        </w:rPr>
        <w:t>models (</w:t>
      </w:r>
      <w:r w:rsidR="00D50990" w:rsidRPr="007063A8">
        <w:rPr>
          <w:rFonts w:asciiTheme="minorHAnsi" w:hAnsiTheme="minorHAnsi" w:cstheme="minorHAnsi"/>
          <w:color w:val="000000" w:themeColor="text1"/>
          <w:lang w:eastAsia="it-IT"/>
        </w:rPr>
        <w:t>Defourny</w:t>
      </w:r>
      <w:r w:rsidR="0ED82CAF" w:rsidRPr="007063A8">
        <w:rPr>
          <w:rFonts w:asciiTheme="minorHAnsi" w:hAnsiTheme="minorHAnsi" w:cstheme="minorHAnsi"/>
          <w:color w:val="000000" w:themeColor="text1"/>
          <w:lang w:eastAsia="it-IT"/>
        </w:rPr>
        <w:t xml:space="preserve"> et al.,</w:t>
      </w:r>
      <w:r w:rsidR="00D50990" w:rsidRPr="007063A8">
        <w:rPr>
          <w:rFonts w:asciiTheme="minorHAnsi" w:hAnsiTheme="minorHAnsi" w:cstheme="minorHAnsi"/>
          <w:color w:val="000000" w:themeColor="text1"/>
          <w:lang w:eastAsia="it-IT"/>
        </w:rPr>
        <w:t xml:space="preserve"> 2021</w:t>
      </w:r>
      <w:r w:rsidR="00A0601F" w:rsidRPr="007063A8">
        <w:rPr>
          <w:rFonts w:asciiTheme="minorHAnsi" w:hAnsiTheme="minorHAnsi" w:cstheme="minorHAnsi"/>
          <w:color w:val="000000" w:themeColor="text1"/>
          <w:lang w:eastAsia="it-IT"/>
        </w:rPr>
        <w:t xml:space="preserve">; Poledrini, </w:t>
      </w:r>
      <w:r w:rsidR="27F6C7DF" w:rsidRPr="007063A8">
        <w:rPr>
          <w:rFonts w:asciiTheme="minorHAnsi" w:hAnsiTheme="minorHAnsi" w:cstheme="minorHAnsi"/>
          <w:color w:val="000000" w:themeColor="text1"/>
          <w:lang w:eastAsia="it-IT"/>
        </w:rPr>
        <w:t>and</w:t>
      </w:r>
      <w:r w:rsidR="00A0601F" w:rsidRPr="007063A8">
        <w:rPr>
          <w:rFonts w:asciiTheme="minorHAnsi" w:hAnsiTheme="minorHAnsi" w:cstheme="minorHAnsi"/>
          <w:color w:val="000000" w:themeColor="text1"/>
          <w:lang w:eastAsia="it-IT"/>
        </w:rPr>
        <w:t xml:space="preserve"> </w:t>
      </w:r>
      <w:r w:rsidR="00BA628A" w:rsidRPr="007063A8">
        <w:rPr>
          <w:rFonts w:asciiTheme="minorHAnsi" w:hAnsiTheme="minorHAnsi" w:cstheme="minorHAnsi"/>
          <w:color w:val="000000" w:themeColor="text1"/>
          <w:lang w:eastAsia="it-IT"/>
        </w:rPr>
        <w:t>Borzaga</w:t>
      </w:r>
      <w:r w:rsidR="7458C217" w:rsidRPr="007063A8">
        <w:rPr>
          <w:rFonts w:asciiTheme="minorHAnsi" w:hAnsiTheme="minorHAnsi" w:cstheme="minorHAnsi"/>
          <w:color w:val="000000" w:themeColor="text1"/>
          <w:lang w:eastAsia="it-IT"/>
        </w:rPr>
        <w:t>,</w:t>
      </w:r>
      <w:r w:rsidR="00BA628A" w:rsidRPr="007063A8">
        <w:rPr>
          <w:rFonts w:asciiTheme="minorHAnsi" w:hAnsiTheme="minorHAnsi" w:cstheme="minorHAnsi"/>
          <w:color w:val="000000" w:themeColor="text1"/>
          <w:lang w:eastAsia="it-IT"/>
        </w:rPr>
        <w:t xml:space="preserve"> </w:t>
      </w:r>
      <w:r w:rsidR="00A0601F" w:rsidRPr="007063A8">
        <w:rPr>
          <w:rFonts w:asciiTheme="minorHAnsi" w:hAnsiTheme="minorHAnsi" w:cstheme="minorHAnsi"/>
          <w:color w:val="000000" w:themeColor="text1"/>
          <w:lang w:eastAsia="it-IT"/>
        </w:rPr>
        <w:t>202</w:t>
      </w:r>
      <w:r w:rsidR="00BA628A" w:rsidRPr="007063A8">
        <w:rPr>
          <w:rFonts w:asciiTheme="minorHAnsi" w:hAnsiTheme="minorHAnsi" w:cstheme="minorHAnsi"/>
          <w:color w:val="000000" w:themeColor="text1"/>
          <w:lang w:eastAsia="it-IT"/>
        </w:rPr>
        <w:t>1</w:t>
      </w:r>
      <w:r w:rsidRPr="007063A8">
        <w:rPr>
          <w:rFonts w:asciiTheme="minorHAnsi" w:hAnsiTheme="minorHAnsi" w:cstheme="minorHAnsi"/>
        </w:rPr>
        <w:t>), the legal typologies (</w:t>
      </w:r>
      <w:r w:rsidR="00766AF5" w:rsidRPr="007063A8">
        <w:rPr>
          <w:rFonts w:asciiTheme="minorHAnsi" w:hAnsiTheme="minorHAnsi" w:cstheme="minorHAnsi"/>
        </w:rPr>
        <w:t xml:space="preserve">Young, </w:t>
      </w:r>
      <w:r w:rsidR="5FFE0211" w:rsidRPr="007063A8">
        <w:rPr>
          <w:rFonts w:asciiTheme="minorHAnsi" w:hAnsiTheme="minorHAnsi" w:cstheme="minorHAnsi"/>
        </w:rPr>
        <w:t>et al.</w:t>
      </w:r>
      <w:r w:rsidR="278E63E9" w:rsidRPr="007063A8">
        <w:rPr>
          <w:rFonts w:asciiTheme="minorHAnsi" w:hAnsiTheme="minorHAnsi" w:cstheme="minorHAnsi"/>
        </w:rPr>
        <w:t>,</w:t>
      </w:r>
      <w:r w:rsidR="00766AF5" w:rsidRPr="007063A8">
        <w:rPr>
          <w:rFonts w:asciiTheme="minorHAnsi" w:hAnsiTheme="minorHAnsi" w:cstheme="minorHAnsi"/>
        </w:rPr>
        <w:t xml:space="preserve"> 20</w:t>
      </w:r>
      <w:r w:rsidR="00A0601F" w:rsidRPr="007063A8">
        <w:rPr>
          <w:rFonts w:asciiTheme="minorHAnsi" w:hAnsiTheme="minorHAnsi" w:cstheme="minorHAnsi"/>
        </w:rPr>
        <w:t>1</w:t>
      </w:r>
      <w:r w:rsidR="005653EA" w:rsidRPr="007063A8">
        <w:rPr>
          <w:rFonts w:asciiTheme="minorHAnsi" w:hAnsiTheme="minorHAnsi" w:cstheme="minorHAnsi"/>
        </w:rPr>
        <w:t>6;</w:t>
      </w:r>
      <w:r w:rsidR="00A0601F" w:rsidRPr="007063A8">
        <w:rPr>
          <w:rFonts w:asciiTheme="minorHAnsi" w:hAnsiTheme="minorHAnsi" w:cstheme="minorHAnsi"/>
        </w:rPr>
        <w:t xml:space="preserve"> </w:t>
      </w:r>
      <w:r w:rsidR="00A0601F" w:rsidRPr="007063A8">
        <w:rPr>
          <w:rFonts w:asciiTheme="minorHAnsi" w:hAnsiTheme="minorHAnsi" w:cstheme="minorHAnsi"/>
          <w:color w:val="000000" w:themeColor="text1"/>
          <w:lang w:eastAsia="it-IT"/>
        </w:rPr>
        <w:t xml:space="preserve">Galera, </w:t>
      </w:r>
      <w:r w:rsidR="65CCC9EB" w:rsidRPr="007063A8">
        <w:rPr>
          <w:rFonts w:asciiTheme="minorHAnsi" w:hAnsiTheme="minorHAnsi" w:cstheme="minorHAnsi"/>
          <w:color w:val="000000" w:themeColor="text1"/>
          <w:lang w:eastAsia="it-IT"/>
        </w:rPr>
        <w:t>and</w:t>
      </w:r>
      <w:r w:rsidR="00A0601F" w:rsidRPr="007063A8">
        <w:rPr>
          <w:rFonts w:asciiTheme="minorHAnsi" w:hAnsiTheme="minorHAnsi" w:cstheme="minorHAnsi"/>
          <w:color w:val="000000" w:themeColor="text1"/>
          <w:lang w:eastAsia="it-IT"/>
        </w:rPr>
        <w:t xml:space="preserve"> Borzaga</w:t>
      </w:r>
      <w:r w:rsidR="4A64B2BB" w:rsidRPr="007063A8">
        <w:rPr>
          <w:rFonts w:asciiTheme="minorHAnsi" w:hAnsiTheme="minorHAnsi" w:cstheme="minorHAnsi"/>
          <w:color w:val="000000" w:themeColor="text1"/>
          <w:lang w:eastAsia="it-IT"/>
        </w:rPr>
        <w:t>,</w:t>
      </w:r>
      <w:r w:rsidR="00A0601F" w:rsidRPr="007063A8">
        <w:rPr>
          <w:rFonts w:asciiTheme="minorHAnsi" w:hAnsiTheme="minorHAnsi" w:cstheme="minorHAnsi"/>
          <w:color w:val="000000" w:themeColor="text1"/>
          <w:lang w:eastAsia="it-IT"/>
        </w:rPr>
        <w:t xml:space="preserve"> 2009; Fici</w:t>
      </w:r>
      <w:r w:rsidR="05949573" w:rsidRPr="007063A8">
        <w:rPr>
          <w:rFonts w:asciiTheme="minorHAnsi" w:hAnsiTheme="minorHAnsi" w:cstheme="minorHAnsi"/>
          <w:color w:val="000000" w:themeColor="text1"/>
          <w:lang w:eastAsia="it-IT"/>
        </w:rPr>
        <w:t>,</w:t>
      </w:r>
      <w:r w:rsidR="00A0601F" w:rsidRPr="007063A8">
        <w:rPr>
          <w:rFonts w:asciiTheme="minorHAnsi" w:hAnsiTheme="minorHAnsi" w:cstheme="minorHAnsi"/>
          <w:color w:val="000000" w:themeColor="text1"/>
          <w:lang w:eastAsia="it-IT"/>
        </w:rPr>
        <w:t xml:space="preserve"> 2016</w:t>
      </w:r>
      <w:r w:rsidRPr="007063A8">
        <w:rPr>
          <w:rFonts w:asciiTheme="minorHAnsi" w:hAnsiTheme="minorHAnsi" w:cstheme="minorHAnsi"/>
        </w:rPr>
        <w:t>), the theoretical aspects (</w:t>
      </w:r>
      <w:r w:rsidR="00874C7F" w:rsidRPr="007063A8">
        <w:rPr>
          <w:rFonts w:asciiTheme="minorHAnsi" w:hAnsiTheme="minorHAnsi" w:cstheme="minorHAnsi"/>
          <w:color w:val="000000" w:themeColor="text1"/>
          <w:lang w:eastAsia="it-IT"/>
        </w:rPr>
        <w:t>Dart</w:t>
      </w:r>
      <w:r w:rsidR="6B4BE1E7" w:rsidRPr="007063A8">
        <w:rPr>
          <w:rFonts w:asciiTheme="minorHAnsi" w:hAnsiTheme="minorHAnsi" w:cstheme="minorHAnsi"/>
          <w:color w:val="000000" w:themeColor="text1"/>
          <w:lang w:eastAsia="it-IT"/>
        </w:rPr>
        <w:t>,</w:t>
      </w:r>
      <w:r w:rsidR="00874C7F" w:rsidRPr="007063A8">
        <w:rPr>
          <w:rFonts w:asciiTheme="minorHAnsi" w:hAnsiTheme="minorHAnsi" w:cstheme="minorHAnsi"/>
          <w:color w:val="000000" w:themeColor="text1"/>
          <w:lang w:eastAsia="it-IT"/>
        </w:rPr>
        <w:t xml:space="preserve"> 2004; </w:t>
      </w:r>
      <w:r w:rsidR="00971CBE" w:rsidRPr="007063A8">
        <w:rPr>
          <w:rFonts w:asciiTheme="minorHAnsi" w:hAnsiTheme="minorHAnsi" w:cstheme="minorHAnsi"/>
        </w:rPr>
        <w:t>Poledrini</w:t>
      </w:r>
      <w:r w:rsidR="3CAA27B1" w:rsidRPr="007063A8">
        <w:rPr>
          <w:rFonts w:asciiTheme="minorHAnsi" w:hAnsiTheme="minorHAnsi" w:cstheme="minorHAnsi"/>
        </w:rPr>
        <w:t>,</w:t>
      </w:r>
      <w:r w:rsidR="00971CBE" w:rsidRPr="007063A8">
        <w:rPr>
          <w:rFonts w:asciiTheme="minorHAnsi" w:hAnsiTheme="minorHAnsi" w:cstheme="minorHAnsi"/>
        </w:rPr>
        <w:t xml:space="preserve"> 2015; </w:t>
      </w:r>
      <w:r w:rsidR="00874C7F" w:rsidRPr="007063A8">
        <w:rPr>
          <w:rFonts w:asciiTheme="minorHAnsi" w:hAnsiTheme="minorHAnsi" w:cstheme="minorHAnsi"/>
          <w:color w:val="000000" w:themeColor="text1"/>
          <w:lang w:eastAsia="it-IT"/>
        </w:rPr>
        <w:t>Santos</w:t>
      </w:r>
      <w:r w:rsidR="00C264F4" w:rsidRPr="007063A8">
        <w:rPr>
          <w:rFonts w:asciiTheme="minorHAnsi" w:hAnsiTheme="minorHAnsi" w:cstheme="minorHAnsi"/>
          <w:color w:val="000000" w:themeColor="text1"/>
          <w:lang w:eastAsia="it-IT"/>
        </w:rPr>
        <w:t>,</w:t>
      </w:r>
      <w:r w:rsidR="00874C7F" w:rsidRPr="007063A8">
        <w:rPr>
          <w:rFonts w:asciiTheme="minorHAnsi" w:hAnsiTheme="minorHAnsi" w:cstheme="minorHAnsi"/>
          <w:color w:val="000000" w:themeColor="text1"/>
          <w:lang w:eastAsia="it-IT"/>
        </w:rPr>
        <w:t xml:space="preserve"> 2012</w:t>
      </w:r>
      <w:r w:rsidRPr="007063A8">
        <w:rPr>
          <w:rFonts w:asciiTheme="minorHAnsi" w:hAnsiTheme="minorHAnsi" w:cstheme="minorHAnsi"/>
        </w:rPr>
        <w:t>), the financial ones (</w:t>
      </w:r>
      <w:r w:rsidR="00874C7F" w:rsidRPr="007063A8">
        <w:rPr>
          <w:rFonts w:asciiTheme="minorHAnsi" w:hAnsiTheme="minorHAnsi" w:cstheme="minorHAnsi"/>
          <w:color w:val="000000" w:themeColor="text1"/>
          <w:lang w:eastAsia="it-IT"/>
        </w:rPr>
        <w:t>Lall</w:t>
      </w:r>
      <w:r w:rsidR="7A9688AB" w:rsidRPr="007063A8">
        <w:rPr>
          <w:rFonts w:asciiTheme="minorHAnsi" w:hAnsiTheme="minorHAnsi" w:cstheme="minorHAnsi"/>
          <w:color w:val="000000" w:themeColor="text1"/>
          <w:lang w:eastAsia="it-IT"/>
        </w:rPr>
        <w:t xml:space="preserve"> and </w:t>
      </w:r>
      <w:r w:rsidR="00874C7F" w:rsidRPr="007063A8">
        <w:rPr>
          <w:rFonts w:asciiTheme="minorHAnsi" w:hAnsiTheme="minorHAnsi" w:cstheme="minorHAnsi"/>
          <w:color w:val="000000" w:themeColor="text1"/>
          <w:lang w:eastAsia="it-IT"/>
        </w:rPr>
        <w:t>Park</w:t>
      </w:r>
      <w:r w:rsidR="5E6933A5" w:rsidRPr="007063A8">
        <w:rPr>
          <w:rFonts w:asciiTheme="minorHAnsi" w:hAnsiTheme="minorHAnsi" w:cstheme="minorHAnsi"/>
          <w:color w:val="000000" w:themeColor="text1"/>
          <w:lang w:eastAsia="it-IT"/>
        </w:rPr>
        <w:t>,</w:t>
      </w:r>
      <w:r w:rsidR="00874C7F" w:rsidRPr="007063A8">
        <w:rPr>
          <w:rFonts w:asciiTheme="minorHAnsi" w:hAnsiTheme="minorHAnsi" w:cstheme="minorHAnsi"/>
          <w:color w:val="000000" w:themeColor="text1"/>
          <w:lang w:eastAsia="it-IT"/>
        </w:rPr>
        <w:t xml:space="preserve"> 2020; Périlleux</w:t>
      </w:r>
      <w:r w:rsidR="3711BE54" w:rsidRPr="007063A8">
        <w:rPr>
          <w:rFonts w:asciiTheme="minorHAnsi" w:hAnsiTheme="minorHAnsi" w:cstheme="minorHAnsi"/>
          <w:color w:val="000000" w:themeColor="text1"/>
          <w:lang w:eastAsia="it-IT"/>
        </w:rPr>
        <w:t>,</w:t>
      </w:r>
      <w:r w:rsidR="00874C7F" w:rsidRPr="007063A8">
        <w:rPr>
          <w:rFonts w:asciiTheme="minorHAnsi" w:hAnsiTheme="minorHAnsi" w:cstheme="minorHAnsi"/>
          <w:color w:val="000000" w:themeColor="text1"/>
          <w:lang w:eastAsia="it-IT"/>
        </w:rPr>
        <w:t xml:space="preserve"> 2015; Searing et al.</w:t>
      </w:r>
      <w:r w:rsidR="71314873" w:rsidRPr="007063A8">
        <w:rPr>
          <w:rFonts w:asciiTheme="minorHAnsi" w:hAnsiTheme="minorHAnsi" w:cstheme="minorHAnsi"/>
          <w:color w:val="000000" w:themeColor="text1"/>
          <w:lang w:eastAsia="it-IT"/>
        </w:rPr>
        <w:t>,</w:t>
      </w:r>
      <w:r w:rsidR="00874C7F" w:rsidRPr="007063A8">
        <w:rPr>
          <w:rFonts w:asciiTheme="minorHAnsi" w:hAnsiTheme="minorHAnsi" w:cstheme="minorHAnsi"/>
          <w:color w:val="000000" w:themeColor="text1"/>
          <w:lang w:eastAsia="it-IT"/>
        </w:rPr>
        <w:t xml:space="preserve"> 2022</w:t>
      </w:r>
      <w:r w:rsidRPr="007063A8">
        <w:rPr>
          <w:rFonts w:asciiTheme="minorHAnsi" w:hAnsiTheme="minorHAnsi" w:cstheme="minorHAnsi"/>
        </w:rPr>
        <w:t>), strategic (</w:t>
      </w:r>
      <w:r w:rsidR="00BA628A" w:rsidRPr="007063A8">
        <w:rPr>
          <w:rFonts w:asciiTheme="minorHAnsi" w:hAnsiTheme="minorHAnsi" w:cstheme="minorHAnsi"/>
          <w:color w:val="000000" w:themeColor="text1"/>
          <w:lang w:eastAsia="it-IT"/>
        </w:rPr>
        <w:t>Haigh et al.</w:t>
      </w:r>
      <w:r w:rsidR="62F95FEB" w:rsidRPr="007063A8">
        <w:rPr>
          <w:rFonts w:asciiTheme="minorHAnsi" w:hAnsiTheme="minorHAnsi" w:cstheme="minorHAnsi"/>
          <w:color w:val="000000" w:themeColor="text1"/>
          <w:lang w:eastAsia="it-IT"/>
        </w:rPr>
        <w:t>,</w:t>
      </w:r>
      <w:r w:rsidR="00BA628A" w:rsidRPr="007063A8">
        <w:rPr>
          <w:rFonts w:asciiTheme="minorHAnsi" w:hAnsiTheme="minorHAnsi" w:cstheme="minorHAnsi"/>
          <w:color w:val="000000" w:themeColor="text1"/>
          <w:lang w:eastAsia="it-IT"/>
        </w:rPr>
        <w:t xml:space="preserve"> 2015; </w:t>
      </w:r>
      <w:r w:rsidR="00042B7E" w:rsidRPr="007063A8">
        <w:rPr>
          <w:rFonts w:asciiTheme="minorHAnsi" w:hAnsiTheme="minorHAnsi" w:cstheme="minorHAnsi"/>
          <w:color w:val="000000" w:themeColor="text1"/>
          <w:lang w:eastAsia="it-IT"/>
        </w:rPr>
        <w:t>Liu</w:t>
      </w:r>
      <w:r w:rsidR="23E59F4B" w:rsidRPr="007063A8">
        <w:rPr>
          <w:rFonts w:asciiTheme="minorHAnsi" w:hAnsiTheme="minorHAnsi" w:cstheme="minorHAnsi"/>
          <w:color w:val="000000" w:themeColor="text1"/>
          <w:lang w:eastAsia="it-IT"/>
        </w:rPr>
        <w:t xml:space="preserve"> et al., </w:t>
      </w:r>
      <w:r w:rsidR="00042B7E" w:rsidRPr="007063A8">
        <w:rPr>
          <w:rFonts w:asciiTheme="minorHAnsi" w:hAnsiTheme="minorHAnsi" w:cstheme="minorHAnsi"/>
          <w:color w:val="000000" w:themeColor="text1"/>
          <w:lang w:eastAsia="it-IT"/>
        </w:rPr>
        <w:t>2012</w:t>
      </w:r>
      <w:r w:rsidRPr="007063A8">
        <w:rPr>
          <w:rFonts w:asciiTheme="minorHAnsi" w:hAnsiTheme="minorHAnsi" w:cstheme="minorHAnsi"/>
        </w:rPr>
        <w:t xml:space="preserve">), and many others. However, the recent economic, financial and social crisis generated by the </w:t>
      </w:r>
      <w:r w:rsidR="00766AF5" w:rsidRPr="007063A8">
        <w:rPr>
          <w:rFonts w:asciiTheme="minorHAnsi" w:hAnsiTheme="minorHAnsi" w:cstheme="minorHAnsi"/>
        </w:rPr>
        <w:t>COVID-</w:t>
      </w:r>
      <w:r w:rsidRPr="007063A8">
        <w:rPr>
          <w:rFonts w:asciiTheme="minorHAnsi" w:hAnsiTheme="minorHAnsi" w:cstheme="minorHAnsi"/>
        </w:rPr>
        <w:t xml:space="preserve">19 </w:t>
      </w:r>
      <w:r w:rsidRPr="007063A8">
        <w:rPr>
          <w:rFonts w:asciiTheme="minorHAnsi" w:hAnsiTheme="minorHAnsi" w:cstheme="minorHAnsi"/>
        </w:rPr>
        <w:lastRenderedPageBreak/>
        <w:t xml:space="preserve">pandemic has opened a new </w:t>
      </w:r>
      <w:r w:rsidR="00766AF5" w:rsidRPr="007063A8">
        <w:rPr>
          <w:rFonts w:asciiTheme="minorHAnsi" w:hAnsiTheme="minorHAnsi" w:cstheme="minorHAnsi"/>
        </w:rPr>
        <w:t>avenue of research, allowing us to examine both how such SEs have performed under duress and how their impact on society is different from those of their non-SE organizational peers</w:t>
      </w:r>
      <w:r w:rsidRPr="007063A8">
        <w:rPr>
          <w:rFonts w:asciiTheme="minorHAnsi" w:hAnsiTheme="minorHAnsi" w:cstheme="minorHAnsi"/>
        </w:rPr>
        <w:t xml:space="preserve"> (Bacq </w:t>
      </w:r>
      <w:r w:rsidR="59E8FB44" w:rsidRPr="007063A8">
        <w:rPr>
          <w:rFonts w:asciiTheme="minorHAnsi" w:hAnsiTheme="minorHAnsi" w:cstheme="minorHAnsi"/>
        </w:rPr>
        <w:t>and</w:t>
      </w:r>
      <w:r w:rsidRPr="007063A8">
        <w:rPr>
          <w:rFonts w:asciiTheme="minorHAnsi" w:hAnsiTheme="minorHAnsi" w:cstheme="minorHAnsi"/>
        </w:rPr>
        <w:t xml:space="preserve"> Lumpkin</w:t>
      </w:r>
      <w:r w:rsidR="3CEA2856" w:rsidRPr="007063A8">
        <w:rPr>
          <w:rFonts w:asciiTheme="minorHAnsi" w:hAnsiTheme="minorHAnsi" w:cstheme="minorHAnsi"/>
        </w:rPr>
        <w:t>,</w:t>
      </w:r>
      <w:r w:rsidRPr="007063A8">
        <w:rPr>
          <w:rFonts w:asciiTheme="minorHAnsi" w:hAnsiTheme="minorHAnsi" w:cstheme="minorHAnsi"/>
        </w:rPr>
        <w:t xml:space="preserve"> 2020; Sarma</w:t>
      </w:r>
      <w:r w:rsidR="66688042" w:rsidRPr="007063A8">
        <w:rPr>
          <w:rFonts w:asciiTheme="minorHAnsi" w:hAnsiTheme="minorHAnsi" w:cstheme="minorHAnsi"/>
        </w:rPr>
        <w:t xml:space="preserve"> et al.</w:t>
      </w:r>
      <w:hyperlink r:id="rId9">
        <w:r w:rsidR="582564FB" w:rsidRPr="007063A8">
          <w:rPr>
            <w:rStyle w:val="Hyperlink"/>
            <w:rFonts w:asciiTheme="minorHAnsi" w:hAnsiTheme="minorHAnsi" w:cstheme="minorHAnsi"/>
            <w:sz w:val="20"/>
          </w:rPr>
          <w:t>,</w:t>
        </w:r>
        <w:r w:rsidRPr="007063A8">
          <w:rPr>
            <w:rStyle w:val="Hyperlink"/>
            <w:rFonts w:asciiTheme="minorHAnsi" w:hAnsiTheme="minorHAnsi" w:cstheme="minorHAnsi"/>
            <w:sz w:val="20"/>
          </w:rPr>
          <w:t xml:space="preserve"> </w:t>
        </w:r>
      </w:hyperlink>
      <w:r w:rsidRPr="007063A8">
        <w:rPr>
          <w:rFonts w:asciiTheme="minorHAnsi" w:hAnsiTheme="minorHAnsi" w:cstheme="minorHAnsi"/>
        </w:rPr>
        <w:t xml:space="preserve">2022). Therefore, this research aims to shed more light on this aspect and, in particular, to answer the following research question: </w:t>
      </w:r>
      <w:r w:rsidRPr="007063A8">
        <w:rPr>
          <w:rFonts w:asciiTheme="minorHAnsi" w:hAnsiTheme="minorHAnsi" w:cstheme="minorHAnsi"/>
          <w:i/>
          <w:iCs/>
        </w:rPr>
        <w:t>how did COVID 19 pandemic cri</w:t>
      </w:r>
      <w:r w:rsidR="00766AF5" w:rsidRPr="007063A8">
        <w:rPr>
          <w:rFonts w:asciiTheme="minorHAnsi" w:hAnsiTheme="minorHAnsi" w:cstheme="minorHAnsi"/>
          <w:i/>
          <w:iCs/>
        </w:rPr>
        <w:t>si</w:t>
      </w:r>
      <w:r w:rsidRPr="007063A8">
        <w:rPr>
          <w:rFonts w:asciiTheme="minorHAnsi" w:hAnsiTheme="minorHAnsi" w:cstheme="minorHAnsi"/>
          <w:i/>
          <w:iCs/>
        </w:rPr>
        <w:t>s affect</w:t>
      </w:r>
      <w:r w:rsidR="00766AF5" w:rsidRPr="007063A8">
        <w:rPr>
          <w:rFonts w:asciiTheme="minorHAnsi" w:hAnsiTheme="minorHAnsi" w:cstheme="minorHAnsi"/>
          <w:i/>
          <w:iCs/>
        </w:rPr>
        <w:t xml:space="preserve"> the performance of</w:t>
      </w:r>
      <w:r w:rsidRPr="007063A8">
        <w:rPr>
          <w:rFonts w:asciiTheme="minorHAnsi" w:hAnsiTheme="minorHAnsi" w:cstheme="minorHAnsi"/>
          <w:i/>
          <w:iCs/>
        </w:rPr>
        <w:t xml:space="preserve"> SEs</w:t>
      </w:r>
      <w:r w:rsidR="00766AF5" w:rsidRPr="007063A8">
        <w:rPr>
          <w:rFonts w:asciiTheme="minorHAnsi" w:hAnsiTheme="minorHAnsi" w:cstheme="minorHAnsi"/>
          <w:i/>
          <w:iCs/>
        </w:rPr>
        <w:t xml:space="preserve">, especially in comparison to </w:t>
      </w:r>
      <w:r w:rsidRPr="007063A8">
        <w:rPr>
          <w:rFonts w:asciiTheme="minorHAnsi" w:hAnsiTheme="minorHAnsi" w:cstheme="minorHAnsi"/>
          <w:i/>
          <w:iCs/>
        </w:rPr>
        <w:t>traditional, non-social companies</w:t>
      </w:r>
      <w:r w:rsidRPr="007063A8">
        <w:rPr>
          <w:rFonts w:asciiTheme="minorHAnsi" w:hAnsiTheme="minorHAnsi" w:cstheme="minorHAnsi"/>
        </w:rPr>
        <w:t>?</w:t>
      </w:r>
    </w:p>
    <w:p w14:paraId="6890AC45" w14:textId="11ABFCCD" w:rsidR="007549BF" w:rsidRPr="007063A8" w:rsidRDefault="00766AF5" w:rsidP="58FB800D">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z w:val="20"/>
          <w:szCs w:val="20"/>
          <w:lang w:val="en-US"/>
        </w:rPr>
        <w:t xml:space="preserve">In order to answer our question, we </w:t>
      </w:r>
      <w:r w:rsidR="007549BF" w:rsidRPr="007063A8">
        <w:rPr>
          <w:rFonts w:asciiTheme="minorHAnsi" w:hAnsiTheme="minorHAnsi" w:cstheme="minorHAnsi"/>
          <w:sz w:val="20"/>
          <w:szCs w:val="20"/>
          <w:lang w:val="en-US"/>
        </w:rPr>
        <w:t>extract</w:t>
      </w:r>
      <w:r w:rsidRPr="007063A8">
        <w:rPr>
          <w:rFonts w:asciiTheme="minorHAnsi" w:hAnsiTheme="minorHAnsi" w:cstheme="minorHAnsi"/>
          <w:sz w:val="20"/>
          <w:szCs w:val="20"/>
          <w:lang w:val="en-US"/>
        </w:rPr>
        <w:t xml:space="preserve"> data</w:t>
      </w:r>
      <w:r w:rsidR="007549BF" w:rsidRPr="007063A8">
        <w:rPr>
          <w:rFonts w:asciiTheme="minorHAnsi" w:hAnsiTheme="minorHAnsi" w:cstheme="minorHAnsi"/>
          <w:sz w:val="20"/>
          <w:szCs w:val="20"/>
          <w:lang w:val="en-US"/>
        </w:rPr>
        <w:t xml:space="preserve"> </w:t>
      </w:r>
      <w:r w:rsidR="006D35A8" w:rsidRPr="007063A8">
        <w:rPr>
          <w:rFonts w:asciiTheme="minorHAnsi" w:hAnsiTheme="minorHAnsi" w:cstheme="minorHAnsi"/>
          <w:sz w:val="20"/>
          <w:szCs w:val="20"/>
          <w:lang w:val="en-US"/>
        </w:rPr>
        <w:t xml:space="preserve">on two comparable corporate forms </w:t>
      </w:r>
      <w:r w:rsidR="007549BF" w:rsidRPr="007063A8">
        <w:rPr>
          <w:rFonts w:asciiTheme="minorHAnsi" w:hAnsiTheme="minorHAnsi" w:cstheme="minorHAnsi"/>
          <w:sz w:val="20"/>
          <w:szCs w:val="20"/>
          <w:lang w:val="en-US"/>
        </w:rPr>
        <w:t>from the AIDA</w:t>
      </w:r>
      <w:r w:rsidR="007549BF" w:rsidRPr="007063A8">
        <w:rPr>
          <w:rStyle w:val="FootnoteReference"/>
          <w:rFonts w:asciiTheme="minorHAnsi" w:hAnsiTheme="minorHAnsi" w:cstheme="minorHAnsi"/>
          <w:sz w:val="20"/>
          <w:szCs w:val="20"/>
        </w:rPr>
        <w:footnoteReference w:id="1"/>
      </w:r>
      <w:r w:rsidR="007549BF" w:rsidRPr="007063A8">
        <w:rPr>
          <w:rFonts w:asciiTheme="minorHAnsi" w:hAnsiTheme="minorHAnsi" w:cstheme="minorHAnsi"/>
          <w:sz w:val="20"/>
          <w:szCs w:val="20"/>
          <w:lang w:val="en-US"/>
        </w:rPr>
        <w:t xml:space="preserve"> database</w:t>
      </w:r>
      <w:r w:rsidR="006D35A8" w:rsidRPr="007063A8">
        <w:rPr>
          <w:rFonts w:asciiTheme="minorHAnsi" w:hAnsiTheme="minorHAnsi" w:cstheme="minorHAnsi"/>
          <w:sz w:val="20"/>
          <w:szCs w:val="20"/>
          <w:lang w:val="en-US"/>
        </w:rPr>
        <w:t>. First, we</w:t>
      </w:r>
      <w:r w:rsidR="007549BF" w:rsidRPr="007063A8">
        <w:rPr>
          <w:rFonts w:asciiTheme="minorHAnsi" w:hAnsiTheme="minorHAnsi" w:cstheme="minorHAnsi"/>
          <w:sz w:val="20"/>
          <w:szCs w:val="20"/>
          <w:lang w:val="en-US"/>
        </w:rPr>
        <w:t xml:space="preserve"> select the entire population of </w:t>
      </w:r>
      <w:r w:rsidR="00AE18EA" w:rsidRPr="007063A8">
        <w:rPr>
          <w:rFonts w:asciiTheme="minorHAnsi" w:hAnsiTheme="minorHAnsi" w:cstheme="minorHAnsi"/>
          <w:sz w:val="20"/>
          <w:szCs w:val="20"/>
          <w:lang w:val="en-US"/>
        </w:rPr>
        <w:t xml:space="preserve">the most common SE legal form in </w:t>
      </w:r>
      <w:r w:rsidR="007549BF" w:rsidRPr="007063A8">
        <w:rPr>
          <w:rFonts w:asciiTheme="minorHAnsi" w:hAnsiTheme="minorHAnsi" w:cstheme="minorHAnsi"/>
          <w:sz w:val="20"/>
          <w:szCs w:val="20"/>
          <w:lang w:val="en-US"/>
        </w:rPr>
        <w:t>Ital</w:t>
      </w:r>
      <w:r w:rsidR="00AE18EA" w:rsidRPr="007063A8">
        <w:rPr>
          <w:rFonts w:asciiTheme="minorHAnsi" w:hAnsiTheme="minorHAnsi" w:cstheme="minorHAnsi"/>
          <w:sz w:val="20"/>
          <w:szCs w:val="20"/>
          <w:lang w:val="en-US"/>
        </w:rPr>
        <w:t>y, that is</w:t>
      </w:r>
      <w:r w:rsidR="007549BF" w:rsidRPr="007063A8">
        <w:rPr>
          <w:rFonts w:asciiTheme="minorHAnsi" w:hAnsiTheme="minorHAnsi" w:cstheme="minorHAnsi"/>
          <w:sz w:val="20"/>
          <w:szCs w:val="20"/>
          <w:lang w:val="en-US"/>
        </w:rPr>
        <w:t xml:space="preserve"> social cooperatives (SCs)</w:t>
      </w:r>
      <w:r w:rsidR="006D35A8" w:rsidRPr="007063A8">
        <w:rPr>
          <w:rFonts w:asciiTheme="minorHAnsi" w:hAnsiTheme="minorHAnsi" w:cstheme="minorHAnsi"/>
          <w:sz w:val="20"/>
          <w:szCs w:val="20"/>
          <w:lang w:val="en-US"/>
        </w:rPr>
        <w:t>. As a comparison group, we also extract the records for</w:t>
      </w:r>
      <w:r w:rsidR="0062651E" w:rsidRPr="007063A8">
        <w:rPr>
          <w:rFonts w:asciiTheme="minorHAnsi" w:hAnsiTheme="minorHAnsi" w:cstheme="minorHAnsi"/>
          <w:sz w:val="20"/>
          <w:szCs w:val="20"/>
          <w:lang w:val="en-US"/>
        </w:rPr>
        <w:t xml:space="preserve"> private limited companies (PLC</w:t>
      </w:r>
      <w:r w:rsidR="007549BF" w:rsidRPr="007063A8">
        <w:rPr>
          <w:rFonts w:asciiTheme="minorHAnsi" w:hAnsiTheme="minorHAnsi" w:cstheme="minorHAnsi"/>
          <w:sz w:val="20"/>
          <w:szCs w:val="20"/>
          <w:lang w:val="en-US"/>
        </w:rPr>
        <w:t>s) from within the ATECO</w:t>
      </w:r>
      <w:r w:rsidR="007549BF" w:rsidRPr="007063A8">
        <w:rPr>
          <w:rStyle w:val="FootnoteReference"/>
          <w:rFonts w:asciiTheme="minorHAnsi" w:hAnsiTheme="minorHAnsi" w:cstheme="minorHAnsi"/>
          <w:sz w:val="20"/>
          <w:szCs w:val="20"/>
          <w:lang w:val="en-US"/>
        </w:rPr>
        <w:footnoteReference w:id="2"/>
      </w:r>
      <w:r w:rsidR="007549BF" w:rsidRPr="007063A8">
        <w:rPr>
          <w:rFonts w:asciiTheme="minorHAnsi" w:hAnsiTheme="minorHAnsi" w:cstheme="minorHAnsi"/>
          <w:sz w:val="20"/>
          <w:szCs w:val="20"/>
          <w:lang w:val="en-US"/>
        </w:rPr>
        <w:t xml:space="preserve"> sectors </w:t>
      </w:r>
      <w:r w:rsidR="007549BF" w:rsidRPr="007063A8">
        <w:rPr>
          <w:rFonts w:asciiTheme="minorHAnsi" w:hAnsiTheme="minorHAnsi" w:cstheme="minorHAnsi"/>
          <w:sz w:val="20"/>
          <w:szCs w:val="20"/>
          <w:lang w:val="en-GB"/>
        </w:rPr>
        <w:t>87 (residential social assistance services) and 88 (non-residential social assistance)</w:t>
      </w:r>
      <w:r w:rsidR="007549BF" w:rsidRPr="007063A8">
        <w:rPr>
          <w:rFonts w:asciiTheme="minorHAnsi" w:hAnsiTheme="minorHAnsi" w:cstheme="minorHAnsi"/>
          <w:sz w:val="20"/>
          <w:szCs w:val="20"/>
          <w:lang w:val="en-US"/>
        </w:rPr>
        <w:t>. The choice of these ATECO codes made it possible to focus attention on the sectors of economic activity in which the form of SCs is widespread in Italy</w:t>
      </w:r>
      <w:r w:rsidR="002B7D17" w:rsidRPr="007063A8">
        <w:rPr>
          <w:rFonts w:asciiTheme="minorHAnsi" w:hAnsiTheme="minorHAnsi" w:cstheme="minorHAnsi"/>
          <w:sz w:val="20"/>
          <w:szCs w:val="20"/>
          <w:lang w:val="en-US"/>
        </w:rPr>
        <w:t xml:space="preserve"> (Borzaga </w:t>
      </w:r>
      <w:r w:rsidR="17187C4B" w:rsidRPr="007063A8">
        <w:rPr>
          <w:rFonts w:asciiTheme="minorHAnsi" w:hAnsiTheme="minorHAnsi" w:cstheme="minorHAnsi"/>
          <w:sz w:val="20"/>
          <w:szCs w:val="20"/>
          <w:lang w:val="en-US"/>
        </w:rPr>
        <w:t>and</w:t>
      </w:r>
      <w:r w:rsidR="002B7D17" w:rsidRPr="007063A8">
        <w:rPr>
          <w:rFonts w:asciiTheme="minorHAnsi" w:hAnsiTheme="minorHAnsi" w:cstheme="minorHAnsi"/>
          <w:sz w:val="20"/>
          <w:szCs w:val="20"/>
          <w:lang w:val="en-US"/>
        </w:rPr>
        <w:t xml:space="preserve"> Galera</w:t>
      </w:r>
      <w:r w:rsidR="3FA3509E" w:rsidRPr="007063A8">
        <w:rPr>
          <w:rFonts w:asciiTheme="minorHAnsi" w:hAnsiTheme="minorHAnsi" w:cstheme="minorHAnsi"/>
          <w:sz w:val="20"/>
          <w:szCs w:val="20"/>
          <w:lang w:val="en-US"/>
        </w:rPr>
        <w:t>,</w:t>
      </w:r>
      <w:r w:rsidR="002B7D17" w:rsidRPr="007063A8">
        <w:rPr>
          <w:rFonts w:asciiTheme="minorHAnsi" w:hAnsiTheme="minorHAnsi" w:cstheme="minorHAnsi"/>
          <w:sz w:val="20"/>
          <w:szCs w:val="20"/>
          <w:lang w:val="en-US"/>
        </w:rPr>
        <w:t xml:space="preserve"> 2016)</w:t>
      </w:r>
      <w:r w:rsidR="007549BF" w:rsidRPr="007063A8">
        <w:rPr>
          <w:rFonts w:asciiTheme="minorHAnsi" w:hAnsiTheme="minorHAnsi" w:cstheme="minorHAnsi"/>
          <w:sz w:val="20"/>
          <w:szCs w:val="20"/>
          <w:lang w:val="en-US"/>
        </w:rPr>
        <w:t>. All enterprises</w:t>
      </w:r>
      <w:r w:rsidR="006D35A8" w:rsidRPr="007063A8">
        <w:rPr>
          <w:rFonts w:asciiTheme="minorHAnsi" w:hAnsiTheme="minorHAnsi" w:cstheme="minorHAnsi"/>
          <w:sz w:val="20"/>
          <w:szCs w:val="20"/>
          <w:lang w:val="en-US"/>
        </w:rPr>
        <w:t xml:space="preserve"> of both corporate types</w:t>
      </w:r>
      <w:r w:rsidR="007549BF" w:rsidRPr="007063A8">
        <w:rPr>
          <w:rFonts w:asciiTheme="minorHAnsi" w:hAnsiTheme="minorHAnsi" w:cstheme="minorHAnsi"/>
          <w:sz w:val="20"/>
          <w:szCs w:val="20"/>
          <w:lang w:val="en-US"/>
        </w:rPr>
        <w:t xml:space="preserve"> have between 5 and 250 employees, and we </w:t>
      </w:r>
      <w:r w:rsidR="0062651E" w:rsidRPr="007063A8">
        <w:rPr>
          <w:rFonts w:asciiTheme="minorHAnsi" w:hAnsiTheme="minorHAnsi" w:cstheme="minorHAnsi"/>
          <w:sz w:val="20"/>
          <w:szCs w:val="20"/>
          <w:lang w:val="en-US"/>
        </w:rPr>
        <w:t>use a short panel of years (2018-2021</w:t>
      </w:r>
      <w:r w:rsidR="007549BF" w:rsidRPr="007063A8">
        <w:rPr>
          <w:rFonts w:asciiTheme="minorHAnsi" w:hAnsiTheme="minorHAnsi" w:cstheme="minorHAnsi"/>
          <w:sz w:val="20"/>
          <w:szCs w:val="20"/>
          <w:lang w:val="en-US"/>
        </w:rPr>
        <w:t>)</w:t>
      </w:r>
      <w:r w:rsidR="0062651E" w:rsidRPr="007063A8">
        <w:rPr>
          <w:rFonts w:asciiTheme="minorHAnsi" w:hAnsiTheme="minorHAnsi" w:cstheme="minorHAnsi"/>
          <w:sz w:val="20"/>
          <w:szCs w:val="20"/>
          <w:lang w:val="en-US"/>
        </w:rPr>
        <w:t xml:space="preserve"> to capture pre-pandemic, pandemic and post-pandemic conditions.</w:t>
      </w:r>
    </w:p>
    <w:p w14:paraId="4D458C01" w14:textId="799EBC7E" w:rsidR="0062651E" w:rsidRPr="007063A8" w:rsidRDefault="006D35A8" w:rsidP="00DE7D0B">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z w:val="20"/>
          <w:szCs w:val="20"/>
          <w:lang w:val="en-US"/>
        </w:rPr>
        <w:t xml:space="preserve">Our findings are generally in line with our expectations, though with notable exceptions. First, though we expected </w:t>
      </w:r>
      <w:r w:rsidR="0062651E" w:rsidRPr="007063A8">
        <w:rPr>
          <w:rFonts w:asciiTheme="minorHAnsi" w:hAnsiTheme="minorHAnsi" w:cstheme="minorHAnsi"/>
          <w:sz w:val="20"/>
          <w:szCs w:val="20"/>
          <w:lang w:val="en-US"/>
        </w:rPr>
        <w:t xml:space="preserve">a negative impact </w:t>
      </w:r>
      <w:r w:rsidR="00B73CA5" w:rsidRPr="007063A8">
        <w:rPr>
          <w:rFonts w:asciiTheme="minorHAnsi" w:hAnsiTheme="minorHAnsi" w:cstheme="minorHAnsi"/>
          <w:sz w:val="20"/>
          <w:szCs w:val="20"/>
          <w:lang w:val="en-US"/>
        </w:rPr>
        <w:t>from</w:t>
      </w:r>
      <w:r w:rsidR="0062651E" w:rsidRPr="007063A8">
        <w:rPr>
          <w:rFonts w:asciiTheme="minorHAnsi" w:hAnsiTheme="minorHAnsi" w:cstheme="minorHAnsi"/>
          <w:sz w:val="20"/>
          <w:szCs w:val="20"/>
          <w:lang w:val="en-US"/>
        </w:rPr>
        <w:t xml:space="preserve"> the crisis and a strong post-pandemic recovery </w:t>
      </w:r>
      <w:r w:rsidR="00102933" w:rsidRPr="007063A8">
        <w:rPr>
          <w:rFonts w:asciiTheme="minorHAnsi" w:hAnsiTheme="minorHAnsi" w:cstheme="minorHAnsi"/>
          <w:sz w:val="20"/>
          <w:szCs w:val="20"/>
          <w:lang w:val="en-US"/>
        </w:rPr>
        <w:t>for</w:t>
      </w:r>
      <w:r w:rsidR="0062651E" w:rsidRPr="007063A8">
        <w:rPr>
          <w:rFonts w:asciiTheme="minorHAnsi" w:hAnsiTheme="minorHAnsi" w:cstheme="minorHAnsi"/>
          <w:sz w:val="20"/>
          <w:szCs w:val="20"/>
          <w:lang w:val="en-US"/>
        </w:rPr>
        <w:t xml:space="preserve"> both SCs and PLCs, </w:t>
      </w:r>
      <w:r w:rsidR="00102933" w:rsidRPr="007063A8">
        <w:rPr>
          <w:rFonts w:asciiTheme="minorHAnsi" w:hAnsiTheme="minorHAnsi" w:cstheme="minorHAnsi"/>
          <w:sz w:val="20"/>
          <w:szCs w:val="20"/>
          <w:lang w:val="en-US"/>
        </w:rPr>
        <w:t xml:space="preserve">we find that recovery happened to different degrees </w:t>
      </w:r>
      <w:r w:rsidR="0062651E" w:rsidRPr="007063A8">
        <w:rPr>
          <w:rFonts w:asciiTheme="minorHAnsi" w:hAnsiTheme="minorHAnsi" w:cstheme="minorHAnsi"/>
          <w:sz w:val="20"/>
          <w:szCs w:val="20"/>
          <w:lang w:val="en-US"/>
        </w:rPr>
        <w:t xml:space="preserve">in the three dimensions considered. </w:t>
      </w:r>
      <w:r w:rsidR="00B73CA5" w:rsidRPr="007063A8">
        <w:rPr>
          <w:rFonts w:asciiTheme="minorHAnsi" w:hAnsiTheme="minorHAnsi" w:cstheme="minorHAnsi"/>
          <w:sz w:val="20"/>
          <w:szCs w:val="20"/>
          <w:lang w:val="en-US"/>
        </w:rPr>
        <w:t>We also found that the two</w:t>
      </w:r>
      <w:r w:rsidR="00020F80" w:rsidRPr="007063A8">
        <w:rPr>
          <w:rFonts w:asciiTheme="minorHAnsi" w:hAnsiTheme="minorHAnsi" w:cstheme="minorHAnsi"/>
          <w:sz w:val="20"/>
          <w:szCs w:val="20"/>
          <w:lang w:val="en-US"/>
        </w:rPr>
        <w:t xml:space="preserve"> </w:t>
      </w:r>
      <w:r w:rsidR="0062651E" w:rsidRPr="007063A8">
        <w:rPr>
          <w:rFonts w:asciiTheme="minorHAnsi" w:hAnsiTheme="minorHAnsi" w:cstheme="minorHAnsi"/>
          <w:sz w:val="20"/>
          <w:szCs w:val="20"/>
          <w:lang w:val="en-US"/>
        </w:rPr>
        <w:t xml:space="preserve">corporate forms to differ significantly in distributional fairness, with SCs maintaining their pre-pandemic </w:t>
      </w:r>
      <w:r w:rsidR="00B73CA5" w:rsidRPr="007063A8">
        <w:rPr>
          <w:rFonts w:asciiTheme="minorHAnsi" w:hAnsiTheme="minorHAnsi" w:cstheme="minorHAnsi"/>
          <w:sz w:val="20"/>
          <w:szCs w:val="20"/>
          <w:lang w:val="en-US"/>
        </w:rPr>
        <w:t xml:space="preserve">pro-social </w:t>
      </w:r>
      <w:r w:rsidR="0062651E" w:rsidRPr="007063A8">
        <w:rPr>
          <w:rFonts w:asciiTheme="minorHAnsi" w:hAnsiTheme="minorHAnsi" w:cstheme="minorHAnsi"/>
          <w:sz w:val="20"/>
          <w:szCs w:val="20"/>
          <w:lang w:val="en-US"/>
        </w:rPr>
        <w:t>distribution even at the cost of their financial and economic health in order to preserve their social mission</w:t>
      </w:r>
      <w:r w:rsidR="00B73CA5" w:rsidRPr="007063A8">
        <w:rPr>
          <w:rFonts w:asciiTheme="minorHAnsi" w:hAnsiTheme="minorHAnsi" w:cstheme="minorHAnsi"/>
          <w:sz w:val="20"/>
          <w:szCs w:val="20"/>
          <w:lang w:val="en-US"/>
        </w:rPr>
        <w:t xml:space="preserve">. We also find </w:t>
      </w:r>
      <w:r w:rsidR="0062651E" w:rsidRPr="007063A8">
        <w:rPr>
          <w:rFonts w:asciiTheme="minorHAnsi" w:hAnsiTheme="minorHAnsi" w:cstheme="minorHAnsi"/>
          <w:sz w:val="20"/>
          <w:szCs w:val="20"/>
          <w:lang w:val="en-US"/>
        </w:rPr>
        <w:t>a significant impact from government support programs, illustrating their efficacy as a policy tool during such crises.</w:t>
      </w:r>
    </w:p>
    <w:p w14:paraId="0018D158" w14:textId="77777777" w:rsidR="007549BF" w:rsidRPr="007063A8" w:rsidRDefault="007549BF" w:rsidP="00DE7D0B">
      <w:pPr>
        <w:pStyle w:val="NormalWeb"/>
        <w:spacing w:before="0" w:beforeAutospacing="0" w:after="0" w:afterAutospacing="0" w:line="276" w:lineRule="auto"/>
        <w:ind w:firstLine="360"/>
        <w:jc w:val="both"/>
        <w:rPr>
          <w:rFonts w:asciiTheme="minorHAnsi" w:hAnsiTheme="minorHAnsi" w:cstheme="minorHAnsi"/>
          <w:color w:val="0E101A"/>
          <w:sz w:val="20"/>
          <w:szCs w:val="20"/>
          <w:lang w:val="en-US"/>
        </w:rPr>
      </w:pPr>
    </w:p>
    <w:p w14:paraId="5323BB50" w14:textId="77777777" w:rsidR="00321440" w:rsidRPr="007063A8" w:rsidRDefault="00321440" w:rsidP="00DE7D0B">
      <w:pPr>
        <w:pStyle w:val="NormalWeb"/>
        <w:spacing w:before="0" w:beforeAutospacing="0" w:after="0" w:afterAutospacing="0" w:line="276" w:lineRule="auto"/>
        <w:ind w:firstLine="360"/>
        <w:jc w:val="both"/>
        <w:rPr>
          <w:rFonts w:asciiTheme="minorHAnsi" w:hAnsiTheme="minorHAnsi" w:cstheme="minorHAnsi"/>
          <w:color w:val="0E101A"/>
          <w:sz w:val="20"/>
          <w:szCs w:val="20"/>
          <w:lang w:val="en-US"/>
        </w:rPr>
      </w:pPr>
    </w:p>
    <w:p w14:paraId="1CD5DB8F" w14:textId="7A9751C7" w:rsidR="007549BF" w:rsidRPr="005F57AB" w:rsidRDefault="005F57AB" w:rsidP="005F57AB">
      <w:pPr>
        <w:spacing w:after="120" w:line="276" w:lineRule="auto"/>
        <w:jc w:val="both"/>
        <w:rPr>
          <w:rFonts w:asciiTheme="minorHAnsi" w:hAnsiTheme="minorHAnsi" w:cstheme="minorHAnsi"/>
          <w:b/>
          <w:bCs/>
        </w:rPr>
      </w:pPr>
      <w:r w:rsidRPr="005F57AB">
        <w:rPr>
          <w:rFonts w:asciiTheme="minorHAnsi" w:hAnsiTheme="minorHAnsi" w:cstheme="minorHAnsi"/>
          <w:b/>
          <w:bCs/>
        </w:rPr>
        <w:t>3.</w:t>
      </w:r>
      <w:r w:rsidRPr="005F57AB">
        <w:rPr>
          <w:rFonts w:asciiTheme="minorHAnsi" w:hAnsiTheme="minorHAnsi" w:cstheme="minorHAnsi"/>
          <w:b/>
          <w:bCs/>
        </w:rPr>
        <w:tab/>
      </w:r>
      <w:r w:rsidR="007549BF" w:rsidRPr="005F57AB">
        <w:rPr>
          <w:rFonts w:asciiTheme="minorHAnsi" w:hAnsiTheme="minorHAnsi" w:cstheme="minorHAnsi"/>
          <w:b/>
          <w:bCs/>
        </w:rPr>
        <w:t>Literature Review</w:t>
      </w:r>
    </w:p>
    <w:p w14:paraId="5354C8DA" w14:textId="31987BF5" w:rsidR="007549BF" w:rsidRPr="007063A8" w:rsidRDefault="007549BF" w:rsidP="00DE7D0B">
      <w:pPr>
        <w:widowControl/>
        <w:spacing w:line="276" w:lineRule="auto"/>
        <w:ind w:firstLine="360"/>
        <w:jc w:val="both"/>
        <w:rPr>
          <w:rFonts w:asciiTheme="minorHAnsi" w:hAnsiTheme="minorHAnsi" w:cstheme="minorHAnsi"/>
        </w:rPr>
      </w:pPr>
      <w:r w:rsidRPr="007063A8">
        <w:rPr>
          <w:rFonts w:asciiTheme="minorHAnsi" w:hAnsiTheme="minorHAnsi" w:cstheme="minorHAnsi"/>
        </w:rPr>
        <w:t xml:space="preserve">The issue of social enterprise performance evaluation has been studied from two main points of view. The first </w:t>
      </w:r>
      <w:r w:rsidR="00B73CA5" w:rsidRPr="007063A8">
        <w:rPr>
          <w:rFonts w:asciiTheme="minorHAnsi" w:hAnsiTheme="minorHAnsi" w:cstheme="minorHAnsi"/>
        </w:rPr>
        <w:t xml:space="preserve">perspective </w:t>
      </w:r>
      <w:r w:rsidRPr="007063A8">
        <w:rPr>
          <w:rFonts w:asciiTheme="minorHAnsi" w:hAnsiTheme="minorHAnsi" w:cstheme="minorHAnsi"/>
        </w:rPr>
        <w:t>refers to the problems inherent in the accountability of social enterprises, which i</w:t>
      </w:r>
      <w:r w:rsidR="00B73CA5" w:rsidRPr="007063A8">
        <w:rPr>
          <w:rFonts w:asciiTheme="minorHAnsi" w:hAnsiTheme="minorHAnsi" w:cstheme="minorHAnsi"/>
        </w:rPr>
        <w:t>nvolves not only activities but also</w:t>
      </w:r>
      <w:r w:rsidRPr="007063A8">
        <w:rPr>
          <w:rFonts w:asciiTheme="minorHAnsi" w:hAnsiTheme="minorHAnsi" w:cstheme="minorHAnsi"/>
        </w:rPr>
        <w:t xml:space="preserve"> how SEs communicate </w:t>
      </w:r>
      <w:r w:rsidR="00B73CA5" w:rsidRPr="007063A8">
        <w:rPr>
          <w:rFonts w:asciiTheme="minorHAnsi" w:hAnsiTheme="minorHAnsi" w:cstheme="minorHAnsi"/>
        </w:rPr>
        <w:t xml:space="preserve">about </w:t>
      </w:r>
      <w:r w:rsidRPr="007063A8">
        <w:rPr>
          <w:rFonts w:asciiTheme="minorHAnsi" w:hAnsiTheme="minorHAnsi" w:cstheme="minorHAnsi"/>
        </w:rPr>
        <w:t xml:space="preserve">their activities (Connolly </w:t>
      </w:r>
      <w:r w:rsidR="766AEEE3" w:rsidRPr="007063A8">
        <w:rPr>
          <w:rFonts w:asciiTheme="minorHAnsi" w:hAnsiTheme="minorHAnsi" w:cstheme="minorHAnsi"/>
        </w:rPr>
        <w:t>and</w:t>
      </w:r>
      <w:r w:rsidRPr="007063A8">
        <w:rPr>
          <w:rFonts w:asciiTheme="minorHAnsi" w:hAnsiTheme="minorHAnsi" w:cstheme="minorHAnsi"/>
        </w:rPr>
        <w:t xml:space="preserve"> Kelly</w:t>
      </w:r>
      <w:r w:rsidR="6383E6F1" w:rsidRPr="007063A8">
        <w:rPr>
          <w:rFonts w:asciiTheme="minorHAnsi" w:hAnsiTheme="minorHAnsi" w:cstheme="minorHAnsi"/>
        </w:rPr>
        <w:t>,</w:t>
      </w:r>
      <w:r w:rsidRPr="007063A8">
        <w:rPr>
          <w:rFonts w:asciiTheme="minorHAnsi" w:hAnsiTheme="minorHAnsi" w:cstheme="minorHAnsi"/>
        </w:rPr>
        <w:t xml:space="preserve"> 2011; Bradford</w:t>
      </w:r>
      <w:r w:rsidR="7D6DC3B8" w:rsidRPr="007063A8">
        <w:rPr>
          <w:rFonts w:asciiTheme="minorHAnsi" w:hAnsiTheme="minorHAnsi" w:cstheme="minorHAnsi"/>
        </w:rPr>
        <w:t xml:space="preserve"> et al.</w:t>
      </w:r>
      <w:r w:rsidR="643BE798" w:rsidRPr="007063A8">
        <w:rPr>
          <w:rFonts w:asciiTheme="minorHAnsi" w:hAnsiTheme="minorHAnsi" w:cstheme="minorHAnsi"/>
        </w:rPr>
        <w:t>,</w:t>
      </w:r>
      <w:r w:rsidRPr="007063A8">
        <w:rPr>
          <w:rFonts w:asciiTheme="minorHAnsi" w:hAnsiTheme="minorHAnsi" w:cstheme="minorHAnsi"/>
        </w:rPr>
        <w:t xml:space="preserve"> 2018; Bagnoli </w:t>
      </w:r>
      <w:r w:rsidR="2EA93DB1" w:rsidRPr="007063A8">
        <w:rPr>
          <w:rFonts w:asciiTheme="minorHAnsi" w:hAnsiTheme="minorHAnsi" w:cstheme="minorHAnsi"/>
        </w:rPr>
        <w:t xml:space="preserve">and </w:t>
      </w:r>
      <w:r w:rsidRPr="007063A8">
        <w:rPr>
          <w:rFonts w:asciiTheme="minorHAnsi" w:hAnsiTheme="minorHAnsi" w:cstheme="minorHAnsi"/>
        </w:rPr>
        <w:t>Toccafondi</w:t>
      </w:r>
      <w:r w:rsidR="468E96DD" w:rsidRPr="007063A8">
        <w:rPr>
          <w:rFonts w:asciiTheme="minorHAnsi" w:hAnsiTheme="minorHAnsi" w:cstheme="minorHAnsi"/>
        </w:rPr>
        <w:t>,</w:t>
      </w:r>
      <w:r w:rsidRPr="007063A8">
        <w:rPr>
          <w:rFonts w:asciiTheme="minorHAnsi" w:hAnsiTheme="minorHAnsi" w:cstheme="minorHAnsi"/>
        </w:rPr>
        <w:t xml:space="preserve"> 2011). </w:t>
      </w:r>
      <w:r w:rsidR="00B73CA5" w:rsidRPr="007063A8">
        <w:rPr>
          <w:rFonts w:asciiTheme="minorHAnsi" w:hAnsiTheme="minorHAnsi" w:cstheme="minorHAnsi"/>
        </w:rPr>
        <w:t>The second perspective</w:t>
      </w:r>
      <w:r w:rsidRPr="007063A8">
        <w:rPr>
          <w:rFonts w:asciiTheme="minorHAnsi" w:hAnsiTheme="minorHAnsi" w:cstheme="minorHAnsi"/>
        </w:rPr>
        <w:t xml:space="preserve"> is more closely linked to the assessment of the economic, financial, and social action</w:t>
      </w:r>
      <w:r w:rsidR="00B73CA5" w:rsidRPr="007063A8">
        <w:rPr>
          <w:rFonts w:asciiTheme="minorHAnsi" w:hAnsiTheme="minorHAnsi" w:cstheme="minorHAnsi"/>
        </w:rPr>
        <w:t>s</w:t>
      </w:r>
      <w:r w:rsidRPr="007063A8">
        <w:rPr>
          <w:rFonts w:asciiTheme="minorHAnsi" w:hAnsiTheme="minorHAnsi" w:cstheme="minorHAnsi"/>
        </w:rPr>
        <w:t xml:space="preserve"> carried out by social enterprises (Arena</w:t>
      </w:r>
      <w:r w:rsidR="5777A8AB" w:rsidRPr="007063A8">
        <w:rPr>
          <w:rFonts w:asciiTheme="minorHAnsi" w:hAnsiTheme="minorHAnsi" w:cstheme="minorHAnsi"/>
        </w:rPr>
        <w:t xml:space="preserve"> et al.</w:t>
      </w:r>
      <w:r w:rsidR="159D05AA" w:rsidRPr="007063A8">
        <w:rPr>
          <w:rFonts w:asciiTheme="minorHAnsi" w:hAnsiTheme="minorHAnsi" w:cstheme="minorHAnsi"/>
        </w:rPr>
        <w:t>,</w:t>
      </w:r>
      <w:r w:rsidRPr="007063A8">
        <w:rPr>
          <w:rFonts w:asciiTheme="minorHAnsi" w:hAnsiTheme="minorHAnsi" w:cstheme="minorHAnsi"/>
        </w:rPr>
        <w:t xml:space="preserve"> 2015; Bagnoli </w:t>
      </w:r>
      <w:r w:rsidR="731023F9" w:rsidRPr="007063A8">
        <w:rPr>
          <w:rFonts w:asciiTheme="minorHAnsi" w:hAnsiTheme="minorHAnsi" w:cstheme="minorHAnsi"/>
        </w:rPr>
        <w:t>and</w:t>
      </w:r>
      <w:r w:rsidRPr="007063A8">
        <w:rPr>
          <w:rFonts w:asciiTheme="minorHAnsi" w:hAnsiTheme="minorHAnsi" w:cstheme="minorHAnsi"/>
        </w:rPr>
        <w:t xml:space="preserve"> Megali</w:t>
      </w:r>
      <w:r w:rsidR="07D8082E" w:rsidRPr="007063A8">
        <w:rPr>
          <w:rFonts w:asciiTheme="minorHAnsi" w:hAnsiTheme="minorHAnsi" w:cstheme="minorHAnsi"/>
        </w:rPr>
        <w:t>,</w:t>
      </w:r>
      <w:r w:rsidRPr="007063A8">
        <w:rPr>
          <w:rFonts w:asciiTheme="minorHAnsi" w:hAnsiTheme="minorHAnsi" w:cstheme="minorHAnsi"/>
        </w:rPr>
        <w:t xml:space="preserve"> 2011). The two topics are linked and sometimes studied together, but they can also be addressed separately. Th</w:t>
      </w:r>
      <w:r w:rsidR="00B73CA5" w:rsidRPr="007063A8">
        <w:rPr>
          <w:rFonts w:asciiTheme="minorHAnsi" w:hAnsiTheme="minorHAnsi" w:cstheme="minorHAnsi"/>
        </w:rPr>
        <w:t>is article focuses on the second stream trying to assess the performance of the organization.</w:t>
      </w:r>
    </w:p>
    <w:p w14:paraId="76AA2D1B" w14:textId="50781D26" w:rsidR="007549BF" w:rsidRPr="007063A8" w:rsidRDefault="007549BF" w:rsidP="00DE7D0B">
      <w:pPr>
        <w:widowControl/>
        <w:spacing w:line="276" w:lineRule="auto"/>
        <w:ind w:firstLine="360"/>
        <w:jc w:val="both"/>
        <w:rPr>
          <w:rFonts w:asciiTheme="minorHAnsi" w:hAnsiTheme="minorHAnsi" w:cstheme="minorHAnsi"/>
        </w:rPr>
      </w:pPr>
      <w:r w:rsidRPr="007063A8">
        <w:rPr>
          <w:rFonts w:asciiTheme="minorHAnsi" w:hAnsiTheme="minorHAnsi" w:cstheme="minorHAnsi"/>
        </w:rPr>
        <w:t xml:space="preserve">The many articles belonging to this second line of research can be grouped into three main </w:t>
      </w:r>
      <w:r w:rsidR="004850BA" w:rsidRPr="007063A8">
        <w:rPr>
          <w:rFonts w:asciiTheme="minorHAnsi" w:hAnsiTheme="minorHAnsi" w:cstheme="minorHAnsi"/>
        </w:rPr>
        <w:t>streams</w:t>
      </w:r>
      <w:r w:rsidRPr="007063A8">
        <w:rPr>
          <w:rFonts w:asciiTheme="minorHAnsi" w:hAnsiTheme="minorHAnsi" w:cstheme="minorHAnsi"/>
        </w:rPr>
        <w:t xml:space="preserve">. The first is based on analyzing the </w:t>
      </w:r>
      <w:r w:rsidR="00062303" w:rsidRPr="007063A8">
        <w:rPr>
          <w:rFonts w:asciiTheme="minorHAnsi" w:hAnsiTheme="minorHAnsi" w:cstheme="minorHAnsi"/>
        </w:rPr>
        <w:t>financial statements</w:t>
      </w:r>
      <w:r w:rsidRPr="007063A8">
        <w:rPr>
          <w:rFonts w:asciiTheme="minorHAnsi" w:hAnsiTheme="minorHAnsi" w:cstheme="minorHAnsi"/>
        </w:rPr>
        <w:t xml:space="preserve"> values to assess the social impact generated by the SEs (</w:t>
      </w:r>
      <w:r w:rsidR="00735D0A" w:rsidRPr="007063A8">
        <w:rPr>
          <w:rFonts w:asciiTheme="minorHAnsi" w:hAnsiTheme="minorHAnsi" w:cstheme="minorHAnsi"/>
          <w:color w:val="000000" w:themeColor="text1"/>
          <w:lang w:eastAsia="it-IT"/>
        </w:rPr>
        <w:t>Poledrini</w:t>
      </w:r>
      <w:r w:rsidR="2C2FD0FA" w:rsidRPr="007063A8">
        <w:rPr>
          <w:rFonts w:asciiTheme="minorHAnsi" w:hAnsiTheme="minorHAnsi" w:cstheme="minorHAnsi"/>
          <w:color w:val="000000" w:themeColor="text1"/>
          <w:lang w:eastAsia="it-IT"/>
        </w:rPr>
        <w:t xml:space="preserve"> et al.</w:t>
      </w:r>
      <w:r w:rsidR="4CD6D7D0" w:rsidRPr="007063A8">
        <w:rPr>
          <w:rFonts w:asciiTheme="minorHAnsi" w:hAnsiTheme="minorHAnsi" w:cstheme="minorHAnsi"/>
          <w:color w:val="000000" w:themeColor="text1"/>
          <w:lang w:eastAsia="it-IT"/>
        </w:rPr>
        <w:t xml:space="preserve">, </w:t>
      </w:r>
      <w:r w:rsidR="00735D0A" w:rsidRPr="007063A8">
        <w:rPr>
          <w:rFonts w:asciiTheme="minorHAnsi" w:hAnsiTheme="minorHAnsi" w:cstheme="minorHAnsi"/>
          <w:color w:val="000000" w:themeColor="text1"/>
          <w:lang w:eastAsia="it-IT"/>
        </w:rPr>
        <w:t>2022</w:t>
      </w:r>
      <w:r w:rsidRPr="007063A8">
        <w:rPr>
          <w:rFonts w:asciiTheme="minorHAnsi" w:hAnsiTheme="minorHAnsi" w:cstheme="minorHAnsi"/>
        </w:rPr>
        <w:t xml:space="preserve">). The second evaluates the activities carried out and </w:t>
      </w:r>
      <w:r w:rsidRPr="007063A8">
        <w:rPr>
          <w:rFonts w:asciiTheme="minorHAnsi" w:hAnsiTheme="minorHAnsi" w:cstheme="minorHAnsi"/>
        </w:rPr>
        <w:lastRenderedPageBreak/>
        <w:t xml:space="preserve">their consequent social implications beyond the </w:t>
      </w:r>
      <w:r w:rsidR="00062303" w:rsidRPr="007063A8">
        <w:rPr>
          <w:rFonts w:asciiTheme="minorHAnsi" w:hAnsiTheme="minorHAnsi" w:cstheme="minorHAnsi"/>
        </w:rPr>
        <w:t>financial statements</w:t>
      </w:r>
      <w:r w:rsidRPr="007063A8">
        <w:rPr>
          <w:rFonts w:asciiTheme="minorHAnsi" w:hAnsiTheme="minorHAnsi" w:cstheme="minorHAnsi"/>
        </w:rPr>
        <w:t xml:space="preserve"> data (</w:t>
      </w:r>
      <w:r w:rsidR="00F671A6" w:rsidRPr="007063A8">
        <w:rPr>
          <w:rFonts w:asciiTheme="minorHAnsi" w:hAnsiTheme="minorHAnsi" w:cstheme="minorHAnsi"/>
          <w:color w:val="000000" w:themeColor="text1"/>
          <w:lang w:eastAsia="it-IT"/>
        </w:rPr>
        <w:t xml:space="preserve">Connolly </w:t>
      </w:r>
      <w:r w:rsidR="4326A476" w:rsidRPr="007063A8">
        <w:rPr>
          <w:rFonts w:asciiTheme="minorHAnsi" w:hAnsiTheme="minorHAnsi" w:cstheme="minorHAnsi"/>
          <w:color w:val="000000" w:themeColor="text1"/>
          <w:lang w:eastAsia="it-IT"/>
        </w:rPr>
        <w:t>and</w:t>
      </w:r>
      <w:r w:rsidR="00F671A6" w:rsidRPr="007063A8">
        <w:rPr>
          <w:rFonts w:asciiTheme="minorHAnsi" w:hAnsiTheme="minorHAnsi" w:cstheme="minorHAnsi"/>
          <w:color w:val="000000" w:themeColor="text1"/>
          <w:lang w:eastAsia="it-IT"/>
        </w:rPr>
        <w:t xml:space="preserve"> Kelly</w:t>
      </w:r>
      <w:r w:rsidR="2B9A7BD1" w:rsidRPr="007063A8">
        <w:rPr>
          <w:rFonts w:asciiTheme="minorHAnsi" w:hAnsiTheme="minorHAnsi" w:cstheme="minorHAnsi"/>
          <w:color w:val="000000" w:themeColor="text1"/>
          <w:lang w:eastAsia="it-IT"/>
        </w:rPr>
        <w:t>,</w:t>
      </w:r>
      <w:r w:rsidR="00F671A6" w:rsidRPr="007063A8">
        <w:rPr>
          <w:rFonts w:asciiTheme="minorHAnsi" w:hAnsiTheme="minorHAnsi" w:cstheme="minorHAnsi"/>
          <w:color w:val="000000" w:themeColor="text1"/>
          <w:lang w:eastAsia="it-IT"/>
        </w:rPr>
        <w:t xml:space="preserve"> 2011; Bagnoli </w:t>
      </w:r>
      <w:r w:rsidR="36706F38" w:rsidRPr="007063A8">
        <w:rPr>
          <w:rFonts w:asciiTheme="minorHAnsi" w:hAnsiTheme="minorHAnsi" w:cstheme="minorHAnsi"/>
          <w:color w:val="000000" w:themeColor="text1"/>
          <w:lang w:eastAsia="it-IT"/>
        </w:rPr>
        <w:t>and</w:t>
      </w:r>
      <w:r w:rsidR="00F671A6" w:rsidRPr="007063A8">
        <w:rPr>
          <w:rFonts w:asciiTheme="minorHAnsi" w:hAnsiTheme="minorHAnsi" w:cstheme="minorHAnsi"/>
          <w:color w:val="000000" w:themeColor="text1"/>
          <w:lang w:eastAsia="it-IT"/>
        </w:rPr>
        <w:t xml:space="preserve"> Toccafondi</w:t>
      </w:r>
      <w:r w:rsidR="5FB2CC9F" w:rsidRPr="007063A8">
        <w:rPr>
          <w:rFonts w:asciiTheme="minorHAnsi" w:hAnsiTheme="minorHAnsi" w:cstheme="minorHAnsi"/>
          <w:color w:val="000000" w:themeColor="text1"/>
          <w:lang w:eastAsia="it-IT"/>
        </w:rPr>
        <w:t>,</w:t>
      </w:r>
      <w:r w:rsidR="00F671A6" w:rsidRPr="007063A8">
        <w:rPr>
          <w:rFonts w:asciiTheme="minorHAnsi" w:hAnsiTheme="minorHAnsi" w:cstheme="minorHAnsi"/>
          <w:color w:val="000000" w:themeColor="text1"/>
          <w:lang w:eastAsia="it-IT"/>
        </w:rPr>
        <w:t xml:space="preserve"> 2011</w:t>
      </w:r>
      <w:r w:rsidRPr="007063A8">
        <w:rPr>
          <w:rFonts w:asciiTheme="minorHAnsi" w:hAnsiTheme="minorHAnsi" w:cstheme="minorHAnsi"/>
        </w:rPr>
        <w:t>). Finally, the third modality can be defined as a hybrid methodology because it uses the abovementioned methods, such as in the case of the balanced scorecard (Somers</w:t>
      </w:r>
      <w:r w:rsidR="68263317" w:rsidRPr="007063A8">
        <w:rPr>
          <w:rFonts w:asciiTheme="minorHAnsi" w:hAnsiTheme="minorHAnsi" w:cstheme="minorHAnsi"/>
        </w:rPr>
        <w:t>,</w:t>
      </w:r>
      <w:r w:rsidRPr="007063A8">
        <w:rPr>
          <w:rFonts w:asciiTheme="minorHAnsi" w:hAnsiTheme="minorHAnsi" w:cstheme="minorHAnsi"/>
        </w:rPr>
        <w:t xml:space="preserve"> 2005).</w:t>
      </w:r>
    </w:p>
    <w:p w14:paraId="59AEF7E8" w14:textId="4470EF22" w:rsidR="00321440" w:rsidRPr="005F57AB" w:rsidRDefault="00B8294B" w:rsidP="005F57AB">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z w:val="20"/>
          <w:szCs w:val="20"/>
          <w:lang w:val="en-US"/>
        </w:rPr>
        <w:t>The</w:t>
      </w:r>
      <w:r w:rsidR="007549BF" w:rsidRPr="007063A8">
        <w:rPr>
          <w:rFonts w:asciiTheme="minorHAnsi" w:hAnsiTheme="minorHAnsi" w:cstheme="minorHAnsi"/>
          <w:sz w:val="20"/>
          <w:szCs w:val="20"/>
          <w:lang w:val="en-US"/>
        </w:rPr>
        <w:t xml:space="preserve"> measurement of SEs performance cannot be limited only to the economic and financial dimension, but it must also consider the social one (Arena</w:t>
      </w:r>
      <w:r w:rsidR="76943C2F" w:rsidRPr="007063A8">
        <w:rPr>
          <w:rFonts w:asciiTheme="minorHAnsi" w:hAnsiTheme="minorHAnsi" w:cstheme="minorHAnsi"/>
          <w:sz w:val="20"/>
          <w:szCs w:val="20"/>
          <w:lang w:val="en-US"/>
        </w:rPr>
        <w:t xml:space="preserve"> et al.,</w:t>
      </w:r>
      <w:r w:rsidR="007549BF" w:rsidRPr="007063A8">
        <w:rPr>
          <w:rFonts w:asciiTheme="minorHAnsi" w:hAnsiTheme="minorHAnsi" w:cstheme="minorHAnsi"/>
          <w:sz w:val="20"/>
          <w:szCs w:val="20"/>
          <w:lang w:val="en-US"/>
        </w:rPr>
        <w:t xml:space="preserve"> Bengo</w:t>
      </w:r>
      <w:r w:rsidR="79505E19" w:rsidRPr="007063A8">
        <w:rPr>
          <w:rFonts w:asciiTheme="minorHAnsi" w:hAnsiTheme="minorHAnsi" w:cstheme="minorHAnsi"/>
          <w:sz w:val="20"/>
          <w:szCs w:val="20"/>
          <w:lang w:val="en-US"/>
        </w:rPr>
        <w:t>,</w:t>
      </w:r>
      <w:r w:rsidR="007549BF" w:rsidRPr="007063A8">
        <w:rPr>
          <w:rFonts w:asciiTheme="minorHAnsi" w:hAnsiTheme="minorHAnsi" w:cstheme="minorHAnsi"/>
          <w:sz w:val="20"/>
          <w:szCs w:val="20"/>
          <w:lang w:val="en-US"/>
        </w:rPr>
        <w:t xml:space="preserve"> 2015; Bagnoli </w:t>
      </w:r>
      <w:r w:rsidR="50DF1B9C" w:rsidRPr="007063A8">
        <w:rPr>
          <w:rFonts w:asciiTheme="minorHAnsi" w:hAnsiTheme="minorHAnsi" w:cstheme="minorHAnsi"/>
          <w:sz w:val="20"/>
          <w:szCs w:val="20"/>
          <w:lang w:val="en-US"/>
        </w:rPr>
        <w:t>and</w:t>
      </w:r>
      <w:r w:rsidR="007549BF" w:rsidRPr="007063A8">
        <w:rPr>
          <w:rFonts w:asciiTheme="minorHAnsi" w:hAnsiTheme="minorHAnsi" w:cstheme="minorHAnsi"/>
          <w:sz w:val="20"/>
          <w:szCs w:val="20"/>
          <w:lang w:val="en-US"/>
        </w:rPr>
        <w:t xml:space="preserve"> Megali</w:t>
      </w:r>
      <w:r w:rsidR="3070EB4F" w:rsidRPr="007063A8">
        <w:rPr>
          <w:rFonts w:asciiTheme="minorHAnsi" w:hAnsiTheme="minorHAnsi" w:cstheme="minorHAnsi"/>
          <w:sz w:val="20"/>
          <w:szCs w:val="20"/>
          <w:lang w:val="en-US"/>
        </w:rPr>
        <w:t>,</w:t>
      </w:r>
      <w:r w:rsidR="007549BF" w:rsidRPr="007063A8">
        <w:rPr>
          <w:rFonts w:asciiTheme="minorHAnsi" w:hAnsiTheme="minorHAnsi" w:cstheme="minorHAnsi"/>
          <w:sz w:val="20"/>
          <w:szCs w:val="20"/>
          <w:lang w:val="en-US"/>
        </w:rPr>
        <w:t xml:space="preserve"> 2011). We present </w:t>
      </w:r>
      <w:r w:rsidRPr="007063A8">
        <w:rPr>
          <w:rFonts w:asciiTheme="minorHAnsi" w:hAnsiTheme="minorHAnsi" w:cstheme="minorHAnsi"/>
          <w:sz w:val="20"/>
          <w:szCs w:val="20"/>
          <w:lang w:val="en-US"/>
        </w:rPr>
        <w:t xml:space="preserve">a framework of common indicators as an accessible three-dimensional measure of </w:t>
      </w:r>
      <w:r w:rsidR="007549BF" w:rsidRPr="007063A8">
        <w:rPr>
          <w:rFonts w:asciiTheme="minorHAnsi" w:hAnsiTheme="minorHAnsi" w:cstheme="minorHAnsi"/>
          <w:sz w:val="20"/>
          <w:szCs w:val="20"/>
          <w:lang w:val="en-US"/>
        </w:rPr>
        <w:t xml:space="preserve">organizational performance. The economic dimension is analyzed through ROA, ROI, and SFC; the financial dimension, using current ratio, warranty ratio, and </w:t>
      </w:r>
      <w:r w:rsidRPr="007063A8">
        <w:rPr>
          <w:rFonts w:asciiTheme="minorHAnsi" w:hAnsiTheme="minorHAnsi" w:cstheme="minorHAnsi"/>
          <w:sz w:val="20"/>
          <w:szCs w:val="20"/>
          <w:lang w:val="en-US"/>
        </w:rPr>
        <w:t xml:space="preserve">the </w:t>
      </w:r>
      <w:r w:rsidR="007549BF" w:rsidRPr="007063A8">
        <w:rPr>
          <w:rFonts w:asciiTheme="minorHAnsi" w:hAnsiTheme="minorHAnsi" w:cstheme="minorHAnsi"/>
          <w:sz w:val="20"/>
          <w:szCs w:val="20"/>
          <w:lang w:val="en-US"/>
        </w:rPr>
        <w:t>equity multiplier (Sostero et al.</w:t>
      </w:r>
      <w:r w:rsidR="64EBCB58" w:rsidRPr="007063A8">
        <w:rPr>
          <w:rFonts w:asciiTheme="minorHAnsi" w:hAnsiTheme="minorHAnsi" w:cstheme="minorHAnsi"/>
          <w:sz w:val="20"/>
          <w:szCs w:val="20"/>
          <w:lang w:val="en-US"/>
        </w:rPr>
        <w:t>,</w:t>
      </w:r>
      <w:r w:rsidR="007549BF" w:rsidRPr="007063A8">
        <w:rPr>
          <w:rFonts w:asciiTheme="minorHAnsi" w:hAnsiTheme="minorHAnsi" w:cstheme="minorHAnsi"/>
          <w:sz w:val="20"/>
          <w:szCs w:val="20"/>
          <w:lang w:val="en-US"/>
        </w:rPr>
        <w:t xml:space="preserve"> 2016). Finally, the analysis of the social dimension concerns the measurement of the ability to create and distribute value-added to stakeholders (Riahi</w:t>
      </w:r>
      <w:r w:rsidR="2390B08A" w:rsidRPr="007063A8">
        <w:rPr>
          <w:rFonts w:asciiTheme="minorHAnsi" w:hAnsiTheme="minorHAnsi" w:cstheme="minorHAnsi"/>
          <w:sz w:val="20"/>
          <w:szCs w:val="20"/>
          <w:lang w:val="en-US"/>
        </w:rPr>
        <w:t>-</w:t>
      </w:r>
      <w:r w:rsidR="007549BF" w:rsidRPr="007063A8">
        <w:rPr>
          <w:rFonts w:asciiTheme="minorHAnsi" w:hAnsiTheme="minorHAnsi" w:cstheme="minorHAnsi"/>
          <w:sz w:val="20"/>
          <w:szCs w:val="20"/>
          <w:lang w:val="en-US"/>
        </w:rPr>
        <w:t>Belkaoui</w:t>
      </w:r>
      <w:r w:rsidR="7828E0A0" w:rsidRPr="007063A8">
        <w:rPr>
          <w:rFonts w:asciiTheme="minorHAnsi" w:hAnsiTheme="minorHAnsi" w:cstheme="minorHAnsi"/>
          <w:sz w:val="20"/>
          <w:szCs w:val="20"/>
          <w:lang w:val="en-US"/>
        </w:rPr>
        <w:t>,</w:t>
      </w:r>
      <w:r w:rsidR="007549BF" w:rsidRPr="007063A8">
        <w:rPr>
          <w:rFonts w:asciiTheme="minorHAnsi" w:hAnsiTheme="minorHAnsi" w:cstheme="minorHAnsi"/>
          <w:sz w:val="20"/>
          <w:szCs w:val="20"/>
          <w:lang w:val="en-US"/>
        </w:rPr>
        <w:t xml:space="preserve"> 1996; </w:t>
      </w:r>
      <w:r w:rsidR="001F27E5" w:rsidRPr="007063A8">
        <w:rPr>
          <w:rFonts w:asciiTheme="minorHAnsi" w:hAnsiTheme="minorHAnsi" w:cstheme="minorHAnsi"/>
          <w:sz w:val="20"/>
          <w:szCs w:val="20"/>
          <w:lang w:val="en-US"/>
        </w:rPr>
        <w:t>Landi</w:t>
      </w:r>
      <w:r w:rsidR="4DA6DAE5" w:rsidRPr="007063A8">
        <w:rPr>
          <w:rFonts w:asciiTheme="minorHAnsi" w:hAnsiTheme="minorHAnsi" w:cstheme="minorHAnsi"/>
          <w:sz w:val="20"/>
          <w:szCs w:val="20"/>
          <w:lang w:val="en-US"/>
        </w:rPr>
        <w:t>s et al.</w:t>
      </w:r>
      <w:r w:rsidR="007549BF" w:rsidRPr="007063A8">
        <w:rPr>
          <w:rFonts w:asciiTheme="minorHAnsi" w:hAnsiTheme="minorHAnsi" w:cstheme="minorHAnsi"/>
          <w:sz w:val="20"/>
          <w:szCs w:val="20"/>
          <w:lang w:val="en-US"/>
        </w:rPr>
        <w:t>, 201</w:t>
      </w:r>
      <w:r w:rsidR="005653EA" w:rsidRPr="007063A8">
        <w:rPr>
          <w:rFonts w:asciiTheme="minorHAnsi" w:hAnsiTheme="minorHAnsi" w:cstheme="minorHAnsi"/>
          <w:sz w:val="20"/>
          <w:szCs w:val="20"/>
          <w:lang w:val="en-US"/>
        </w:rPr>
        <w:t>4</w:t>
      </w:r>
      <w:r w:rsidR="007549BF" w:rsidRPr="007063A8">
        <w:rPr>
          <w:rFonts w:asciiTheme="minorHAnsi" w:hAnsiTheme="minorHAnsi" w:cstheme="minorHAnsi"/>
          <w:sz w:val="20"/>
          <w:szCs w:val="20"/>
          <w:lang w:val="en-US"/>
        </w:rPr>
        <w:t>)</w:t>
      </w:r>
      <w:r w:rsidRPr="007063A8">
        <w:rPr>
          <w:rFonts w:asciiTheme="minorHAnsi" w:hAnsiTheme="minorHAnsi" w:cstheme="minorHAnsi"/>
          <w:sz w:val="20"/>
          <w:szCs w:val="20"/>
          <w:lang w:val="en-US"/>
        </w:rPr>
        <w:t>, which provides an accessible measure of a non-profit-maximizing goal that has meaning to both social cooperatives and private limited companies.</w:t>
      </w:r>
      <w:r w:rsidR="007549BF" w:rsidRPr="007063A8">
        <w:rPr>
          <w:rFonts w:asciiTheme="minorHAnsi" w:hAnsiTheme="minorHAnsi" w:cstheme="minorHAnsi"/>
          <w:sz w:val="20"/>
          <w:szCs w:val="20"/>
          <w:lang w:val="en-US"/>
        </w:rPr>
        <w:t xml:space="preserve"> </w:t>
      </w:r>
    </w:p>
    <w:p w14:paraId="286954ED" w14:textId="77777777" w:rsidR="00D80559" w:rsidRPr="007063A8" w:rsidRDefault="00D80559" w:rsidP="00DE7D0B">
      <w:pPr>
        <w:widowControl/>
        <w:spacing w:line="276" w:lineRule="auto"/>
        <w:ind w:firstLine="360"/>
        <w:jc w:val="both"/>
        <w:rPr>
          <w:rFonts w:asciiTheme="minorHAnsi" w:hAnsiTheme="minorHAnsi" w:cstheme="minorHAnsi"/>
        </w:rPr>
      </w:pPr>
    </w:p>
    <w:p w14:paraId="6BEBD32C" w14:textId="1AC2C9FC" w:rsidR="007549BF" w:rsidRPr="005F57AB" w:rsidRDefault="005F57AB" w:rsidP="005F57AB">
      <w:pPr>
        <w:spacing w:after="120" w:line="276" w:lineRule="auto"/>
        <w:jc w:val="both"/>
        <w:rPr>
          <w:rFonts w:asciiTheme="minorHAnsi" w:hAnsiTheme="minorHAnsi" w:cstheme="minorHAnsi"/>
          <w:bCs/>
          <w:i/>
          <w:iCs/>
        </w:rPr>
      </w:pPr>
      <w:r w:rsidRPr="005F57AB">
        <w:rPr>
          <w:rFonts w:asciiTheme="minorHAnsi" w:hAnsiTheme="minorHAnsi" w:cstheme="minorHAnsi"/>
          <w:bCs/>
          <w:i/>
          <w:iCs/>
        </w:rPr>
        <w:t>3.1</w:t>
      </w:r>
      <w:r w:rsidRPr="005F57AB">
        <w:rPr>
          <w:rFonts w:asciiTheme="minorHAnsi" w:hAnsiTheme="minorHAnsi" w:cstheme="minorHAnsi"/>
          <w:bCs/>
          <w:i/>
          <w:iCs/>
        </w:rPr>
        <w:tab/>
      </w:r>
      <w:r>
        <w:rPr>
          <w:rFonts w:asciiTheme="minorHAnsi" w:hAnsiTheme="minorHAnsi" w:cstheme="minorHAnsi"/>
          <w:bCs/>
          <w:i/>
          <w:iCs/>
        </w:rPr>
        <w:t>Determining Purpose and Value in</w:t>
      </w:r>
      <w:r w:rsidR="007549BF" w:rsidRPr="005F57AB">
        <w:rPr>
          <w:rFonts w:asciiTheme="minorHAnsi" w:hAnsiTheme="minorHAnsi" w:cstheme="minorHAnsi"/>
          <w:bCs/>
          <w:i/>
          <w:iCs/>
        </w:rPr>
        <w:t xml:space="preserve"> SCs</w:t>
      </w:r>
      <w:r w:rsidR="00CC49B9" w:rsidRPr="005F57AB">
        <w:rPr>
          <w:rFonts w:asciiTheme="minorHAnsi" w:hAnsiTheme="minorHAnsi" w:cstheme="minorHAnsi"/>
          <w:bCs/>
          <w:i/>
          <w:iCs/>
        </w:rPr>
        <w:t xml:space="preserve"> and PLCs</w:t>
      </w:r>
    </w:p>
    <w:p w14:paraId="2E5001D6" w14:textId="18B847B3" w:rsidR="007549BF" w:rsidRPr="007063A8" w:rsidRDefault="00D80559" w:rsidP="005F57AB">
      <w:pPr>
        <w:widowControl/>
        <w:spacing w:line="276" w:lineRule="auto"/>
        <w:ind w:firstLine="360"/>
        <w:jc w:val="both"/>
        <w:rPr>
          <w:rFonts w:asciiTheme="minorHAnsi" w:hAnsiTheme="minorHAnsi" w:cstheme="minorHAnsi"/>
          <w:color w:val="FF0000"/>
        </w:rPr>
      </w:pPr>
      <w:r w:rsidRPr="007063A8">
        <w:rPr>
          <w:rFonts w:asciiTheme="minorHAnsi" w:hAnsiTheme="minorHAnsi" w:cstheme="minorHAnsi"/>
        </w:rPr>
        <w:t>We start from the belief that t</w:t>
      </w:r>
      <w:r w:rsidR="007549BF" w:rsidRPr="007063A8">
        <w:rPr>
          <w:rFonts w:asciiTheme="minorHAnsi" w:hAnsiTheme="minorHAnsi" w:cstheme="minorHAnsi"/>
        </w:rPr>
        <w:t xml:space="preserve">he </w:t>
      </w:r>
      <w:r w:rsidR="00CC49B9" w:rsidRPr="007063A8">
        <w:rPr>
          <w:rFonts w:asciiTheme="minorHAnsi" w:hAnsiTheme="minorHAnsi" w:cstheme="minorHAnsi"/>
        </w:rPr>
        <w:t xml:space="preserve">measurement of the </w:t>
      </w:r>
      <w:r w:rsidR="007549BF" w:rsidRPr="007063A8">
        <w:rPr>
          <w:rFonts w:asciiTheme="minorHAnsi" w:hAnsiTheme="minorHAnsi" w:cstheme="minorHAnsi"/>
        </w:rPr>
        <w:t xml:space="preserve">performance of SCs </w:t>
      </w:r>
      <w:r w:rsidR="00CC49B9" w:rsidRPr="007063A8">
        <w:rPr>
          <w:rFonts w:asciiTheme="minorHAnsi" w:hAnsiTheme="minorHAnsi" w:cstheme="minorHAnsi"/>
        </w:rPr>
        <w:t xml:space="preserve">and its comparison with that of PLCs </w:t>
      </w:r>
      <w:r w:rsidR="007549BF" w:rsidRPr="007063A8">
        <w:rPr>
          <w:rFonts w:asciiTheme="minorHAnsi" w:hAnsiTheme="minorHAnsi" w:cstheme="minorHAnsi"/>
        </w:rPr>
        <w:t>cannot be limited to the traditional economic and financial dimensions</w:t>
      </w:r>
      <w:r w:rsidR="00CC49B9" w:rsidRPr="007063A8">
        <w:rPr>
          <w:rFonts w:asciiTheme="minorHAnsi" w:hAnsiTheme="minorHAnsi" w:cstheme="minorHAnsi"/>
        </w:rPr>
        <w:t xml:space="preserve">, but </w:t>
      </w:r>
      <w:r w:rsidR="007549BF" w:rsidRPr="007063A8">
        <w:rPr>
          <w:rFonts w:asciiTheme="minorHAnsi" w:hAnsiTheme="minorHAnsi" w:cstheme="minorHAnsi"/>
        </w:rPr>
        <w:t xml:space="preserve">it is necessary to add the social one, which is of great importance especially in terms of evaluating </w:t>
      </w:r>
      <w:r w:rsidR="00CC49B9" w:rsidRPr="007063A8">
        <w:rPr>
          <w:rFonts w:asciiTheme="minorHAnsi" w:hAnsiTheme="minorHAnsi" w:cstheme="minorHAnsi"/>
        </w:rPr>
        <w:t xml:space="preserve">their </w:t>
      </w:r>
      <w:r w:rsidR="007549BF" w:rsidRPr="007063A8">
        <w:rPr>
          <w:rFonts w:asciiTheme="minorHAnsi" w:hAnsiTheme="minorHAnsi" w:cstheme="minorHAnsi"/>
        </w:rPr>
        <w:t>role in the socio-economic context</w:t>
      </w:r>
      <w:r w:rsidR="007549BF" w:rsidRPr="007063A8">
        <w:rPr>
          <w:rFonts w:asciiTheme="minorHAnsi" w:hAnsiTheme="minorHAnsi" w:cstheme="minorHAnsi"/>
          <w:color w:val="FF0000"/>
        </w:rPr>
        <w:t xml:space="preserve">. </w:t>
      </w:r>
      <w:r w:rsidR="00BC48CC" w:rsidRPr="007063A8">
        <w:rPr>
          <w:rFonts w:asciiTheme="minorHAnsi" w:hAnsiTheme="minorHAnsi" w:cstheme="minorHAnsi"/>
        </w:rPr>
        <w:t xml:space="preserve">This is often where measurements of social performance become mired </w:t>
      </w:r>
      <w:r w:rsidR="00CC49B9" w:rsidRPr="007063A8">
        <w:rPr>
          <w:rFonts w:asciiTheme="minorHAnsi" w:hAnsiTheme="minorHAnsi" w:cstheme="minorHAnsi"/>
        </w:rPr>
        <w:t>-</w:t>
      </w:r>
      <w:r w:rsidR="00BC48CC" w:rsidRPr="007063A8">
        <w:rPr>
          <w:rFonts w:asciiTheme="minorHAnsi" w:hAnsiTheme="minorHAnsi" w:cstheme="minorHAnsi"/>
        </w:rPr>
        <w:t xml:space="preserve"> if measuring community impact, then the measure becomes highly contextual and difficult to compare across environments and organizations. Instead, we sought measures that used commonly available information in both SCs and </w:t>
      </w:r>
      <w:r w:rsidR="0016593D" w:rsidRPr="007063A8">
        <w:rPr>
          <w:rFonts w:asciiTheme="minorHAnsi" w:hAnsiTheme="minorHAnsi" w:cstheme="minorHAnsi"/>
        </w:rPr>
        <w:t xml:space="preserve">PLCs </w:t>
      </w:r>
      <w:r w:rsidR="00BC48CC" w:rsidRPr="007063A8">
        <w:rPr>
          <w:rFonts w:asciiTheme="minorHAnsi" w:hAnsiTheme="minorHAnsi" w:cstheme="minorHAnsi"/>
        </w:rPr>
        <w:t>and signified a non</w:t>
      </w:r>
      <w:r w:rsidR="00CC49B9" w:rsidRPr="007063A8">
        <w:rPr>
          <w:rFonts w:asciiTheme="minorHAnsi" w:hAnsiTheme="minorHAnsi" w:cstheme="minorHAnsi"/>
        </w:rPr>
        <w:t>-</w:t>
      </w:r>
      <w:r w:rsidR="00BC48CC" w:rsidRPr="007063A8">
        <w:rPr>
          <w:rFonts w:asciiTheme="minorHAnsi" w:hAnsiTheme="minorHAnsi" w:cstheme="minorHAnsi"/>
        </w:rPr>
        <w:t>profit-maximizing goal.</w:t>
      </w:r>
      <w:r w:rsidR="005F57AB">
        <w:rPr>
          <w:rFonts w:asciiTheme="minorHAnsi" w:hAnsiTheme="minorHAnsi" w:cstheme="minorHAnsi"/>
        </w:rPr>
        <w:t xml:space="preserve"> </w:t>
      </w:r>
      <w:r w:rsidR="007549BF" w:rsidRPr="007063A8">
        <w:rPr>
          <w:rFonts w:asciiTheme="minorHAnsi" w:hAnsiTheme="minorHAnsi" w:cstheme="minorHAnsi"/>
          <w:lang w:val="en-GB"/>
        </w:rPr>
        <w:t>The</w:t>
      </w:r>
      <w:r w:rsidR="00BC48CC" w:rsidRPr="007063A8">
        <w:rPr>
          <w:rFonts w:asciiTheme="minorHAnsi" w:hAnsiTheme="minorHAnsi" w:cstheme="minorHAnsi"/>
          <w:lang w:val="en-GB"/>
        </w:rPr>
        <w:t>refore, the</w:t>
      </w:r>
      <w:r w:rsidR="007549BF" w:rsidRPr="007063A8">
        <w:rPr>
          <w:rFonts w:asciiTheme="minorHAnsi" w:hAnsiTheme="minorHAnsi" w:cstheme="minorHAnsi"/>
          <w:lang w:val="en-GB"/>
        </w:rPr>
        <w:t xml:space="preserve"> measurement must be implemented with adequate ratios representing the </w:t>
      </w:r>
      <w:r w:rsidR="006B04A1" w:rsidRPr="007063A8">
        <w:rPr>
          <w:rFonts w:asciiTheme="minorHAnsi" w:hAnsiTheme="minorHAnsi" w:cstheme="minorHAnsi"/>
          <w:lang w:val="en-GB"/>
        </w:rPr>
        <w:t xml:space="preserve">different </w:t>
      </w:r>
      <w:r w:rsidR="007549BF" w:rsidRPr="007063A8">
        <w:rPr>
          <w:rFonts w:asciiTheme="minorHAnsi" w:hAnsiTheme="minorHAnsi" w:cstheme="minorHAnsi"/>
          <w:lang w:val="en-GB"/>
        </w:rPr>
        <w:t xml:space="preserve">impact of SCs </w:t>
      </w:r>
      <w:r w:rsidR="006B04A1" w:rsidRPr="007063A8">
        <w:rPr>
          <w:rFonts w:asciiTheme="minorHAnsi" w:hAnsiTheme="minorHAnsi" w:cstheme="minorHAnsi"/>
          <w:lang w:val="en-GB"/>
        </w:rPr>
        <w:t xml:space="preserve">and of PLCs </w:t>
      </w:r>
      <w:r w:rsidR="007549BF" w:rsidRPr="007063A8">
        <w:rPr>
          <w:rFonts w:asciiTheme="minorHAnsi" w:hAnsiTheme="minorHAnsi" w:cstheme="minorHAnsi"/>
          <w:lang w:val="en-GB"/>
        </w:rPr>
        <w:t>in terms of creation and dissemination of wealth and well-being on the economic and social context.</w:t>
      </w:r>
      <w:r w:rsidR="009740A3" w:rsidRPr="007063A8">
        <w:rPr>
          <w:rFonts w:asciiTheme="minorHAnsi" w:hAnsiTheme="minorHAnsi" w:cstheme="minorHAnsi"/>
          <w:lang w:val="en-GB"/>
        </w:rPr>
        <w:t xml:space="preserve"> </w:t>
      </w:r>
      <w:r w:rsidR="007549BF" w:rsidRPr="007063A8">
        <w:rPr>
          <w:rFonts w:asciiTheme="minorHAnsi" w:hAnsiTheme="minorHAnsi" w:cstheme="minorHAnsi"/>
          <w:lang w:val="en-GB"/>
        </w:rPr>
        <w:t>Profit is not the primary purpose of the SCs, even if its usefulness for strengthening the capital structure through an adequate self-financing policy is not doubted. It should also be emphasized that, to the extent that the SCs do not distribute profits and do not raise significant initial capital, the accumulation of reserves represents for them a mandatory path for adequate capitalization</w:t>
      </w:r>
      <w:r w:rsidR="006B04A1" w:rsidRPr="007063A8">
        <w:rPr>
          <w:rFonts w:asciiTheme="minorHAnsi" w:hAnsiTheme="minorHAnsi" w:cstheme="minorHAnsi"/>
        </w:rPr>
        <w:t>.</w:t>
      </w:r>
      <w:r w:rsidR="006B04A1" w:rsidRPr="007063A8" w:rsidDel="006B04A1">
        <w:rPr>
          <w:rFonts w:asciiTheme="minorHAnsi" w:hAnsiTheme="minorHAnsi" w:cstheme="minorHAnsi"/>
        </w:rPr>
        <w:t xml:space="preserve"> </w:t>
      </w:r>
    </w:p>
    <w:p w14:paraId="4EC811A0" w14:textId="3A9EB9B7" w:rsidR="007549BF" w:rsidRPr="007063A8" w:rsidRDefault="007549BF" w:rsidP="001A59FC">
      <w:pPr>
        <w:widowControl/>
        <w:spacing w:line="276" w:lineRule="auto"/>
        <w:ind w:firstLine="360"/>
        <w:jc w:val="both"/>
        <w:rPr>
          <w:rFonts w:asciiTheme="minorHAnsi" w:hAnsiTheme="minorHAnsi" w:cstheme="minorHAnsi"/>
        </w:rPr>
      </w:pPr>
      <w:r w:rsidRPr="007063A8">
        <w:rPr>
          <w:rFonts w:asciiTheme="minorHAnsi" w:hAnsiTheme="minorHAnsi" w:cstheme="minorHAnsi"/>
        </w:rPr>
        <w:t>Profit, on the other hand, remains a qualifying element of private limited companies, even if it is possible to discuss its "right" measure, its role in relation to other possible purposes</w:t>
      </w:r>
      <w:r w:rsidR="007A42B7" w:rsidRPr="007063A8">
        <w:rPr>
          <w:rFonts w:asciiTheme="minorHAnsi" w:hAnsiTheme="minorHAnsi" w:cstheme="minorHAnsi"/>
        </w:rPr>
        <w:t>,</w:t>
      </w:r>
      <w:r w:rsidRPr="007063A8">
        <w:rPr>
          <w:rFonts w:asciiTheme="minorHAnsi" w:hAnsiTheme="minorHAnsi" w:cstheme="minorHAnsi"/>
        </w:rPr>
        <w:t xml:space="preserve"> and its different destination </w:t>
      </w:r>
      <w:r w:rsidRPr="007063A8">
        <w:rPr>
          <w:rFonts w:asciiTheme="minorHAnsi" w:hAnsiTheme="minorHAnsi" w:cstheme="minorHAnsi"/>
          <w:spacing w:val="-2"/>
        </w:rPr>
        <w:t>(Coda</w:t>
      </w:r>
      <w:r w:rsidR="664D8ECE" w:rsidRPr="007063A8">
        <w:rPr>
          <w:rFonts w:asciiTheme="minorHAnsi" w:hAnsiTheme="minorHAnsi" w:cstheme="minorHAnsi"/>
          <w:spacing w:val="-2"/>
        </w:rPr>
        <w:t>,</w:t>
      </w:r>
      <w:r w:rsidRPr="007063A8">
        <w:rPr>
          <w:rFonts w:asciiTheme="minorHAnsi" w:hAnsiTheme="minorHAnsi" w:cstheme="minorHAnsi"/>
          <w:spacing w:val="-2"/>
        </w:rPr>
        <w:t xml:space="preserve"> 1988).</w:t>
      </w:r>
      <w:r w:rsidRPr="007063A8">
        <w:rPr>
          <w:rStyle w:val="personname"/>
          <w:rFonts w:asciiTheme="minorHAnsi" w:hAnsiTheme="minorHAnsi" w:cstheme="minorHAnsi"/>
        </w:rPr>
        <w:t xml:space="preserve"> </w:t>
      </w:r>
      <w:r w:rsidR="00DE7C06">
        <w:rPr>
          <w:rFonts w:asciiTheme="minorHAnsi" w:hAnsiTheme="minorHAnsi" w:cstheme="minorHAnsi"/>
        </w:rPr>
        <w:t>T</w:t>
      </w:r>
      <w:r w:rsidRPr="007063A8">
        <w:rPr>
          <w:rFonts w:asciiTheme="minorHAnsi" w:hAnsiTheme="minorHAnsi" w:cstheme="minorHAnsi"/>
        </w:rPr>
        <w:t>he problems of the measure and quality of profit have been widely debated in literature, revealing at least some reservations about it; consequently, it is not surprising that proposals should be made for approaches intended to replace profit as a measure of company performance (Egginton</w:t>
      </w:r>
      <w:r w:rsidR="207EFCE1" w:rsidRPr="007063A8">
        <w:rPr>
          <w:rFonts w:asciiTheme="minorHAnsi" w:hAnsiTheme="minorHAnsi" w:cstheme="minorHAnsi"/>
        </w:rPr>
        <w:t>,</w:t>
      </w:r>
      <w:r w:rsidRPr="007063A8">
        <w:rPr>
          <w:rFonts w:asciiTheme="minorHAnsi" w:hAnsiTheme="minorHAnsi" w:cstheme="minorHAnsi"/>
        </w:rPr>
        <w:t xml:space="preserve"> 1984).</w:t>
      </w:r>
      <w:r w:rsidR="007A42B7" w:rsidRPr="007063A8">
        <w:rPr>
          <w:rFonts w:asciiTheme="minorHAnsi" w:hAnsiTheme="minorHAnsi" w:cstheme="minorHAnsi"/>
        </w:rPr>
        <w:t xml:space="preserve"> </w:t>
      </w:r>
      <w:r w:rsidRPr="007063A8">
        <w:rPr>
          <w:rFonts w:asciiTheme="minorHAnsi" w:hAnsiTheme="minorHAnsi" w:cstheme="minorHAnsi"/>
        </w:rPr>
        <w:t>Therefore, and even more with reference to the category of SCs operating in sectors with a strong social impact, it is necessary to use measures alternative to profit for an evaluation of performance</w:t>
      </w:r>
      <w:r w:rsidR="007A42B7" w:rsidRPr="007063A8">
        <w:rPr>
          <w:rFonts w:asciiTheme="minorHAnsi" w:hAnsiTheme="minorHAnsi" w:cstheme="minorHAnsi"/>
        </w:rPr>
        <w:t>.</w:t>
      </w:r>
    </w:p>
    <w:p w14:paraId="3AAD7A35" w14:textId="56D63BC1" w:rsidR="007549BF" w:rsidRPr="007063A8" w:rsidRDefault="007549BF" w:rsidP="001A59FC">
      <w:pPr>
        <w:widowControl/>
        <w:spacing w:line="276" w:lineRule="auto"/>
        <w:ind w:firstLine="360"/>
        <w:jc w:val="both"/>
        <w:rPr>
          <w:rFonts w:asciiTheme="minorHAnsi" w:hAnsiTheme="minorHAnsi" w:cstheme="minorHAnsi"/>
        </w:rPr>
      </w:pPr>
      <w:r w:rsidRPr="007063A8">
        <w:rPr>
          <w:rFonts w:asciiTheme="minorHAnsi" w:hAnsiTheme="minorHAnsi" w:cstheme="minorHAnsi"/>
        </w:rPr>
        <w:t xml:space="preserve">If, then, the pursuit of corporate purposes must be framed in a triple dimension (financial, economic, and social), it is necessary to identify ratios that allow adequate measurement, representation and interpretation of the social dimension as well. These ratios can be identified in those based on an economic quantity of primary importance, namely the value added (Haller </w:t>
      </w:r>
      <w:r w:rsidR="5123F083" w:rsidRPr="007063A8">
        <w:rPr>
          <w:rFonts w:asciiTheme="minorHAnsi" w:hAnsiTheme="minorHAnsi" w:cstheme="minorHAnsi"/>
        </w:rPr>
        <w:lastRenderedPageBreak/>
        <w:t>and</w:t>
      </w:r>
      <w:r w:rsidRPr="007063A8">
        <w:rPr>
          <w:rFonts w:asciiTheme="minorHAnsi" w:hAnsiTheme="minorHAnsi" w:cstheme="minorHAnsi"/>
        </w:rPr>
        <w:t xml:space="preserve"> Stolowy</w:t>
      </w:r>
      <w:r w:rsidR="7BAF34B6" w:rsidRPr="007063A8">
        <w:rPr>
          <w:rFonts w:asciiTheme="minorHAnsi" w:hAnsiTheme="minorHAnsi" w:cstheme="minorHAnsi"/>
        </w:rPr>
        <w:t>,</w:t>
      </w:r>
      <w:r w:rsidRPr="007063A8">
        <w:rPr>
          <w:rFonts w:asciiTheme="minorHAnsi" w:hAnsiTheme="minorHAnsi" w:cstheme="minorHAnsi"/>
        </w:rPr>
        <w:t xml:space="preserve"> 1998; Haller </w:t>
      </w:r>
      <w:r w:rsidR="04F7F370" w:rsidRPr="007063A8">
        <w:rPr>
          <w:rFonts w:asciiTheme="minorHAnsi" w:hAnsiTheme="minorHAnsi" w:cstheme="minorHAnsi"/>
        </w:rPr>
        <w:t>and</w:t>
      </w:r>
      <w:r w:rsidRPr="007063A8">
        <w:rPr>
          <w:rFonts w:asciiTheme="minorHAnsi" w:hAnsiTheme="minorHAnsi" w:cstheme="minorHAnsi"/>
        </w:rPr>
        <w:t xml:space="preserve"> Van Staden</w:t>
      </w:r>
      <w:r w:rsidR="10FB9A7C" w:rsidRPr="007063A8">
        <w:rPr>
          <w:rFonts w:asciiTheme="minorHAnsi" w:hAnsiTheme="minorHAnsi" w:cstheme="minorHAnsi"/>
        </w:rPr>
        <w:t>,</w:t>
      </w:r>
      <w:r w:rsidRPr="007063A8">
        <w:rPr>
          <w:rFonts w:asciiTheme="minorHAnsi" w:hAnsiTheme="minorHAnsi" w:cstheme="minorHAnsi"/>
        </w:rPr>
        <w:t xml:space="preserve"> 2014; Landis et al</w:t>
      </w:r>
      <w:r w:rsidRPr="007063A8">
        <w:rPr>
          <w:rFonts w:asciiTheme="minorHAnsi" w:hAnsiTheme="minorHAnsi" w:cstheme="minorHAnsi"/>
          <w:i/>
          <w:iCs/>
        </w:rPr>
        <w:t>.</w:t>
      </w:r>
      <w:r w:rsidR="245A2774" w:rsidRPr="007063A8">
        <w:rPr>
          <w:rFonts w:asciiTheme="minorHAnsi" w:hAnsiTheme="minorHAnsi" w:cstheme="minorHAnsi"/>
          <w:i/>
          <w:iCs/>
        </w:rPr>
        <w:t>,</w:t>
      </w:r>
      <w:r w:rsidRPr="007063A8">
        <w:rPr>
          <w:rFonts w:asciiTheme="minorHAnsi" w:hAnsiTheme="minorHAnsi" w:cstheme="minorHAnsi"/>
        </w:rPr>
        <w:t xml:space="preserve"> 2014; </w:t>
      </w:r>
      <w:r w:rsidR="006B5AE2" w:rsidRPr="007063A8">
        <w:rPr>
          <w:rFonts w:asciiTheme="minorHAnsi" w:hAnsiTheme="minorHAnsi" w:cstheme="minorHAnsi"/>
        </w:rPr>
        <w:t>Montron</w:t>
      </w:r>
      <w:r w:rsidR="005C28FC" w:rsidRPr="007063A8">
        <w:rPr>
          <w:rFonts w:asciiTheme="minorHAnsi" w:hAnsiTheme="minorHAnsi" w:cstheme="minorHAnsi"/>
        </w:rPr>
        <w:t>e</w:t>
      </w:r>
      <w:r w:rsidR="1D8E4B51" w:rsidRPr="007063A8">
        <w:rPr>
          <w:rFonts w:asciiTheme="minorHAnsi" w:hAnsiTheme="minorHAnsi" w:cstheme="minorHAnsi"/>
        </w:rPr>
        <w:t>,</w:t>
      </w:r>
      <w:r w:rsidR="006B5AE2" w:rsidRPr="007063A8">
        <w:rPr>
          <w:rFonts w:asciiTheme="minorHAnsi" w:hAnsiTheme="minorHAnsi" w:cstheme="minorHAnsi"/>
        </w:rPr>
        <w:t xml:space="preserve"> 2000; </w:t>
      </w:r>
      <w:r w:rsidRPr="007063A8">
        <w:rPr>
          <w:rFonts w:asciiTheme="minorHAnsi" w:hAnsiTheme="minorHAnsi" w:cstheme="minorHAnsi"/>
        </w:rPr>
        <w:t>Morley</w:t>
      </w:r>
      <w:r w:rsidR="64795D80" w:rsidRPr="007063A8">
        <w:rPr>
          <w:rFonts w:asciiTheme="minorHAnsi" w:hAnsiTheme="minorHAnsi" w:cstheme="minorHAnsi"/>
        </w:rPr>
        <w:t>,</w:t>
      </w:r>
      <w:r w:rsidRPr="007063A8">
        <w:rPr>
          <w:rFonts w:asciiTheme="minorHAnsi" w:hAnsiTheme="minorHAnsi" w:cstheme="minorHAnsi"/>
        </w:rPr>
        <w:t xml:space="preserve"> 1978; Rees</w:t>
      </w:r>
      <w:r w:rsidR="0F748588" w:rsidRPr="007063A8">
        <w:rPr>
          <w:rFonts w:asciiTheme="minorHAnsi" w:hAnsiTheme="minorHAnsi" w:cstheme="minorHAnsi"/>
        </w:rPr>
        <w:t>,</w:t>
      </w:r>
      <w:r w:rsidRPr="007063A8">
        <w:rPr>
          <w:rFonts w:asciiTheme="minorHAnsi" w:hAnsiTheme="minorHAnsi" w:cstheme="minorHAnsi"/>
        </w:rPr>
        <w:t xml:space="preserve"> 1990; Renshall </w:t>
      </w:r>
      <w:r w:rsidRPr="007063A8">
        <w:rPr>
          <w:rFonts w:asciiTheme="minorHAnsi" w:hAnsiTheme="minorHAnsi" w:cstheme="minorHAnsi"/>
          <w:i/>
          <w:iCs/>
        </w:rPr>
        <w:t>et al.</w:t>
      </w:r>
      <w:r w:rsidR="42AF2801" w:rsidRPr="007063A8">
        <w:rPr>
          <w:rFonts w:asciiTheme="minorHAnsi" w:hAnsiTheme="minorHAnsi" w:cstheme="minorHAnsi"/>
          <w:i/>
          <w:iCs/>
        </w:rPr>
        <w:t>,</w:t>
      </w:r>
      <w:r w:rsidRPr="007063A8">
        <w:rPr>
          <w:rFonts w:asciiTheme="minorHAnsi" w:hAnsiTheme="minorHAnsi" w:cstheme="minorHAnsi"/>
        </w:rPr>
        <w:t xml:space="preserve"> 1979)</w:t>
      </w:r>
      <w:r w:rsidR="00F516EF" w:rsidRPr="007063A8">
        <w:rPr>
          <w:rFonts w:asciiTheme="minorHAnsi" w:hAnsiTheme="minorHAnsi" w:cstheme="minorHAnsi"/>
        </w:rPr>
        <w:t xml:space="preserve">. </w:t>
      </w:r>
      <w:r w:rsidRPr="007063A8">
        <w:rPr>
          <w:rFonts w:asciiTheme="minorHAnsi" w:hAnsiTheme="minorHAnsi" w:cstheme="minorHAnsi"/>
        </w:rPr>
        <w:t>In fact, the value added can be, on the one hand, defined as the greater wealth created by the company but, on the other hand, as a source of distribution of the same wealth among the subjects who have taken part, albeit in different roles, in the productive activity (Rispoli</w:t>
      </w:r>
      <w:r w:rsidR="378603BA" w:rsidRPr="007063A8">
        <w:rPr>
          <w:rFonts w:asciiTheme="minorHAnsi" w:hAnsiTheme="minorHAnsi" w:cstheme="minorHAnsi"/>
        </w:rPr>
        <w:t>,</w:t>
      </w:r>
      <w:r w:rsidRPr="007063A8">
        <w:rPr>
          <w:rFonts w:asciiTheme="minorHAnsi" w:hAnsiTheme="minorHAnsi" w:cstheme="minorHAnsi"/>
        </w:rPr>
        <w:t xml:space="preserve"> 1983).</w:t>
      </w:r>
      <w:r w:rsidR="00015340" w:rsidRPr="007063A8">
        <w:rPr>
          <w:rFonts w:asciiTheme="minorHAnsi" w:hAnsiTheme="minorHAnsi" w:cstheme="minorHAnsi"/>
        </w:rPr>
        <w:t xml:space="preserve"> </w:t>
      </w:r>
      <w:r w:rsidRPr="007063A8">
        <w:rPr>
          <w:rFonts w:asciiTheme="minorHAnsi" w:hAnsiTheme="minorHAnsi" w:cstheme="minorHAnsi"/>
        </w:rPr>
        <w:t>Therefore, the value added can be very useful for judging the sociality of the company according to its ability to create enough new wealth to satisfy the expectations of different stakeholders</w:t>
      </w:r>
      <w:r w:rsidR="00210A6F" w:rsidRPr="007063A8">
        <w:rPr>
          <w:rFonts w:asciiTheme="minorHAnsi" w:hAnsiTheme="minorHAnsi" w:cstheme="minorHAnsi"/>
        </w:rPr>
        <w:t xml:space="preserve"> (</w:t>
      </w:r>
      <w:r w:rsidR="00210A6F" w:rsidRPr="007063A8">
        <w:rPr>
          <w:rFonts w:asciiTheme="minorHAnsi" w:hAnsiTheme="minorHAnsi" w:cstheme="minorHAnsi"/>
          <w:color w:val="4F6228" w:themeColor="accent3" w:themeShade="80"/>
        </w:rPr>
        <w:t xml:space="preserve">Haller </w:t>
      </w:r>
      <w:r w:rsidR="236522F1" w:rsidRPr="007063A8">
        <w:rPr>
          <w:rFonts w:asciiTheme="minorHAnsi" w:hAnsiTheme="minorHAnsi" w:cstheme="minorHAnsi"/>
          <w:color w:val="4F6228" w:themeColor="accent3" w:themeShade="80"/>
        </w:rPr>
        <w:t>and</w:t>
      </w:r>
      <w:r w:rsidR="00210A6F" w:rsidRPr="007063A8">
        <w:rPr>
          <w:rFonts w:asciiTheme="minorHAnsi" w:hAnsiTheme="minorHAnsi" w:cstheme="minorHAnsi"/>
          <w:color w:val="4F6228" w:themeColor="accent3" w:themeShade="80"/>
        </w:rPr>
        <w:t xml:space="preserve"> Van Staden</w:t>
      </w:r>
      <w:r w:rsidR="69E1EE45" w:rsidRPr="007063A8">
        <w:rPr>
          <w:rFonts w:asciiTheme="minorHAnsi" w:hAnsiTheme="minorHAnsi" w:cstheme="minorHAnsi"/>
          <w:color w:val="4F6228" w:themeColor="accent3" w:themeShade="80"/>
        </w:rPr>
        <w:t>,</w:t>
      </w:r>
      <w:r w:rsidR="00210A6F" w:rsidRPr="007063A8">
        <w:rPr>
          <w:rFonts w:asciiTheme="minorHAnsi" w:hAnsiTheme="minorHAnsi" w:cstheme="minorHAnsi"/>
          <w:color w:val="4F6228" w:themeColor="accent3" w:themeShade="80"/>
        </w:rPr>
        <w:t xml:space="preserve"> 2014)</w:t>
      </w:r>
      <w:r w:rsidRPr="007063A8">
        <w:rPr>
          <w:rFonts w:asciiTheme="minorHAnsi" w:hAnsiTheme="minorHAnsi" w:cstheme="minorHAnsi"/>
        </w:rPr>
        <w:t>.</w:t>
      </w:r>
    </w:p>
    <w:p w14:paraId="30B9ADE7" w14:textId="754845B9" w:rsidR="007549BF" w:rsidRPr="007063A8" w:rsidRDefault="007549BF" w:rsidP="58FB800D">
      <w:pPr>
        <w:widowControl/>
        <w:spacing w:line="276" w:lineRule="auto"/>
        <w:ind w:firstLine="360"/>
        <w:jc w:val="both"/>
        <w:rPr>
          <w:rFonts w:asciiTheme="minorHAnsi" w:hAnsiTheme="minorHAnsi" w:cstheme="minorHAnsi"/>
          <w:spacing w:val="4"/>
        </w:rPr>
      </w:pPr>
      <w:r w:rsidRPr="007063A8">
        <w:rPr>
          <w:rFonts w:asciiTheme="minorHAnsi" w:hAnsiTheme="minorHAnsi" w:cstheme="minorHAnsi"/>
        </w:rPr>
        <w:t>Several configurations of value added can be obtained through the re-arrangement of the income statement, but we will refer to the distributable value added, which represents the real link between the process of creating new wealth and the process of its distribution</w:t>
      </w:r>
      <w:r w:rsidR="0C7AAA6B" w:rsidRPr="007063A8">
        <w:rPr>
          <w:rFonts w:asciiTheme="minorHAnsi" w:hAnsiTheme="minorHAnsi" w:cstheme="minorHAnsi"/>
        </w:rPr>
        <w:t xml:space="preserve"> (Haller, 1997; Montrone, 2000)</w:t>
      </w:r>
      <w:r w:rsidRPr="007063A8">
        <w:rPr>
          <w:rFonts w:asciiTheme="minorHAnsi" w:hAnsiTheme="minorHAnsi" w:cstheme="minorHAnsi"/>
        </w:rPr>
        <w:t>.</w:t>
      </w:r>
      <w:r w:rsidR="00015340" w:rsidRPr="007063A8">
        <w:rPr>
          <w:rFonts w:asciiTheme="minorHAnsi" w:hAnsiTheme="minorHAnsi" w:cstheme="minorHAnsi"/>
        </w:rPr>
        <w:t xml:space="preserve"> </w:t>
      </w:r>
      <w:r w:rsidR="00015340" w:rsidRPr="007063A8">
        <w:rPr>
          <w:rFonts w:asciiTheme="minorHAnsi" w:hAnsiTheme="minorHAnsi" w:cstheme="minorHAnsi"/>
          <w:spacing w:val="4"/>
        </w:rPr>
        <w:t>T</w:t>
      </w:r>
      <w:r w:rsidRPr="007063A8">
        <w:rPr>
          <w:rFonts w:asciiTheme="minorHAnsi" w:hAnsiTheme="minorHAnsi" w:cstheme="minorHAnsi"/>
          <w:spacing w:val="4"/>
        </w:rPr>
        <w:t>h</w:t>
      </w:r>
      <w:r w:rsidR="00015340" w:rsidRPr="007063A8">
        <w:rPr>
          <w:rFonts w:asciiTheme="minorHAnsi" w:hAnsiTheme="minorHAnsi" w:cstheme="minorHAnsi"/>
          <w:spacing w:val="4"/>
        </w:rPr>
        <w:t>is</w:t>
      </w:r>
      <w:r w:rsidRPr="007063A8">
        <w:rPr>
          <w:rFonts w:asciiTheme="minorHAnsi" w:hAnsiTheme="minorHAnsi" w:cstheme="minorHAnsi"/>
          <w:spacing w:val="4"/>
        </w:rPr>
        <w:t xml:space="preserve"> distributable value added represents the measure of the wealth that, once created, becomes available for distribution among the following categories of stakeholders:</w:t>
      </w:r>
    </w:p>
    <w:p w14:paraId="5E515121" w14:textId="388C562C" w:rsidR="007549BF" w:rsidRPr="007063A8" w:rsidRDefault="007549BF" w:rsidP="00585570">
      <w:pPr>
        <w:pStyle w:val="BodyTextIndent"/>
        <w:numPr>
          <w:ilvl w:val="0"/>
          <w:numId w:val="19"/>
        </w:numPr>
        <w:tabs>
          <w:tab w:val="num" w:pos="824"/>
        </w:tabs>
        <w:suppressAutoHyphens w:val="0"/>
        <w:spacing w:line="276" w:lineRule="auto"/>
        <w:ind w:firstLine="360"/>
        <w:rPr>
          <w:rFonts w:asciiTheme="minorHAnsi" w:hAnsiTheme="minorHAnsi" w:cstheme="minorHAnsi"/>
          <w:spacing w:val="4"/>
        </w:rPr>
      </w:pPr>
      <w:r w:rsidRPr="007063A8">
        <w:rPr>
          <w:rFonts w:asciiTheme="minorHAnsi" w:hAnsiTheme="minorHAnsi" w:cstheme="minorHAnsi"/>
          <w:spacing w:val="4"/>
        </w:rPr>
        <w:t>employees, who receive various forms of remuneration, both direct and indirect, immediate but also deferred;</w:t>
      </w:r>
    </w:p>
    <w:p w14:paraId="70A25380" w14:textId="77777777" w:rsidR="007549BF" w:rsidRPr="007063A8" w:rsidRDefault="007549BF" w:rsidP="00585570">
      <w:pPr>
        <w:pStyle w:val="BodyTextIndent"/>
        <w:numPr>
          <w:ilvl w:val="0"/>
          <w:numId w:val="19"/>
        </w:numPr>
        <w:tabs>
          <w:tab w:val="num" w:pos="824"/>
        </w:tabs>
        <w:suppressAutoHyphens w:val="0"/>
        <w:spacing w:line="276" w:lineRule="auto"/>
        <w:ind w:firstLine="360"/>
        <w:rPr>
          <w:rFonts w:asciiTheme="minorHAnsi" w:hAnsiTheme="minorHAnsi" w:cstheme="minorHAnsi"/>
          <w:spacing w:val="4"/>
        </w:rPr>
      </w:pPr>
      <w:r w:rsidRPr="007063A8">
        <w:rPr>
          <w:rFonts w:asciiTheme="minorHAnsi" w:hAnsiTheme="minorHAnsi" w:cstheme="minorHAnsi"/>
          <w:spacing w:val="4"/>
        </w:rPr>
        <w:t>lenders, who are paid interest on the capital lent;</w:t>
      </w:r>
    </w:p>
    <w:p w14:paraId="1E6A40A6" w14:textId="77777777" w:rsidR="007549BF" w:rsidRPr="007063A8" w:rsidRDefault="007549BF" w:rsidP="00585570">
      <w:pPr>
        <w:pStyle w:val="BodyTextIndent"/>
        <w:numPr>
          <w:ilvl w:val="0"/>
          <w:numId w:val="19"/>
        </w:numPr>
        <w:tabs>
          <w:tab w:val="num" w:pos="824"/>
        </w:tabs>
        <w:suppressAutoHyphens w:val="0"/>
        <w:spacing w:line="276" w:lineRule="auto"/>
        <w:ind w:firstLine="360"/>
        <w:rPr>
          <w:rFonts w:asciiTheme="minorHAnsi" w:hAnsiTheme="minorHAnsi" w:cstheme="minorHAnsi"/>
          <w:spacing w:val="4"/>
        </w:rPr>
      </w:pPr>
      <w:r w:rsidRPr="007063A8">
        <w:rPr>
          <w:rFonts w:asciiTheme="minorHAnsi" w:hAnsiTheme="minorHAnsi" w:cstheme="minorHAnsi"/>
          <w:spacing w:val="4"/>
        </w:rPr>
        <w:t>public administration, which acquires a part of the wealth produced by the company through taxation;</w:t>
      </w:r>
    </w:p>
    <w:p w14:paraId="6D3EF08D" w14:textId="77777777" w:rsidR="007549BF" w:rsidRPr="007063A8" w:rsidRDefault="007549BF" w:rsidP="00585570">
      <w:pPr>
        <w:pStyle w:val="BodyTextIndent"/>
        <w:numPr>
          <w:ilvl w:val="0"/>
          <w:numId w:val="19"/>
        </w:numPr>
        <w:tabs>
          <w:tab w:val="num" w:pos="824"/>
        </w:tabs>
        <w:suppressAutoHyphens w:val="0"/>
        <w:spacing w:line="276" w:lineRule="auto"/>
        <w:ind w:firstLine="360"/>
        <w:rPr>
          <w:rFonts w:asciiTheme="minorHAnsi" w:hAnsiTheme="minorHAnsi" w:cstheme="minorHAnsi"/>
          <w:spacing w:val="4"/>
        </w:rPr>
      </w:pPr>
      <w:r w:rsidRPr="007063A8">
        <w:rPr>
          <w:rFonts w:asciiTheme="minorHAnsi" w:hAnsiTheme="minorHAnsi" w:cstheme="minorHAnsi"/>
          <w:spacing w:val="4"/>
        </w:rPr>
        <w:t>shareholders, remunerated through any distribution of profits;</w:t>
      </w:r>
    </w:p>
    <w:p w14:paraId="229F3FAB" w14:textId="77777777" w:rsidR="007549BF" w:rsidRPr="007063A8" w:rsidRDefault="007549BF" w:rsidP="00643445">
      <w:pPr>
        <w:pStyle w:val="BodyTextIndent"/>
        <w:numPr>
          <w:ilvl w:val="0"/>
          <w:numId w:val="19"/>
        </w:numPr>
        <w:tabs>
          <w:tab w:val="num" w:pos="824"/>
        </w:tabs>
        <w:suppressAutoHyphens w:val="0"/>
        <w:spacing w:line="276" w:lineRule="auto"/>
        <w:ind w:left="357" w:firstLine="360"/>
        <w:rPr>
          <w:rFonts w:asciiTheme="minorHAnsi" w:hAnsiTheme="minorHAnsi" w:cstheme="minorHAnsi"/>
          <w:spacing w:val="4"/>
        </w:rPr>
      </w:pPr>
      <w:r w:rsidRPr="007063A8">
        <w:rPr>
          <w:rFonts w:asciiTheme="minorHAnsi" w:hAnsiTheme="minorHAnsi" w:cstheme="minorHAnsi"/>
          <w:spacing w:val="4"/>
        </w:rPr>
        <w:t>enterprise system, which, by means of self-financing, strengthens the financial solidity and economic-productive potential.</w:t>
      </w:r>
    </w:p>
    <w:p w14:paraId="5E5B7052" w14:textId="77777777" w:rsidR="005F57AB" w:rsidRPr="007063A8" w:rsidRDefault="005F57AB" w:rsidP="005F57AB">
      <w:pPr>
        <w:widowControl/>
        <w:spacing w:line="276" w:lineRule="auto"/>
        <w:jc w:val="both"/>
        <w:rPr>
          <w:rFonts w:asciiTheme="minorHAnsi" w:hAnsiTheme="minorHAnsi" w:cstheme="minorHAnsi"/>
        </w:rPr>
      </w:pPr>
    </w:p>
    <w:p w14:paraId="74F0DFC3" w14:textId="2AAD81AD" w:rsidR="005F57AB" w:rsidRPr="005F57AB" w:rsidRDefault="005F57AB" w:rsidP="005F57AB">
      <w:pPr>
        <w:spacing w:after="120" w:line="276" w:lineRule="auto"/>
        <w:jc w:val="both"/>
        <w:rPr>
          <w:rFonts w:asciiTheme="minorHAnsi" w:hAnsiTheme="minorHAnsi" w:cstheme="minorHAnsi"/>
          <w:bCs/>
          <w:i/>
          <w:iCs/>
        </w:rPr>
      </w:pPr>
      <w:r w:rsidRPr="005F57AB">
        <w:rPr>
          <w:rFonts w:asciiTheme="minorHAnsi" w:hAnsiTheme="minorHAnsi" w:cstheme="minorHAnsi"/>
          <w:bCs/>
          <w:i/>
          <w:iCs/>
        </w:rPr>
        <w:t>3.</w:t>
      </w:r>
      <w:r>
        <w:rPr>
          <w:rFonts w:asciiTheme="minorHAnsi" w:hAnsiTheme="minorHAnsi" w:cstheme="minorHAnsi"/>
          <w:bCs/>
          <w:i/>
          <w:iCs/>
        </w:rPr>
        <w:t>2</w:t>
      </w:r>
      <w:r w:rsidRPr="005F57AB">
        <w:rPr>
          <w:rFonts w:asciiTheme="minorHAnsi" w:hAnsiTheme="minorHAnsi" w:cstheme="minorHAnsi"/>
          <w:bCs/>
          <w:i/>
          <w:iCs/>
        </w:rPr>
        <w:tab/>
        <w:t xml:space="preserve">The </w:t>
      </w:r>
      <w:r>
        <w:rPr>
          <w:rFonts w:asciiTheme="minorHAnsi" w:hAnsiTheme="minorHAnsi" w:cstheme="minorHAnsi"/>
          <w:bCs/>
          <w:i/>
          <w:iCs/>
        </w:rPr>
        <w:t>M</w:t>
      </w:r>
      <w:r w:rsidRPr="005F57AB">
        <w:rPr>
          <w:rFonts w:asciiTheme="minorHAnsi" w:hAnsiTheme="minorHAnsi" w:cstheme="minorHAnsi"/>
          <w:bCs/>
          <w:i/>
          <w:iCs/>
        </w:rPr>
        <w:t xml:space="preserve">easurement of the </w:t>
      </w:r>
      <w:r>
        <w:rPr>
          <w:rFonts w:asciiTheme="minorHAnsi" w:hAnsiTheme="minorHAnsi" w:cstheme="minorHAnsi"/>
          <w:bCs/>
          <w:i/>
          <w:iCs/>
        </w:rPr>
        <w:t>F</w:t>
      </w:r>
      <w:r w:rsidRPr="005F57AB">
        <w:rPr>
          <w:rFonts w:asciiTheme="minorHAnsi" w:hAnsiTheme="minorHAnsi" w:cstheme="minorHAnsi"/>
          <w:bCs/>
          <w:i/>
          <w:iCs/>
        </w:rPr>
        <w:t xml:space="preserve">inancial, </w:t>
      </w:r>
      <w:r>
        <w:rPr>
          <w:rFonts w:asciiTheme="minorHAnsi" w:hAnsiTheme="minorHAnsi" w:cstheme="minorHAnsi"/>
          <w:bCs/>
          <w:i/>
          <w:iCs/>
        </w:rPr>
        <w:t>E</w:t>
      </w:r>
      <w:r w:rsidRPr="005F57AB">
        <w:rPr>
          <w:rFonts w:asciiTheme="minorHAnsi" w:hAnsiTheme="minorHAnsi" w:cstheme="minorHAnsi"/>
          <w:bCs/>
          <w:i/>
          <w:iCs/>
        </w:rPr>
        <w:t xml:space="preserve">conomic, and </w:t>
      </w:r>
      <w:r>
        <w:rPr>
          <w:rFonts w:asciiTheme="minorHAnsi" w:hAnsiTheme="minorHAnsi" w:cstheme="minorHAnsi"/>
          <w:bCs/>
          <w:i/>
          <w:iCs/>
        </w:rPr>
        <w:t>S</w:t>
      </w:r>
      <w:r w:rsidRPr="005F57AB">
        <w:rPr>
          <w:rFonts w:asciiTheme="minorHAnsi" w:hAnsiTheme="minorHAnsi" w:cstheme="minorHAnsi"/>
          <w:bCs/>
          <w:i/>
          <w:iCs/>
        </w:rPr>
        <w:t xml:space="preserve">ocial </w:t>
      </w:r>
      <w:r>
        <w:rPr>
          <w:rFonts w:asciiTheme="minorHAnsi" w:hAnsiTheme="minorHAnsi" w:cstheme="minorHAnsi"/>
          <w:bCs/>
          <w:i/>
          <w:iCs/>
        </w:rPr>
        <w:t>P</w:t>
      </w:r>
      <w:r w:rsidRPr="005F57AB">
        <w:rPr>
          <w:rFonts w:asciiTheme="minorHAnsi" w:hAnsiTheme="minorHAnsi" w:cstheme="minorHAnsi"/>
          <w:bCs/>
          <w:i/>
          <w:iCs/>
        </w:rPr>
        <w:t>erformance of SCs and PLCs</w:t>
      </w:r>
    </w:p>
    <w:p w14:paraId="765500B2" w14:textId="345BB271"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rPr>
        <w:t xml:space="preserve">Moreover, </w:t>
      </w:r>
      <w:r w:rsidR="00BD4EE6" w:rsidRPr="007063A8">
        <w:rPr>
          <w:rFonts w:asciiTheme="minorHAnsi" w:hAnsiTheme="minorHAnsi" w:cstheme="minorHAnsi"/>
        </w:rPr>
        <w:t xml:space="preserve">when determining which ratios to use in order to capture the </w:t>
      </w:r>
      <w:r w:rsidRPr="007063A8">
        <w:rPr>
          <w:rFonts w:asciiTheme="minorHAnsi" w:hAnsiTheme="minorHAnsi" w:cstheme="minorHAnsi"/>
        </w:rPr>
        <w:t>financial, economic, and social perspective</w:t>
      </w:r>
      <w:r w:rsidR="00BD4EE6" w:rsidRPr="007063A8">
        <w:rPr>
          <w:rFonts w:asciiTheme="minorHAnsi" w:hAnsiTheme="minorHAnsi" w:cstheme="minorHAnsi"/>
        </w:rPr>
        <w:t>s</w:t>
      </w:r>
      <w:r w:rsidRPr="007063A8">
        <w:rPr>
          <w:rFonts w:asciiTheme="minorHAnsi" w:hAnsiTheme="minorHAnsi" w:cstheme="minorHAnsi"/>
        </w:rPr>
        <w:t xml:space="preserve">, </w:t>
      </w:r>
      <w:r w:rsidR="00BD4EE6" w:rsidRPr="007063A8">
        <w:rPr>
          <w:rFonts w:asciiTheme="minorHAnsi" w:hAnsiTheme="minorHAnsi" w:cstheme="minorHAnsi"/>
        </w:rPr>
        <w:t xml:space="preserve">we recognize that each stakeholder group holds different expectations. For example, </w:t>
      </w:r>
      <w:r w:rsidRPr="007063A8">
        <w:rPr>
          <w:rFonts w:asciiTheme="minorHAnsi" w:hAnsiTheme="minorHAnsi" w:cstheme="minorHAnsi"/>
        </w:rPr>
        <w:t xml:space="preserve">lenders tend to favor the aspect of solvency, referring to ratios of financial structure and, above all, trying to evaluate the company's ability to generate adequate cash-flow, an indispensable prerequisite for allowing the recovery of the money lent (Sostero </w:t>
      </w:r>
      <w:r w:rsidRPr="007063A8">
        <w:rPr>
          <w:rFonts w:asciiTheme="minorHAnsi" w:hAnsiTheme="minorHAnsi" w:cstheme="minorHAnsi"/>
          <w:i/>
          <w:iCs/>
        </w:rPr>
        <w:t>et al.</w:t>
      </w:r>
      <w:r w:rsidRPr="007063A8">
        <w:rPr>
          <w:rFonts w:asciiTheme="minorHAnsi" w:hAnsiTheme="minorHAnsi" w:cstheme="minorHAnsi"/>
        </w:rPr>
        <w:t xml:space="preserve"> 2016)</w:t>
      </w:r>
      <w:r w:rsidR="00BD4EE6" w:rsidRPr="007063A8">
        <w:rPr>
          <w:rFonts w:asciiTheme="minorHAnsi" w:hAnsiTheme="minorHAnsi" w:cstheme="minorHAnsi"/>
        </w:rPr>
        <w:t>. S</w:t>
      </w:r>
      <w:r w:rsidRPr="007063A8">
        <w:rPr>
          <w:rFonts w:asciiTheme="minorHAnsi" w:hAnsiTheme="minorHAnsi" w:cstheme="minorHAnsi"/>
        </w:rPr>
        <w:t>hareholders of joint-stock companies favor the economic perspective, measurable in the current and future income capacity, using the traditional profitability ratios such as ROA, ROE and ROI (Teodori</w:t>
      </w:r>
      <w:r w:rsidR="0C836EC2" w:rsidRPr="007063A8">
        <w:rPr>
          <w:rFonts w:asciiTheme="minorHAnsi" w:hAnsiTheme="minorHAnsi" w:cstheme="minorHAnsi"/>
        </w:rPr>
        <w:t>,</w:t>
      </w:r>
      <w:r w:rsidRPr="007063A8">
        <w:rPr>
          <w:rFonts w:asciiTheme="minorHAnsi" w:hAnsiTheme="minorHAnsi" w:cstheme="minorHAnsi"/>
        </w:rPr>
        <w:t xml:space="preserve"> 2000)</w:t>
      </w:r>
      <w:r w:rsidR="00BD4EE6" w:rsidRPr="007063A8">
        <w:rPr>
          <w:rFonts w:asciiTheme="minorHAnsi" w:hAnsiTheme="minorHAnsi" w:cstheme="minorHAnsi"/>
        </w:rPr>
        <w:t xml:space="preserve">. In contrast, the geographic </w:t>
      </w:r>
      <w:r w:rsidRPr="007063A8">
        <w:rPr>
          <w:rFonts w:asciiTheme="minorHAnsi" w:hAnsiTheme="minorHAnsi" w:cstheme="minorHAnsi"/>
        </w:rPr>
        <w:t xml:space="preserve">community of the company is primarily interested in the social impact on the </w:t>
      </w:r>
      <w:r w:rsidRPr="007063A8">
        <w:rPr>
          <w:rFonts w:asciiTheme="minorHAnsi" w:hAnsiTheme="minorHAnsi" w:cstheme="minorHAnsi"/>
          <w:lang w:val="en-GB"/>
        </w:rPr>
        <w:t xml:space="preserve">territory, </w:t>
      </w:r>
      <w:r w:rsidR="00BD4EE6" w:rsidRPr="007063A8">
        <w:rPr>
          <w:rFonts w:asciiTheme="minorHAnsi" w:hAnsiTheme="minorHAnsi" w:cstheme="minorHAnsi"/>
          <w:lang w:val="en-GB"/>
        </w:rPr>
        <w:t xml:space="preserve">often </w:t>
      </w:r>
      <w:r w:rsidRPr="007063A8">
        <w:rPr>
          <w:rFonts w:asciiTheme="minorHAnsi" w:hAnsiTheme="minorHAnsi" w:cstheme="minorHAnsi"/>
          <w:lang w:val="en-GB"/>
        </w:rPr>
        <w:t>measured in terms of jobs created.</w:t>
      </w:r>
      <w:r w:rsidR="003E2A3B" w:rsidRPr="007063A8">
        <w:rPr>
          <w:rFonts w:asciiTheme="minorHAnsi" w:hAnsiTheme="minorHAnsi" w:cstheme="minorHAnsi"/>
          <w:lang w:val="en-GB"/>
        </w:rPr>
        <w:t xml:space="preserve"> </w:t>
      </w:r>
      <w:r w:rsidRPr="007063A8">
        <w:rPr>
          <w:rFonts w:asciiTheme="minorHAnsi" w:hAnsiTheme="minorHAnsi" w:cstheme="minorHAnsi"/>
          <w:lang w:val="en-GB"/>
        </w:rPr>
        <w:t>However, in all three cases, they are partial optics. Therefore, it is necessary to conduct an analysis that takes into account all three dimensions to avoid incomplete and even misleading assessments.</w:t>
      </w:r>
    </w:p>
    <w:p w14:paraId="060A9054" w14:textId="0CF51D6E"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To measure the performance of </w:t>
      </w:r>
      <w:r w:rsidR="003E2A3B" w:rsidRPr="007063A8">
        <w:rPr>
          <w:rFonts w:asciiTheme="minorHAnsi" w:hAnsiTheme="minorHAnsi" w:cstheme="minorHAnsi"/>
          <w:lang w:val="en-GB"/>
        </w:rPr>
        <w:t xml:space="preserve">comparable </w:t>
      </w:r>
      <w:r w:rsidRPr="007063A8">
        <w:rPr>
          <w:rFonts w:asciiTheme="minorHAnsi" w:hAnsiTheme="minorHAnsi" w:cstheme="minorHAnsi"/>
          <w:lang w:val="en-GB"/>
        </w:rPr>
        <w:t>SCs in the triple dimension</w:t>
      </w:r>
      <w:r w:rsidR="003E2A3B" w:rsidRPr="007063A8">
        <w:rPr>
          <w:rFonts w:asciiTheme="minorHAnsi" w:hAnsiTheme="minorHAnsi" w:cstheme="minorHAnsi"/>
          <w:lang w:val="en-GB"/>
        </w:rPr>
        <w:t xml:space="preserve"> (economic-financial-social)</w:t>
      </w:r>
      <w:r w:rsidRPr="007063A8">
        <w:rPr>
          <w:rFonts w:asciiTheme="minorHAnsi" w:hAnsiTheme="minorHAnsi" w:cstheme="minorHAnsi"/>
          <w:lang w:val="en-GB"/>
        </w:rPr>
        <w:t>, and then compare it with that shown in the same time by companies of the same size and operating in the same sectors, but with the different legal form of limited liability company (</w:t>
      </w:r>
      <w:r w:rsidR="006B5AE2" w:rsidRPr="007063A8">
        <w:rPr>
          <w:rFonts w:asciiTheme="minorHAnsi" w:hAnsiTheme="minorHAnsi" w:cstheme="minorHAnsi"/>
          <w:lang w:val="en-GB"/>
        </w:rPr>
        <w:t>PLCs</w:t>
      </w:r>
      <w:r w:rsidRPr="007063A8">
        <w:rPr>
          <w:rFonts w:asciiTheme="minorHAnsi" w:hAnsiTheme="minorHAnsi" w:cstheme="minorHAnsi"/>
          <w:lang w:val="en-GB"/>
        </w:rPr>
        <w:t xml:space="preserve">), we chose to calculate </w:t>
      </w:r>
      <w:r w:rsidR="003E2A3B" w:rsidRPr="007063A8">
        <w:rPr>
          <w:rFonts w:asciiTheme="minorHAnsi" w:hAnsiTheme="minorHAnsi" w:cstheme="minorHAnsi"/>
          <w:lang w:val="en-GB"/>
        </w:rPr>
        <w:t xml:space="preserve">and compare </w:t>
      </w:r>
      <w:r w:rsidRPr="007063A8">
        <w:rPr>
          <w:rFonts w:asciiTheme="minorHAnsi" w:hAnsiTheme="minorHAnsi" w:cstheme="minorHAnsi"/>
          <w:lang w:val="en-GB"/>
        </w:rPr>
        <w:t>nine ratios.</w:t>
      </w:r>
    </w:p>
    <w:p w14:paraId="5E4FAB4C" w14:textId="71306AB1" w:rsidR="007549BF" w:rsidRPr="007063A8" w:rsidRDefault="007549BF" w:rsidP="00585570">
      <w:pPr>
        <w:widowControl/>
        <w:spacing w:line="276" w:lineRule="auto"/>
        <w:ind w:firstLine="360"/>
        <w:jc w:val="both"/>
        <w:rPr>
          <w:rFonts w:asciiTheme="minorHAnsi" w:hAnsiTheme="minorHAnsi" w:cstheme="minorHAnsi"/>
        </w:rPr>
      </w:pPr>
      <w:r w:rsidRPr="007063A8">
        <w:rPr>
          <w:rFonts w:asciiTheme="minorHAnsi" w:hAnsiTheme="minorHAnsi" w:cstheme="minorHAnsi"/>
        </w:rPr>
        <w:t>Th</w:t>
      </w:r>
      <w:r w:rsidR="003E2A3B" w:rsidRPr="007063A8">
        <w:rPr>
          <w:rFonts w:asciiTheme="minorHAnsi" w:hAnsiTheme="minorHAnsi" w:cstheme="minorHAnsi"/>
        </w:rPr>
        <w:t>e first th</w:t>
      </w:r>
      <w:r w:rsidRPr="007063A8">
        <w:rPr>
          <w:rFonts w:asciiTheme="minorHAnsi" w:hAnsiTheme="minorHAnsi" w:cstheme="minorHAnsi"/>
        </w:rPr>
        <w:t xml:space="preserve">ree of these ratios aim at verifying the presence of financial balance, </w:t>
      </w:r>
      <w:r w:rsidR="003E2A3B" w:rsidRPr="007063A8">
        <w:rPr>
          <w:rFonts w:asciiTheme="minorHAnsi" w:hAnsiTheme="minorHAnsi" w:cstheme="minorHAnsi"/>
        </w:rPr>
        <w:t xml:space="preserve">while </w:t>
      </w:r>
      <w:r w:rsidRPr="007063A8">
        <w:rPr>
          <w:rFonts w:asciiTheme="minorHAnsi" w:hAnsiTheme="minorHAnsi" w:cstheme="minorHAnsi"/>
        </w:rPr>
        <w:t xml:space="preserve">the </w:t>
      </w:r>
      <w:r w:rsidR="003E2A3B" w:rsidRPr="007063A8">
        <w:rPr>
          <w:rFonts w:asciiTheme="minorHAnsi" w:hAnsiTheme="minorHAnsi" w:cstheme="minorHAnsi"/>
        </w:rPr>
        <w:t>second</w:t>
      </w:r>
      <w:r w:rsidRPr="007063A8">
        <w:rPr>
          <w:rFonts w:asciiTheme="minorHAnsi" w:hAnsiTheme="minorHAnsi" w:cstheme="minorHAnsi"/>
        </w:rPr>
        <w:t xml:space="preserve"> three concern the evaluation of economic balance</w:t>
      </w:r>
      <w:r w:rsidR="003E2A3B" w:rsidRPr="007063A8">
        <w:rPr>
          <w:rFonts w:asciiTheme="minorHAnsi" w:hAnsiTheme="minorHAnsi" w:cstheme="minorHAnsi"/>
        </w:rPr>
        <w:t>. Finally, the last set of three</w:t>
      </w:r>
      <w:r w:rsidRPr="007063A8">
        <w:rPr>
          <w:rFonts w:asciiTheme="minorHAnsi" w:hAnsiTheme="minorHAnsi" w:cstheme="minorHAnsi"/>
        </w:rPr>
        <w:t xml:space="preserve"> concern the issue of social impact on the reference community, focused on value added. </w:t>
      </w:r>
    </w:p>
    <w:p w14:paraId="316B7912" w14:textId="71A1E620"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lastRenderedPageBreak/>
        <w:t>The three financial ratios aim to</w:t>
      </w:r>
      <w:r w:rsidR="00316337" w:rsidRPr="007063A8">
        <w:rPr>
          <w:rFonts w:asciiTheme="minorHAnsi" w:hAnsiTheme="minorHAnsi" w:cstheme="minorHAnsi"/>
          <w:lang w:val="en-GB"/>
        </w:rPr>
        <w:t>:</w:t>
      </w:r>
    </w:p>
    <w:p w14:paraId="0310880D" w14:textId="77777777" w:rsidR="007549BF" w:rsidRPr="007063A8" w:rsidRDefault="007549BF" w:rsidP="00585570">
      <w:pPr>
        <w:pStyle w:val="ListParagraph"/>
        <w:numPr>
          <w:ilvl w:val="0"/>
          <w:numId w:val="21"/>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outline the company's solvency conditions in the short term (</w:t>
      </w:r>
      <w:r w:rsidRPr="007063A8">
        <w:rPr>
          <w:rFonts w:cstheme="minorHAnsi"/>
          <w:i/>
          <w:iCs/>
          <w:sz w:val="20"/>
          <w:szCs w:val="20"/>
          <w:lang w:val="en-GB"/>
        </w:rPr>
        <w:t xml:space="preserve">current ratio, </w:t>
      </w:r>
      <w:r w:rsidRPr="007063A8">
        <w:rPr>
          <w:rFonts w:cstheme="minorHAnsi"/>
          <w:sz w:val="20"/>
          <w:szCs w:val="20"/>
          <w:lang w:val="en-GB"/>
        </w:rPr>
        <w:t xml:space="preserve">given by the ratio of current assets and short-term liabilities); </w:t>
      </w:r>
    </w:p>
    <w:p w14:paraId="2C400C67" w14:textId="77777777" w:rsidR="007549BF" w:rsidRPr="007063A8" w:rsidRDefault="007549BF" w:rsidP="00585570">
      <w:pPr>
        <w:pStyle w:val="ListParagraph"/>
        <w:numPr>
          <w:ilvl w:val="0"/>
          <w:numId w:val="21"/>
        </w:numPr>
        <w:spacing w:after="0" w:line="276" w:lineRule="auto"/>
        <w:ind w:firstLine="360"/>
        <w:contextualSpacing w:val="0"/>
        <w:jc w:val="both"/>
        <w:rPr>
          <w:rFonts w:cstheme="minorHAnsi"/>
          <w:strike/>
          <w:sz w:val="20"/>
          <w:szCs w:val="20"/>
          <w:lang w:val="en-GB"/>
        </w:rPr>
      </w:pPr>
      <w:r w:rsidRPr="007063A8">
        <w:rPr>
          <w:rFonts w:cstheme="minorHAnsi"/>
          <w:sz w:val="20"/>
          <w:szCs w:val="20"/>
          <w:lang w:val="en-GB"/>
        </w:rPr>
        <w:t>indicate the existence of an adequate capital solidity with a significant contribution of equity in the financing of fixed assets (</w:t>
      </w:r>
      <w:r w:rsidRPr="007063A8">
        <w:rPr>
          <w:rFonts w:cstheme="minorHAnsi"/>
          <w:i/>
          <w:iCs/>
          <w:sz w:val="20"/>
          <w:szCs w:val="20"/>
          <w:lang w:val="en-GB"/>
        </w:rPr>
        <w:t>warranty ratio</w:t>
      </w:r>
      <w:r w:rsidRPr="007063A8">
        <w:rPr>
          <w:rFonts w:cstheme="minorHAnsi"/>
          <w:sz w:val="20"/>
          <w:szCs w:val="20"/>
          <w:lang w:val="en-GB"/>
        </w:rPr>
        <w:t xml:space="preserve">, given by the ratio between equity and fixed assets); </w:t>
      </w:r>
    </w:p>
    <w:p w14:paraId="30288F4E" w14:textId="0C1488BB" w:rsidR="007549BF" w:rsidRPr="007063A8" w:rsidRDefault="007549BF" w:rsidP="00643445">
      <w:pPr>
        <w:pStyle w:val="ListParagraph"/>
        <w:numPr>
          <w:ilvl w:val="0"/>
          <w:numId w:val="21"/>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express the correct setting of the financial structure in its composition between equity and debts (</w:t>
      </w:r>
      <w:r w:rsidRPr="007063A8">
        <w:rPr>
          <w:rFonts w:cstheme="minorHAnsi"/>
          <w:i/>
          <w:iCs/>
          <w:sz w:val="20"/>
          <w:szCs w:val="20"/>
          <w:lang w:val="en-GB"/>
        </w:rPr>
        <w:t>equity multiplier,</w:t>
      </w:r>
      <w:r w:rsidRPr="007063A8">
        <w:rPr>
          <w:rFonts w:cstheme="minorHAnsi"/>
          <w:sz w:val="20"/>
          <w:szCs w:val="20"/>
          <w:lang w:val="en-GB"/>
        </w:rPr>
        <w:t xml:space="preserve"> given by the ratio between total assets and equity)</w:t>
      </w:r>
      <w:r w:rsidR="00643445" w:rsidRPr="007063A8">
        <w:rPr>
          <w:rFonts w:cstheme="minorHAnsi"/>
          <w:sz w:val="20"/>
          <w:szCs w:val="20"/>
          <w:lang w:val="en-GB"/>
        </w:rPr>
        <w:t>.</w:t>
      </w:r>
    </w:p>
    <w:p w14:paraId="5BC847C8" w14:textId="77777777" w:rsidR="00643445" w:rsidRPr="007063A8" w:rsidRDefault="00643445" w:rsidP="00585570">
      <w:pPr>
        <w:pStyle w:val="ListParagraph"/>
        <w:spacing w:after="0" w:line="276" w:lineRule="auto"/>
        <w:contextualSpacing w:val="0"/>
        <w:jc w:val="both"/>
        <w:rPr>
          <w:rFonts w:cstheme="minorHAnsi"/>
          <w:sz w:val="20"/>
          <w:szCs w:val="20"/>
          <w:lang w:val="en-GB"/>
        </w:rPr>
      </w:pPr>
    </w:p>
    <w:p w14:paraId="1F0E838C" w14:textId="0ACE2336" w:rsidR="007549BF" w:rsidRPr="007063A8" w:rsidRDefault="00643445"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The </w:t>
      </w:r>
      <w:r w:rsidR="007549BF" w:rsidRPr="007063A8">
        <w:rPr>
          <w:rFonts w:asciiTheme="minorHAnsi" w:hAnsiTheme="minorHAnsi" w:cstheme="minorHAnsi"/>
          <w:lang w:val="en-GB"/>
        </w:rPr>
        <w:t>three economic ratios are designed to:</w:t>
      </w:r>
    </w:p>
    <w:p w14:paraId="0AD94E08" w14:textId="77777777" w:rsidR="007549BF" w:rsidRPr="007063A8" w:rsidRDefault="007549BF" w:rsidP="00585570">
      <w:pPr>
        <w:pStyle w:val="ListParagraph"/>
        <w:numPr>
          <w:ilvl w:val="0"/>
          <w:numId w:val="22"/>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measure the overall economic performance of the company (</w:t>
      </w:r>
      <w:r w:rsidRPr="007063A8">
        <w:rPr>
          <w:rFonts w:cstheme="minorHAnsi"/>
          <w:i/>
          <w:iCs/>
          <w:sz w:val="20"/>
          <w:szCs w:val="20"/>
          <w:lang w:val="en-GB"/>
        </w:rPr>
        <w:t>ROA</w:t>
      </w:r>
      <w:r w:rsidRPr="007063A8">
        <w:rPr>
          <w:rFonts w:cstheme="minorHAnsi"/>
          <w:sz w:val="20"/>
          <w:szCs w:val="20"/>
          <w:lang w:val="en-GB"/>
        </w:rPr>
        <w:t>, given by the ratio between net income and total assets);</w:t>
      </w:r>
    </w:p>
    <w:p w14:paraId="4D9336E9" w14:textId="77777777" w:rsidR="007549BF" w:rsidRPr="007063A8" w:rsidRDefault="007549BF" w:rsidP="00585570">
      <w:pPr>
        <w:pStyle w:val="ListParagraph"/>
        <w:numPr>
          <w:ilvl w:val="0"/>
          <w:numId w:val="22"/>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focus, within the framework of the above-mentioned overall economic performance, the contribution of the core business (</w:t>
      </w:r>
      <w:r w:rsidRPr="007063A8">
        <w:rPr>
          <w:rFonts w:cstheme="minorHAnsi"/>
          <w:i/>
          <w:iCs/>
          <w:sz w:val="20"/>
          <w:szCs w:val="20"/>
          <w:lang w:val="en-GB"/>
        </w:rPr>
        <w:t>ROI</w:t>
      </w:r>
      <w:r w:rsidRPr="007063A8">
        <w:rPr>
          <w:rFonts w:cstheme="minorHAnsi"/>
          <w:sz w:val="20"/>
          <w:szCs w:val="20"/>
          <w:lang w:val="en-GB"/>
        </w:rPr>
        <w:t>, given by the ratio between EBITDA and total assets);</w:t>
      </w:r>
    </w:p>
    <w:p w14:paraId="23AE76B7" w14:textId="77777777" w:rsidR="007549BF" w:rsidRPr="007063A8" w:rsidRDefault="007549BF" w:rsidP="00643445">
      <w:pPr>
        <w:pStyle w:val="ListParagraph"/>
        <w:numPr>
          <w:ilvl w:val="0"/>
          <w:numId w:val="22"/>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verify the sustainability of the financing choices (</w:t>
      </w:r>
      <w:r w:rsidRPr="007063A8">
        <w:rPr>
          <w:rFonts w:cstheme="minorHAnsi"/>
          <w:i/>
          <w:iCs/>
          <w:sz w:val="20"/>
          <w:szCs w:val="20"/>
          <w:lang w:val="en-GB"/>
        </w:rPr>
        <w:t>SFC</w:t>
      </w:r>
      <w:r w:rsidRPr="007063A8">
        <w:rPr>
          <w:rFonts w:cstheme="minorHAnsi"/>
          <w:sz w:val="20"/>
          <w:szCs w:val="20"/>
          <w:lang w:val="en-GB"/>
        </w:rPr>
        <w:t>) in terms of economic impact, relating interest expense to sales revenues.</w:t>
      </w:r>
    </w:p>
    <w:p w14:paraId="072C4354" w14:textId="77777777" w:rsidR="00643445" w:rsidRPr="007063A8" w:rsidRDefault="00643445" w:rsidP="00585570">
      <w:pPr>
        <w:pStyle w:val="ListParagraph"/>
        <w:spacing w:after="0" w:line="276" w:lineRule="auto"/>
        <w:contextualSpacing w:val="0"/>
        <w:jc w:val="both"/>
        <w:rPr>
          <w:rFonts w:cstheme="minorHAnsi"/>
          <w:sz w:val="20"/>
          <w:szCs w:val="20"/>
          <w:lang w:val="en-GB"/>
        </w:rPr>
      </w:pPr>
    </w:p>
    <w:p w14:paraId="770D1DCC" w14:textId="77777777"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Finally, the three social ratios aim to:</w:t>
      </w:r>
    </w:p>
    <w:p w14:paraId="4D3D1AB6" w14:textId="77777777" w:rsidR="007549BF" w:rsidRPr="007063A8" w:rsidRDefault="007549BF" w:rsidP="00585570">
      <w:pPr>
        <w:pStyle w:val="ListParagraph"/>
        <w:numPr>
          <w:ilvl w:val="0"/>
          <w:numId w:val="23"/>
        </w:numPr>
        <w:spacing w:after="0" w:line="276" w:lineRule="auto"/>
        <w:ind w:firstLine="360"/>
        <w:contextualSpacing w:val="0"/>
        <w:jc w:val="both"/>
        <w:rPr>
          <w:rFonts w:cstheme="minorHAnsi"/>
          <w:sz w:val="20"/>
          <w:szCs w:val="20"/>
          <w:lang w:val="en-GB"/>
        </w:rPr>
      </w:pPr>
      <w:r w:rsidRPr="007063A8">
        <w:rPr>
          <w:rFonts w:cstheme="minorHAnsi"/>
          <w:sz w:val="20"/>
          <w:szCs w:val="20"/>
        </w:rPr>
        <w:t xml:space="preserve">indicate changes in the productivity of the workforce </w:t>
      </w:r>
      <w:r w:rsidRPr="007063A8">
        <w:rPr>
          <w:rFonts w:cstheme="minorHAnsi"/>
          <w:sz w:val="20"/>
          <w:szCs w:val="20"/>
          <w:lang w:val="en-GB"/>
        </w:rPr>
        <w:t>(</w:t>
      </w:r>
      <w:r w:rsidRPr="007063A8">
        <w:rPr>
          <w:rFonts w:cstheme="minorHAnsi"/>
          <w:i/>
          <w:iCs/>
          <w:sz w:val="20"/>
          <w:szCs w:val="20"/>
          <w:lang w:val="en-GB"/>
        </w:rPr>
        <w:t>Va/D</w:t>
      </w:r>
      <w:r w:rsidRPr="007063A8">
        <w:rPr>
          <w:rFonts w:cstheme="minorHAnsi"/>
          <w:sz w:val="20"/>
          <w:szCs w:val="20"/>
          <w:lang w:val="en-GB"/>
        </w:rPr>
        <w:t>, value added per employee, given by the ratio between distributable value added and average number of employees);</w:t>
      </w:r>
    </w:p>
    <w:p w14:paraId="3C369ED8" w14:textId="77777777" w:rsidR="007549BF" w:rsidRPr="007063A8" w:rsidRDefault="007549BF" w:rsidP="00585570">
      <w:pPr>
        <w:pStyle w:val="ListParagraph"/>
        <w:numPr>
          <w:ilvl w:val="0"/>
          <w:numId w:val="23"/>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measure the company's ability to generate new wealth in relation to the capital employed in it (</w:t>
      </w:r>
      <w:r w:rsidRPr="007063A8">
        <w:rPr>
          <w:rFonts w:cstheme="minorHAnsi"/>
          <w:i/>
          <w:iCs/>
          <w:sz w:val="20"/>
          <w:szCs w:val="20"/>
          <w:lang w:val="en-GB"/>
        </w:rPr>
        <w:t>Va/T</w:t>
      </w:r>
      <w:r w:rsidRPr="007063A8">
        <w:rPr>
          <w:rFonts w:cstheme="minorHAnsi"/>
          <w:sz w:val="20"/>
          <w:szCs w:val="20"/>
          <w:lang w:val="en-GB"/>
        </w:rPr>
        <w:t xml:space="preserve">, return of assets in terms of value added, given by the ratio between distributable value added and total assets); </w:t>
      </w:r>
    </w:p>
    <w:p w14:paraId="16789F6F" w14:textId="77777777" w:rsidR="007549BF" w:rsidRPr="007063A8" w:rsidRDefault="007549BF" w:rsidP="00643445">
      <w:pPr>
        <w:pStyle w:val="ListParagraph"/>
        <w:numPr>
          <w:ilvl w:val="0"/>
          <w:numId w:val="23"/>
        </w:numPr>
        <w:spacing w:after="0" w:line="276" w:lineRule="auto"/>
        <w:ind w:firstLine="360"/>
        <w:contextualSpacing w:val="0"/>
        <w:jc w:val="both"/>
        <w:rPr>
          <w:rFonts w:cstheme="minorHAnsi"/>
          <w:sz w:val="20"/>
          <w:szCs w:val="20"/>
          <w:lang w:val="en-GB"/>
        </w:rPr>
      </w:pPr>
      <w:r w:rsidRPr="007063A8">
        <w:rPr>
          <w:rFonts w:cstheme="minorHAnsi"/>
          <w:sz w:val="20"/>
          <w:szCs w:val="20"/>
          <w:lang w:val="en-GB"/>
        </w:rPr>
        <w:t>capital intensity (</w:t>
      </w:r>
      <w:r w:rsidRPr="007063A8">
        <w:rPr>
          <w:rFonts w:cstheme="minorHAnsi"/>
          <w:i/>
          <w:iCs/>
          <w:sz w:val="20"/>
          <w:szCs w:val="20"/>
          <w:lang w:val="en-GB"/>
        </w:rPr>
        <w:t>T/D</w:t>
      </w:r>
      <w:r w:rsidRPr="007063A8">
        <w:rPr>
          <w:rFonts w:cstheme="minorHAnsi"/>
          <w:sz w:val="20"/>
          <w:szCs w:val="20"/>
          <w:lang w:val="en-GB"/>
        </w:rPr>
        <w:t>, ratio between total assets and average number of employees), capable of highlighting the "labour intensive" or "capital intensive" nature of the company.</w:t>
      </w:r>
    </w:p>
    <w:p w14:paraId="23F4EE84" w14:textId="77777777" w:rsidR="00643445" w:rsidRPr="007063A8" w:rsidRDefault="00643445" w:rsidP="00585570">
      <w:pPr>
        <w:pStyle w:val="ListParagraph"/>
        <w:spacing w:after="0" w:line="276" w:lineRule="auto"/>
        <w:contextualSpacing w:val="0"/>
        <w:jc w:val="both"/>
        <w:rPr>
          <w:rFonts w:cstheme="minorHAnsi"/>
          <w:sz w:val="20"/>
          <w:szCs w:val="20"/>
          <w:lang w:val="en-GB"/>
        </w:rPr>
      </w:pPr>
    </w:p>
    <w:p w14:paraId="2C892C6F" w14:textId="4C744E9B"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Specifically, we selected the financial and the economic ratios in our recent contribution on the prediction of SCs crises (</w:t>
      </w:r>
      <w:r w:rsidR="00BB1CA1" w:rsidRPr="007063A8">
        <w:rPr>
          <w:rFonts w:asciiTheme="minorHAnsi" w:hAnsiTheme="minorHAnsi" w:cstheme="minorHAnsi"/>
          <w:color w:val="000000" w:themeColor="text1"/>
          <w:lang w:eastAsia="it-IT"/>
        </w:rPr>
        <w:t>Poledrini</w:t>
      </w:r>
      <w:r w:rsidR="6DF2379B" w:rsidRPr="007063A8">
        <w:rPr>
          <w:rFonts w:asciiTheme="minorHAnsi" w:hAnsiTheme="minorHAnsi" w:cstheme="minorHAnsi"/>
          <w:color w:val="000000" w:themeColor="text1"/>
          <w:lang w:eastAsia="it-IT"/>
        </w:rPr>
        <w:t xml:space="preserve"> et al.</w:t>
      </w:r>
      <w:r w:rsidR="2DB52E4B" w:rsidRPr="007063A8">
        <w:rPr>
          <w:rFonts w:asciiTheme="minorHAnsi" w:hAnsiTheme="minorHAnsi" w:cstheme="minorHAnsi"/>
          <w:color w:val="000000" w:themeColor="text1"/>
          <w:lang w:eastAsia="it-IT"/>
        </w:rPr>
        <w:t>,</w:t>
      </w:r>
      <w:r w:rsidR="00BB1CA1" w:rsidRPr="007063A8">
        <w:rPr>
          <w:rFonts w:asciiTheme="minorHAnsi" w:hAnsiTheme="minorHAnsi" w:cstheme="minorHAnsi"/>
          <w:color w:val="000000" w:themeColor="text1"/>
          <w:lang w:eastAsia="it-IT"/>
        </w:rPr>
        <w:t xml:space="preserve"> 2022</w:t>
      </w:r>
      <w:r w:rsidRPr="007063A8">
        <w:rPr>
          <w:rFonts w:asciiTheme="minorHAnsi" w:hAnsiTheme="minorHAnsi" w:cstheme="minorHAnsi"/>
          <w:lang w:val="en-GB"/>
        </w:rPr>
        <w:t>). The existing Italian literature on the financial statements analysis considers these ratios as highly significant (Montrone</w:t>
      </w:r>
      <w:r w:rsidR="579E686A" w:rsidRPr="007063A8">
        <w:rPr>
          <w:rFonts w:asciiTheme="minorHAnsi" w:hAnsiTheme="minorHAnsi" w:cstheme="minorHAnsi"/>
          <w:lang w:val="en-GB"/>
        </w:rPr>
        <w:t>,</w:t>
      </w:r>
      <w:r w:rsidRPr="007063A8">
        <w:rPr>
          <w:rFonts w:asciiTheme="minorHAnsi" w:hAnsiTheme="minorHAnsi" w:cstheme="minorHAnsi"/>
          <w:lang w:val="en-GB"/>
        </w:rPr>
        <w:t xml:space="preserve"> 2016; Sostero </w:t>
      </w:r>
      <w:r w:rsidRPr="007063A8">
        <w:rPr>
          <w:rFonts w:asciiTheme="minorHAnsi" w:hAnsiTheme="minorHAnsi" w:cstheme="minorHAnsi"/>
          <w:i/>
          <w:iCs/>
          <w:lang w:val="en-GB"/>
        </w:rPr>
        <w:t>et al.</w:t>
      </w:r>
      <w:r w:rsidRPr="007063A8">
        <w:rPr>
          <w:rFonts w:asciiTheme="minorHAnsi" w:hAnsiTheme="minorHAnsi" w:cstheme="minorHAnsi"/>
          <w:lang w:val="en-GB"/>
        </w:rPr>
        <w:t xml:space="preserve"> 2016).</w:t>
      </w:r>
    </w:p>
    <w:p w14:paraId="25F873BD" w14:textId="269405E9" w:rsidR="007549BF" w:rsidRPr="007063A8" w:rsidRDefault="007549BF" w:rsidP="00585570">
      <w:pPr>
        <w:widowControl/>
        <w:spacing w:line="276" w:lineRule="auto"/>
        <w:ind w:firstLine="360"/>
        <w:jc w:val="both"/>
        <w:rPr>
          <w:rFonts w:asciiTheme="minorHAnsi" w:hAnsiTheme="minorHAnsi" w:cstheme="minorHAnsi"/>
        </w:rPr>
      </w:pPr>
      <w:r w:rsidRPr="007063A8">
        <w:rPr>
          <w:rFonts w:asciiTheme="minorHAnsi" w:hAnsiTheme="minorHAnsi" w:cstheme="minorHAnsi"/>
        </w:rPr>
        <w:t>As regards the social ratios and the reasons for their choice, it should be considered that</w:t>
      </w:r>
      <w:r w:rsidR="00643445" w:rsidRPr="007063A8">
        <w:rPr>
          <w:rFonts w:asciiTheme="minorHAnsi" w:hAnsiTheme="minorHAnsi" w:cstheme="minorHAnsi"/>
        </w:rPr>
        <w:t xml:space="preserve"> </w:t>
      </w:r>
      <w:r w:rsidRPr="007063A8">
        <w:rPr>
          <w:rFonts w:asciiTheme="minorHAnsi" w:hAnsiTheme="minorHAnsi" w:cstheme="minorHAnsi"/>
        </w:rPr>
        <w:t>the value added per employee, in addition to being a valid indicator of changes in the efficiency and productivity of the workforce, i</w:t>
      </w:r>
      <w:r w:rsidR="00643445" w:rsidRPr="007063A8">
        <w:rPr>
          <w:rFonts w:asciiTheme="minorHAnsi" w:hAnsiTheme="minorHAnsi" w:cstheme="minorHAnsi"/>
        </w:rPr>
        <w:t xml:space="preserve">s </w:t>
      </w:r>
      <w:r w:rsidRPr="007063A8">
        <w:rPr>
          <w:rFonts w:asciiTheme="minorHAnsi" w:hAnsiTheme="minorHAnsi" w:cstheme="minorHAnsi"/>
        </w:rPr>
        <w:t xml:space="preserve">also useful in setting up a correct and sustainable policy to increase the remuneration of workers (Burchell </w:t>
      </w:r>
      <w:r w:rsidRPr="007063A8">
        <w:rPr>
          <w:rFonts w:asciiTheme="minorHAnsi" w:hAnsiTheme="minorHAnsi" w:cstheme="minorHAnsi"/>
          <w:i/>
          <w:iCs/>
        </w:rPr>
        <w:t>et al</w:t>
      </w:r>
      <w:r w:rsidRPr="007063A8">
        <w:rPr>
          <w:rFonts w:asciiTheme="minorHAnsi" w:hAnsiTheme="minorHAnsi" w:cstheme="minorHAnsi"/>
        </w:rPr>
        <w:t>.</w:t>
      </w:r>
      <w:r w:rsidR="63755E92" w:rsidRPr="007063A8">
        <w:rPr>
          <w:rFonts w:asciiTheme="minorHAnsi" w:hAnsiTheme="minorHAnsi" w:cstheme="minorHAnsi"/>
        </w:rPr>
        <w:t>,</w:t>
      </w:r>
      <w:r w:rsidRPr="007063A8">
        <w:rPr>
          <w:rFonts w:asciiTheme="minorHAnsi" w:hAnsiTheme="minorHAnsi" w:cstheme="minorHAnsi"/>
        </w:rPr>
        <w:t xml:space="preserve"> 1985; Riahi-Belkaoui</w:t>
      </w:r>
      <w:r w:rsidR="4E8BD65F" w:rsidRPr="007063A8">
        <w:rPr>
          <w:rFonts w:asciiTheme="minorHAnsi" w:hAnsiTheme="minorHAnsi" w:cstheme="minorHAnsi"/>
        </w:rPr>
        <w:t>,</w:t>
      </w:r>
      <w:r w:rsidRPr="007063A8">
        <w:rPr>
          <w:rFonts w:asciiTheme="minorHAnsi" w:hAnsiTheme="minorHAnsi" w:cstheme="minorHAnsi"/>
        </w:rPr>
        <w:t xml:space="preserve"> 1992)</w:t>
      </w:r>
      <w:r w:rsidR="00643445" w:rsidRPr="007063A8">
        <w:rPr>
          <w:rFonts w:asciiTheme="minorHAnsi" w:hAnsiTheme="minorHAnsi" w:cstheme="minorHAnsi"/>
        </w:rPr>
        <w:t>. T</w:t>
      </w:r>
      <w:r w:rsidRPr="007063A8">
        <w:rPr>
          <w:rFonts w:asciiTheme="minorHAnsi" w:hAnsiTheme="minorHAnsi" w:cstheme="minorHAnsi"/>
        </w:rPr>
        <w:t>he return of assets in terms of value added can be considered as a measure of productivity of the overall capital invested in the business (Riahi-Belkaoui</w:t>
      </w:r>
      <w:r w:rsidR="6225A6C6" w:rsidRPr="007063A8">
        <w:rPr>
          <w:rFonts w:asciiTheme="minorHAnsi" w:hAnsiTheme="minorHAnsi" w:cstheme="minorHAnsi"/>
        </w:rPr>
        <w:t>,</w:t>
      </w:r>
      <w:r w:rsidRPr="007063A8">
        <w:rPr>
          <w:rFonts w:asciiTheme="minorHAnsi" w:hAnsiTheme="minorHAnsi" w:cstheme="minorHAnsi"/>
        </w:rPr>
        <w:t xml:space="preserve"> 1992)</w:t>
      </w:r>
      <w:r w:rsidR="00DA3A2F" w:rsidRPr="007063A8">
        <w:rPr>
          <w:rFonts w:asciiTheme="minorHAnsi" w:hAnsiTheme="minorHAnsi" w:cstheme="minorHAnsi"/>
        </w:rPr>
        <w:t>. I</w:t>
      </w:r>
      <w:r w:rsidRPr="007063A8">
        <w:rPr>
          <w:rFonts w:asciiTheme="minorHAnsi" w:hAnsiTheme="minorHAnsi" w:cstheme="minorHAnsi"/>
        </w:rPr>
        <w:t>t has a high social value, as well as economic, as it highlights to what extent the "enterprise system" increases the resources absorbed, highlighting its constructive (or harmful) role in the socio-economic context of reference</w:t>
      </w:r>
      <w:r w:rsidR="00643445" w:rsidRPr="007063A8">
        <w:rPr>
          <w:rFonts w:asciiTheme="minorHAnsi" w:hAnsiTheme="minorHAnsi" w:cstheme="minorHAnsi"/>
        </w:rPr>
        <w:t>. Finally,</w:t>
      </w:r>
      <w:r w:rsidR="00056B9B" w:rsidRPr="007063A8">
        <w:rPr>
          <w:rFonts w:asciiTheme="minorHAnsi" w:hAnsiTheme="minorHAnsi" w:cstheme="minorHAnsi"/>
        </w:rPr>
        <w:t xml:space="preserve"> </w:t>
      </w:r>
      <w:r w:rsidRPr="007063A8">
        <w:rPr>
          <w:rFonts w:asciiTheme="minorHAnsi" w:hAnsiTheme="minorHAnsi" w:cstheme="minorHAnsi"/>
        </w:rPr>
        <w:t>the measure of labo</w:t>
      </w:r>
      <w:r w:rsidR="00943A30" w:rsidRPr="007063A8">
        <w:rPr>
          <w:rFonts w:asciiTheme="minorHAnsi" w:hAnsiTheme="minorHAnsi" w:cstheme="minorHAnsi"/>
        </w:rPr>
        <w:t>u</w:t>
      </w:r>
      <w:r w:rsidRPr="007063A8">
        <w:rPr>
          <w:rFonts w:asciiTheme="minorHAnsi" w:hAnsiTheme="minorHAnsi" w:cstheme="minorHAnsi"/>
        </w:rPr>
        <w:t xml:space="preserve">r productivity is connected to the capital productivity through the ratio of capital intensity, </w:t>
      </w:r>
      <w:r w:rsidRPr="007063A8">
        <w:rPr>
          <w:rFonts w:asciiTheme="minorHAnsi" w:hAnsiTheme="minorHAnsi" w:cstheme="minorHAnsi"/>
        </w:rPr>
        <w:lastRenderedPageBreak/>
        <w:t>useful to highlight the "labo</w:t>
      </w:r>
      <w:r w:rsidR="00943A30" w:rsidRPr="007063A8">
        <w:rPr>
          <w:rFonts w:asciiTheme="minorHAnsi" w:hAnsiTheme="minorHAnsi" w:cstheme="minorHAnsi"/>
        </w:rPr>
        <w:t>u</w:t>
      </w:r>
      <w:r w:rsidRPr="007063A8">
        <w:rPr>
          <w:rFonts w:asciiTheme="minorHAnsi" w:hAnsiTheme="minorHAnsi" w:cstheme="minorHAnsi"/>
        </w:rPr>
        <w:t>r intensive" or "capital intensive" approach of the company (Montrone</w:t>
      </w:r>
      <w:r w:rsidR="70FB4393" w:rsidRPr="007063A8">
        <w:rPr>
          <w:rFonts w:asciiTheme="minorHAnsi" w:hAnsiTheme="minorHAnsi" w:cstheme="minorHAnsi"/>
        </w:rPr>
        <w:t>,</w:t>
      </w:r>
      <w:r w:rsidRPr="007063A8">
        <w:rPr>
          <w:rFonts w:asciiTheme="minorHAnsi" w:hAnsiTheme="minorHAnsi" w:cstheme="minorHAnsi"/>
        </w:rPr>
        <w:t xml:space="preserve"> 2016).</w:t>
      </w:r>
    </w:p>
    <w:p w14:paraId="477CF047" w14:textId="77777777" w:rsidR="007549BF" w:rsidRPr="007063A8" w:rsidRDefault="007549BF" w:rsidP="00585570">
      <w:pPr>
        <w:widowControl/>
        <w:spacing w:line="276" w:lineRule="auto"/>
        <w:ind w:firstLine="360"/>
        <w:jc w:val="both"/>
        <w:rPr>
          <w:rFonts w:asciiTheme="minorHAnsi" w:hAnsiTheme="minorHAnsi" w:cstheme="minorHAnsi"/>
          <w:b/>
        </w:rPr>
      </w:pPr>
    </w:p>
    <w:p w14:paraId="1F1AACBC" w14:textId="77777777" w:rsidR="00321440" w:rsidRPr="007063A8" w:rsidRDefault="00321440" w:rsidP="00585570">
      <w:pPr>
        <w:widowControl/>
        <w:spacing w:line="276" w:lineRule="auto"/>
        <w:ind w:firstLine="360"/>
        <w:jc w:val="both"/>
        <w:rPr>
          <w:rFonts w:asciiTheme="minorHAnsi" w:hAnsiTheme="minorHAnsi" w:cstheme="minorHAnsi"/>
          <w:b/>
        </w:rPr>
      </w:pPr>
    </w:p>
    <w:p w14:paraId="5D617313" w14:textId="2C84B549" w:rsidR="007549BF" w:rsidRPr="005F57AB" w:rsidRDefault="005F57AB" w:rsidP="005F57AB">
      <w:pPr>
        <w:spacing w:after="120" w:line="276" w:lineRule="auto"/>
        <w:jc w:val="both"/>
        <w:rPr>
          <w:rFonts w:asciiTheme="minorHAnsi" w:hAnsiTheme="minorHAnsi" w:cstheme="minorHAnsi"/>
          <w:b/>
          <w:lang w:val="en-GB"/>
        </w:rPr>
      </w:pPr>
      <w:r w:rsidRPr="005F57AB">
        <w:rPr>
          <w:rFonts w:asciiTheme="minorHAnsi" w:hAnsiTheme="minorHAnsi" w:cstheme="minorHAnsi"/>
          <w:b/>
          <w:lang w:val="en-GB"/>
        </w:rPr>
        <w:t>4.</w:t>
      </w:r>
      <w:r w:rsidRPr="005F57AB">
        <w:rPr>
          <w:rFonts w:asciiTheme="minorHAnsi" w:hAnsiTheme="minorHAnsi" w:cstheme="minorHAnsi"/>
          <w:b/>
          <w:lang w:val="en-GB"/>
        </w:rPr>
        <w:tab/>
      </w:r>
      <w:r w:rsidR="007549BF" w:rsidRPr="005F57AB">
        <w:rPr>
          <w:rFonts w:asciiTheme="minorHAnsi" w:hAnsiTheme="minorHAnsi" w:cstheme="minorHAnsi"/>
          <w:b/>
          <w:lang w:val="en-GB"/>
        </w:rPr>
        <w:t>Methodology</w:t>
      </w:r>
    </w:p>
    <w:p w14:paraId="7E888461" w14:textId="797AA92E" w:rsidR="007549BF" w:rsidRPr="007063A8" w:rsidRDefault="007549BF" w:rsidP="00585570">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We carry out a comparative analysis using the same financial, economic and social performance ratios in two groups of companies. The first group includes companies established in the legal form of SC and the second one companies established in legal form of for-profit capital companies, restricting it only to limited liability companies (</w:t>
      </w:r>
      <w:r w:rsidR="007E58BB" w:rsidRPr="007063A8">
        <w:rPr>
          <w:rFonts w:asciiTheme="minorHAnsi" w:hAnsiTheme="minorHAnsi" w:cstheme="minorHAnsi"/>
          <w:lang w:val="en-GB"/>
        </w:rPr>
        <w:t xml:space="preserve">PLCs, in Italian “Società a Responsabilità Limitata – </w:t>
      </w:r>
      <w:r w:rsidRPr="007063A8">
        <w:rPr>
          <w:rFonts w:asciiTheme="minorHAnsi" w:hAnsiTheme="minorHAnsi" w:cstheme="minorHAnsi"/>
          <w:lang w:val="en-GB"/>
        </w:rPr>
        <w:t>SRL</w:t>
      </w:r>
      <w:r w:rsidR="007E58BB" w:rsidRPr="007063A8">
        <w:rPr>
          <w:rFonts w:asciiTheme="minorHAnsi" w:hAnsiTheme="minorHAnsi" w:cstheme="minorHAnsi"/>
          <w:lang w:val="en-GB"/>
        </w:rPr>
        <w:t>”</w:t>
      </w:r>
      <w:r w:rsidRPr="007063A8">
        <w:rPr>
          <w:rFonts w:asciiTheme="minorHAnsi" w:hAnsiTheme="minorHAnsi" w:cstheme="minorHAnsi"/>
          <w:lang w:val="en-GB"/>
        </w:rPr>
        <w:t>) to obtain an adequate benchmark in terms of companies’ complexity and size.</w:t>
      </w:r>
    </w:p>
    <w:p w14:paraId="26AE2588" w14:textId="533BFA9F" w:rsidR="007549BF" w:rsidRPr="007063A8" w:rsidRDefault="007549BF" w:rsidP="00643445">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The analysis was limited to the sectors of economic activity in which the SCs mainly operate</w:t>
      </w:r>
      <w:r w:rsidR="00FD7720" w:rsidRPr="007063A8">
        <w:rPr>
          <w:rFonts w:asciiTheme="minorHAnsi" w:hAnsiTheme="minorHAnsi" w:cstheme="minorHAnsi"/>
          <w:lang w:val="en-GB"/>
        </w:rPr>
        <w:t xml:space="preserve"> (</w:t>
      </w:r>
      <w:r w:rsidR="00FD7720" w:rsidRPr="007063A8">
        <w:rPr>
          <w:rFonts w:asciiTheme="minorHAnsi" w:hAnsiTheme="minorHAnsi" w:cstheme="minorHAnsi"/>
        </w:rPr>
        <w:t xml:space="preserve">Poledrini </w:t>
      </w:r>
      <w:r w:rsidR="0996118F" w:rsidRPr="007063A8">
        <w:rPr>
          <w:rFonts w:asciiTheme="minorHAnsi" w:hAnsiTheme="minorHAnsi" w:cstheme="minorHAnsi"/>
        </w:rPr>
        <w:t>and</w:t>
      </w:r>
      <w:r w:rsidR="00FD7720" w:rsidRPr="007063A8">
        <w:rPr>
          <w:rFonts w:asciiTheme="minorHAnsi" w:hAnsiTheme="minorHAnsi" w:cstheme="minorHAnsi"/>
        </w:rPr>
        <w:t xml:space="preserve"> Tortia</w:t>
      </w:r>
      <w:r w:rsidR="3E556979" w:rsidRPr="007063A8">
        <w:rPr>
          <w:rFonts w:asciiTheme="minorHAnsi" w:hAnsiTheme="minorHAnsi" w:cstheme="minorHAnsi"/>
        </w:rPr>
        <w:t>,</w:t>
      </w:r>
      <w:r w:rsidR="00FD7720" w:rsidRPr="007063A8">
        <w:rPr>
          <w:rFonts w:asciiTheme="minorHAnsi" w:hAnsiTheme="minorHAnsi" w:cstheme="minorHAnsi"/>
        </w:rPr>
        <w:t xml:space="preserve"> 2020)</w:t>
      </w:r>
      <w:r w:rsidRPr="007063A8">
        <w:rPr>
          <w:rFonts w:asciiTheme="minorHAnsi" w:hAnsiTheme="minorHAnsi" w:cstheme="minorHAnsi"/>
          <w:lang w:val="en-GB"/>
        </w:rPr>
        <w:t xml:space="preserve">: ATECO 87 (residential social assistance services) and 88 (non-residential social assistance). </w:t>
      </w:r>
      <w:r w:rsidR="006502A1" w:rsidRPr="007063A8">
        <w:rPr>
          <w:rFonts w:asciiTheme="minorHAnsi" w:hAnsiTheme="minorHAnsi" w:cstheme="minorHAnsi"/>
          <w:lang w:val="en-GB"/>
        </w:rPr>
        <w:t>C</w:t>
      </w:r>
      <w:r w:rsidRPr="007063A8">
        <w:rPr>
          <w:rFonts w:asciiTheme="minorHAnsi" w:hAnsiTheme="minorHAnsi" w:cstheme="minorHAnsi"/>
          <w:lang w:val="en-GB"/>
        </w:rPr>
        <w:t xml:space="preserve">omparing companies operating in the same sectors makes the analysis by benchmark more </w:t>
      </w:r>
      <w:r w:rsidR="006502A1" w:rsidRPr="007063A8">
        <w:rPr>
          <w:rFonts w:asciiTheme="minorHAnsi" w:hAnsiTheme="minorHAnsi" w:cstheme="minorHAnsi"/>
          <w:lang w:val="en-GB"/>
        </w:rPr>
        <w:t>appropriate</w:t>
      </w:r>
      <w:r w:rsidRPr="007063A8">
        <w:rPr>
          <w:rFonts w:asciiTheme="minorHAnsi" w:hAnsiTheme="minorHAnsi" w:cstheme="minorHAnsi"/>
          <w:lang w:val="en-GB"/>
        </w:rPr>
        <w:t>, even if we are dealing with two c</w:t>
      </w:r>
      <w:r w:rsidR="006502A1" w:rsidRPr="007063A8">
        <w:rPr>
          <w:rFonts w:asciiTheme="minorHAnsi" w:hAnsiTheme="minorHAnsi" w:cstheme="minorHAnsi"/>
          <w:lang w:val="en-GB"/>
        </w:rPr>
        <w:t xml:space="preserve">orporate types </w:t>
      </w:r>
      <w:r w:rsidRPr="007063A8">
        <w:rPr>
          <w:rFonts w:asciiTheme="minorHAnsi" w:hAnsiTheme="minorHAnsi" w:cstheme="minorHAnsi"/>
          <w:lang w:val="en-GB"/>
        </w:rPr>
        <w:t>that are not homogeneous in their purposes</w:t>
      </w:r>
      <w:r w:rsidR="006502A1" w:rsidRPr="007063A8">
        <w:rPr>
          <w:rFonts w:asciiTheme="minorHAnsi" w:hAnsiTheme="minorHAnsi" w:cstheme="minorHAnsi"/>
          <w:lang w:val="en-GB"/>
        </w:rPr>
        <w:t xml:space="preserve">. </w:t>
      </w:r>
      <w:r w:rsidRPr="007063A8">
        <w:rPr>
          <w:rFonts w:asciiTheme="minorHAnsi" w:hAnsiTheme="minorHAnsi" w:cstheme="minorHAnsi"/>
          <w:lang w:val="en-GB"/>
        </w:rPr>
        <w:t xml:space="preserve">Due to this </w:t>
      </w:r>
      <w:r w:rsidR="006502A1" w:rsidRPr="007063A8">
        <w:rPr>
          <w:rFonts w:asciiTheme="minorHAnsi" w:hAnsiTheme="minorHAnsi" w:cstheme="minorHAnsi"/>
          <w:lang w:val="en-GB"/>
        </w:rPr>
        <w:t xml:space="preserve">heterogeneity, </w:t>
      </w:r>
      <w:r w:rsidRPr="007063A8">
        <w:rPr>
          <w:rFonts w:asciiTheme="minorHAnsi" w:hAnsiTheme="minorHAnsi" w:cstheme="minorHAnsi"/>
          <w:lang w:val="en-GB"/>
        </w:rPr>
        <w:t>we also carried out the analysis of the social dimension, by means of the value added based ratios</w:t>
      </w:r>
      <w:r w:rsidR="006502A1" w:rsidRPr="007063A8">
        <w:rPr>
          <w:rFonts w:asciiTheme="minorHAnsi" w:hAnsiTheme="minorHAnsi" w:cstheme="minorHAnsi"/>
          <w:lang w:val="en-GB"/>
        </w:rPr>
        <w:t>.</w:t>
      </w:r>
    </w:p>
    <w:p w14:paraId="6FB227DE" w14:textId="77777777" w:rsidR="006502A1" w:rsidRPr="007063A8" w:rsidRDefault="006502A1" w:rsidP="006502A1">
      <w:pPr>
        <w:pStyle w:val="NormalWeb"/>
        <w:spacing w:before="0" w:beforeAutospacing="0" w:after="0" w:afterAutospacing="0" w:line="276" w:lineRule="auto"/>
        <w:ind w:firstLine="360"/>
        <w:jc w:val="both"/>
        <w:rPr>
          <w:rFonts w:asciiTheme="minorHAnsi" w:hAnsiTheme="minorHAnsi" w:cstheme="minorHAnsi"/>
          <w:sz w:val="20"/>
          <w:szCs w:val="20"/>
          <w:lang w:val="en-US"/>
        </w:rPr>
      </w:pPr>
      <w:r w:rsidRPr="007063A8">
        <w:rPr>
          <w:rFonts w:asciiTheme="minorHAnsi" w:hAnsiTheme="minorHAnsi" w:cstheme="minorHAnsi"/>
          <w:spacing w:val="-2"/>
          <w:sz w:val="20"/>
          <w:szCs w:val="20"/>
          <w:lang w:val="en-GB"/>
        </w:rPr>
        <w:t xml:space="preserve">The comparison between the results of the individual years was considered to be of primary interest due the well-known timing of the pandemic, beginning from March 2020 (start of the lock-down in Italy) and going on (albeit with different intensity) for the rest of the year. </w:t>
      </w:r>
      <w:r w:rsidRPr="007063A8">
        <w:rPr>
          <w:rFonts w:asciiTheme="minorHAnsi" w:hAnsiTheme="minorHAnsi" w:cstheme="minorHAnsi"/>
          <w:sz w:val="20"/>
          <w:szCs w:val="20"/>
          <w:lang w:val="en-GB"/>
        </w:rPr>
        <w:t>In other words, there is the possibility of measuring the negative impact of the pandemic on SCs and PLCs, taking as a benchmark their "pre-pandemic" situation (2018-2019)</w:t>
      </w:r>
      <w:r w:rsidRPr="007063A8">
        <w:rPr>
          <w:rFonts w:asciiTheme="minorHAnsi" w:hAnsiTheme="minorHAnsi" w:cstheme="minorHAnsi"/>
          <w:sz w:val="20"/>
          <w:szCs w:val="20"/>
          <w:lang w:val="en-US"/>
        </w:rPr>
        <w:t xml:space="preserve"> to capture pandemic (2020) and initial post-pandemic (2021) conditions.</w:t>
      </w:r>
    </w:p>
    <w:p w14:paraId="5749F8BC" w14:textId="076D8C28" w:rsidR="007549BF" w:rsidRPr="007063A8" w:rsidRDefault="007549BF" w:rsidP="000A2307">
      <w:pPr>
        <w:widowControl/>
        <w:spacing w:line="276" w:lineRule="auto"/>
        <w:ind w:firstLine="360"/>
        <w:jc w:val="both"/>
        <w:rPr>
          <w:rFonts w:asciiTheme="minorHAnsi" w:hAnsiTheme="minorHAnsi" w:cstheme="minorHAnsi"/>
        </w:rPr>
      </w:pPr>
      <w:r w:rsidRPr="007063A8">
        <w:rPr>
          <w:rFonts w:asciiTheme="minorHAnsi" w:hAnsiTheme="minorHAnsi" w:cstheme="minorHAnsi"/>
          <w:lang w:val="en-GB"/>
        </w:rPr>
        <w:t xml:space="preserve">The analysis is not on a sample basis as the extraction from the AIDA database was carried out on the entire population of the Italian SCs and </w:t>
      </w:r>
      <w:r w:rsidR="00AE18EA" w:rsidRPr="007063A8">
        <w:rPr>
          <w:rFonts w:asciiTheme="minorHAnsi" w:hAnsiTheme="minorHAnsi" w:cstheme="minorHAnsi"/>
          <w:lang w:val="en-GB"/>
        </w:rPr>
        <w:t>PLC</w:t>
      </w:r>
      <w:r w:rsidRPr="007063A8">
        <w:rPr>
          <w:rFonts w:asciiTheme="minorHAnsi" w:hAnsiTheme="minorHAnsi" w:cstheme="minorHAnsi"/>
          <w:lang w:val="en-GB"/>
        </w:rPr>
        <w:t>s</w:t>
      </w:r>
      <w:r w:rsidR="006502A1" w:rsidRPr="007063A8">
        <w:rPr>
          <w:rFonts w:asciiTheme="minorHAnsi" w:hAnsiTheme="minorHAnsi" w:cstheme="minorHAnsi"/>
          <w:lang w:val="en-GB"/>
        </w:rPr>
        <w:t xml:space="preserve">. We </w:t>
      </w:r>
      <w:r w:rsidRPr="007063A8">
        <w:rPr>
          <w:rFonts w:asciiTheme="minorHAnsi" w:hAnsiTheme="minorHAnsi" w:cstheme="minorHAnsi"/>
          <w:lang w:val="en-GB"/>
        </w:rPr>
        <w:t>acquir</w:t>
      </w:r>
      <w:r w:rsidR="006502A1" w:rsidRPr="007063A8">
        <w:rPr>
          <w:rFonts w:asciiTheme="minorHAnsi" w:hAnsiTheme="minorHAnsi" w:cstheme="minorHAnsi"/>
          <w:lang w:val="en-GB"/>
        </w:rPr>
        <w:t>ed four years (2018-2021) of financial statement information</w:t>
      </w:r>
      <w:r w:rsidRPr="007063A8">
        <w:rPr>
          <w:rFonts w:asciiTheme="minorHAnsi" w:hAnsiTheme="minorHAnsi" w:cstheme="minorHAnsi"/>
          <w:lang w:val="en-GB"/>
        </w:rPr>
        <w:t xml:space="preserve"> and other significant parameters of companies</w:t>
      </w:r>
      <w:r w:rsidR="006502A1" w:rsidRPr="007063A8">
        <w:rPr>
          <w:rFonts w:asciiTheme="minorHAnsi" w:hAnsiTheme="minorHAnsi" w:cstheme="minorHAnsi"/>
          <w:lang w:val="en-GB"/>
        </w:rPr>
        <w:t>, such as the number of employees. We did limit the data to those organizations of both types</w:t>
      </w:r>
      <w:r w:rsidRPr="007063A8">
        <w:rPr>
          <w:rFonts w:asciiTheme="minorHAnsi" w:hAnsiTheme="minorHAnsi" w:cstheme="minorHAnsi"/>
          <w:lang w:val="en-GB"/>
        </w:rPr>
        <w:t xml:space="preserve"> with more than 5 employees</w:t>
      </w:r>
      <w:r w:rsidR="006502A1" w:rsidRPr="007063A8">
        <w:rPr>
          <w:rFonts w:asciiTheme="minorHAnsi" w:hAnsiTheme="minorHAnsi" w:cstheme="minorHAnsi"/>
          <w:lang w:val="en-GB"/>
        </w:rPr>
        <w:t xml:space="preserve"> </w:t>
      </w:r>
      <w:r w:rsidRPr="007063A8">
        <w:rPr>
          <w:rFonts w:asciiTheme="minorHAnsi" w:hAnsiTheme="minorHAnsi" w:cstheme="minorHAnsi"/>
          <w:lang w:val="en-GB"/>
        </w:rPr>
        <w:t>but l</w:t>
      </w:r>
      <w:r w:rsidR="007E58BB" w:rsidRPr="007063A8">
        <w:rPr>
          <w:rFonts w:asciiTheme="minorHAnsi" w:hAnsiTheme="minorHAnsi" w:cstheme="minorHAnsi"/>
          <w:lang w:val="en-GB"/>
        </w:rPr>
        <w:t>ess than 250</w:t>
      </w:r>
      <w:r w:rsidR="006502A1" w:rsidRPr="007063A8">
        <w:rPr>
          <w:rFonts w:asciiTheme="minorHAnsi" w:hAnsiTheme="minorHAnsi" w:cstheme="minorHAnsi"/>
          <w:lang w:val="en-GB"/>
        </w:rPr>
        <w:t xml:space="preserve"> to enhance comparability and minimize outliers. The exclusion of companies from 0 to 5 employees (defined in Italy as “micro-companies”) and more than 250 is motivated both by the lack of many financial information in the database for the “micro”, and to make the group of companies more homogeneous in size since there are very few big social enterprises.</w:t>
      </w:r>
      <w:r w:rsidR="005F57AB">
        <w:rPr>
          <w:rFonts w:asciiTheme="minorHAnsi" w:hAnsiTheme="minorHAnsi" w:cstheme="minorHAnsi"/>
          <w:lang w:val="en-GB"/>
        </w:rPr>
        <w:t xml:space="preserve"> </w:t>
      </w:r>
      <w:r w:rsidR="0093364A">
        <w:rPr>
          <w:rFonts w:asciiTheme="minorHAnsi" w:hAnsiTheme="minorHAnsi" w:cstheme="minorHAnsi"/>
          <w:lang w:val="en-GB"/>
        </w:rPr>
        <w:t xml:space="preserve">Finally, if the organizations did not file for very year of the analysis, we removed them. </w:t>
      </w:r>
      <w:r w:rsidRPr="007063A8">
        <w:rPr>
          <w:rFonts w:asciiTheme="minorHAnsi" w:hAnsiTheme="minorHAnsi" w:cstheme="minorHAnsi"/>
          <w:lang w:val="en-GB"/>
        </w:rPr>
        <w:t xml:space="preserve">After removing the data regarding </w:t>
      </w:r>
      <w:r w:rsidR="00715A64" w:rsidRPr="007063A8">
        <w:rPr>
          <w:rFonts w:asciiTheme="minorHAnsi" w:hAnsiTheme="minorHAnsi" w:cstheme="minorHAnsi"/>
          <w:lang w:val="en-GB"/>
        </w:rPr>
        <w:t>some</w:t>
      </w:r>
      <w:r w:rsidRPr="007063A8">
        <w:rPr>
          <w:rFonts w:asciiTheme="minorHAnsi" w:hAnsiTheme="minorHAnsi" w:cstheme="minorHAnsi"/>
          <w:lang w:val="en-GB"/>
        </w:rPr>
        <w:t xml:space="preserve"> situations in which the lack of significant financial statements values in the data</w:t>
      </w:r>
      <w:r w:rsidRPr="00F32156">
        <w:rPr>
          <w:rFonts w:asciiTheme="minorHAnsi" w:hAnsiTheme="minorHAnsi" w:cstheme="minorHAnsi"/>
          <w:lang w:val="en-GB"/>
        </w:rPr>
        <w:t>base would have distorted t</w:t>
      </w:r>
      <w:r w:rsidR="00715A64" w:rsidRPr="00F32156">
        <w:rPr>
          <w:rFonts w:asciiTheme="minorHAnsi" w:hAnsiTheme="minorHAnsi" w:cstheme="minorHAnsi"/>
          <w:lang w:val="en-GB"/>
        </w:rPr>
        <w:t>he analysis, we considered 1,438 SCs and 1,00</w:t>
      </w:r>
      <w:r w:rsidR="00C53424" w:rsidRPr="00F32156">
        <w:rPr>
          <w:rFonts w:asciiTheme="minorHAnsi" w:hAnsiTheme="minorHAnsi" w:cstheme="minorHAnsi"/>
          <w:lang w:val="en-GB"/>
        </w:rPr>
        <w:t>7</w:t>
      </w:r>
      <w:r w:rsidRPr="00F32156">
        <w:rPr>
          <w:rFonts w:asciiTheme="minorHAnsi" w:hAnsiTheme="minorHAnsi" w:cstheme="minorHAnsi"/>
          <w:lang w:val="en-GB"/>
        </w:rPr>
        <w:t xml:space="preserve"> </w:t>
      </w:r>
      <w:r w:rsidR="00715A64" w:rsidRPr="00F32156">
        <w:rPr>
          <w:rFonts w:asciiTheme="minorHAnsi" w:hAnsiTheme="minorHAnsi" w:cstheme="minorHAnsi"/>
          <w:lang w:val="en-GB"/>
        </w:rPr>
        <w:t>PLC</w:t>
      </w:r>
      <w:r w:rsidRPr="00F32156">
        <w:rPr>
          <w:rFonts w:asciiTheme="minorHAnsi" w:hAnsiTheme="minorHAnsi" w:cstheme="minorHAnsi"/>
          <w:lang w:val="en-GB"/>
        </w:rPr>
        <w:t>s</w:t>
      </w:r>
      <w:r w:rsidRPr="00F32156">
        <w:rPr>
          <w:rFonts w:asciiTheme="minorHAnsi" w:hAnsiTheme="minorHAnsi" w:cstheme="minorHAnsi"/>
        </w:rPr>
        <w:t xml:space="preserve"> belonging</w:t>
      </w:r>
      <w:r w:rsidRPr="007063A8">
        <w:rPr>
          <w:rFonts w:asciiTheme="minorHAnsi" w:hAnsiTheme="minorHAnsi" w:cstheme="minorHAnsi"/>
        </w:rPr>
        <w:t xml:space="preserve"> to the ATECO sectors 87 </w:t>
      </w:r>
      <w:r w:rsidR="005F57AB">
        <w:rPr>
          <w:rFonts w:asciiTheme="minorHAnsi" w:hAnsiTheme="minorHAnsi" w:cstheme="minorHAnsi"/>
        </w:rPr>
        <w:t>and</w:t>
      </w:r>
      <w:r w:rsidRPr="007063A8">
        <w:rPr>
          <w:rFonts w:asciiTheme="minorHAnsi" w:hAnsiTheme="minorHAnsi" w:cstheme="minorHAnsi"/>
        </w:rPr>
        <w:t xml:space="preserve"> 88</w:t>
      </w:r>
      <w:r w:rsidRPr="007063A8">
        <w:rPr>
          <w:rFonts w:asciiTheme="minorHAnsi" w:hAnsiTheme="minorHAnsi" w:cstheme="minorHAnsi"/>
          <w:lang w:val="en-GB"/>
        </w:rPr>
        <w:t xml:space="preserve">. </w:t>
      </w:r>
    </w:p>
    <w:p w14:paraId="3F9E18A4" w14:textId="117BDEEF" w:rsidR="007549BF" w:rsidRPr="007063A8" w:rsidRDefault="007549BF" w:rsidP="000A2307">
      <w:pPr>
        <w:widowControl/>
        <w:spacing w:line="276" w:lineRule="auto"/>
        <w:ind w:firstLine="360"/>
        <w:jc w:val="both"/>
        <w:rPr>
          <w:rFonts w:asciiTheme="minorHAnsi" w:hAnsiTheme="minorHAnsi" w:cstheme="minorHAnsi"/>
        </w:rPr>
      </w:pPr>
      <w:r w:rsidRPr="007063A8">
        <w:rPr>
          <w:rFonts w:asciiTheme="minorHAnsi" w:hAnsiTheme="minorHAnsi" w:cstheme="minorHAnsi"/>
        </w:rPr>
        <w:t>As regards the diffusion of the two categories of companies throughout the territory, which could have an impact in terms of different performances, an analysis of the territorial distribution was deemed unnecessary as this does not vary significantly in terms of based on the le</w:t>
      </w:r>
      <w:r w:rsidR="00715A64" w:rsidRPr="007063A8">
        <w:rPr>
          <w:rFonts w:asciiTheme="minorHAnsi" w:hAnsiTheme="minorHAnsi" w:cstheme="minorHAnsi"/>
        </w:rPr>
        <w:t>gal typology between SCs and PLC</w:t>
      </w:r>
      <w:r w:rsidRPr="007063A8">
        <w:rPr>
          <w:rFonts w:asciiTheme="minorHAnsi" w:hAnsiTheme="minorHAnsi" w:cstheme="minorHAnsi"/>
        </w:rPr>
        <w:t xml:space="preserve">s (Castelnovo </w:t>
      </w:r>
      <w:r w:rsidR="000444B1" w:rsidRPr="007063A8">
        <w:rPr>
          <w:rFonts w:asciiTheme="minorHAnsi" w:hAnsiTheme="minorHAnsi" w:cstheme="minorHAnsi"/>
          <w:i/>
          <w:iCs/>
        </w:rPr>
        <w:t>et al</w:t>
      </w:r>
      <w:r w:rsidR="419E4D95" w:rsidRPr="007063A8">
        <w:rPr>
          <w:rFonts w:asciiTheme="minorHAnsi" w:hAnsiTheme="minorHAnsi" w:cstheme="minorHAnsi"/>
          <w:i/>
          <w:iCs/>
        </w:rPr>
        <w:t>.,</w:t>
      </w:r>
      <w:r w:rsidR="000444B1" w:rsidRPr="007063A8">
        <w:rPr>
          <w:rFonts w:asciiTheme="minorHAnsi" w:hAnsiTheme="minorHAnsi" w:cstheme="minorHAnsi"/>
          <w:i/>
          <w:iCs/>
        </w:rPr>
        <w:t xml:space="preserve"> </w:t>
      </w:r>
      <w:r w:rsidRPr="007063A8">
        <w:rPr>
          <w:rFonts w:asciiTheme="minorHAnsi" w:hAnsiTheme="minorHAnsi" w:cstheme="minorHAnsi"/>
        </w:rPr>
        <w:t xml:space="preserve">2020; Picciotti </w:t>
      </w:r>
      <w:r w:rsidRPr="007063A8">
        <w:rPr>
          <w:rFonts w:asciiTheme="minorHAnsi" w:hAnsiTheme="minorHAnsi" w:cstheme="minorHAnsi"/>
          <w:i/>
          <w:iCs/>
        </w:rPr>
        <w:t>et al</w:t>
      </w:r>
      <w:r w:rsidRPr="007063A8">
        <w:rPr>
          <w:rFonts w:asciiTheme="minorHAnsi" w:hAnsiTheme="minorHAnsi" w:cstheme="minorHAnsi"/>
        </w:rPr>
        <w:t>.</w:t>
      </w:r>
      <w:r w:rsidR="55776235" w:rsidRPr="007063A8">
        <w:rPr>
          <w:rFonts w:asciiTheme="minorHAnsi" w:hAnsiTheme="minorHAnsi" w:cstheme="minorHAnsi"/>
        </w:rPr>
        <w:t>,</w:t>
      </w:r>
      <w:r w:rsidRPr="007063A8">
        <w:rPr>
          <w:rFonts w:asciiTheme="minorHAnsi" w:hAnsiTheme="minorHAnsi" w:cstheme="minorHAnsi"/>
        </w:rPr>
        <w:t xml:space="preserve"> 2014). In fact, among the SCs there are evident differences in terms of their performance if we consider the different national territorial contexts, but these do not differ much from what is the regional trend followed by the </w:t>
      </w:r>
      <w:r w:rsidR="00715A64" w:rsidRPr="007063A8">
        <w:rPr>
          <w:rFonts w:asciiTheme="minorHAnsi" w:hAnsiTheme="minorHAnsi" w:cstheme="minorHAnsi"/>
        </w:rPr>
        <w:lastRenderedPageBreak/>
        <w:t>PLC</w:t>
      </w:r>
      <w:r w:rsidRPr="007063A8">
        <w:rPr>
          <w:rFonts w:asciiTheme="minorHAnsi" w:hAnsiTheme="minorHAnsi" w:cstheme="minorHAnsi"/>
        </w:rPr>
        <w:t xml:space="preserve">s (Costa </w:t>
      </w:r>
      <w:r w:rsidR="5FAE857F" w:rsidRPr="007063A8">
        <w:rPr>
          <w:rFonts w:asciiTheme="minorHAnsi" w:hAnsiTheme="minorHAnsi" w:cstheme="minorHAnsi"/>
        </w:rPr>
        <w:t>and</w:t>
      </w:r>
      <w:r w:rsidRPr="007063A8">
        <w:rPr>
          <w:rFonts w:asciiTheme="minorHAnsi" w:hAnsiTheme="minorHAnsi" w:cstheme="minorHAnsi"/>
        </w:rPr>
        <w:t xml:space="preserve"> Carini</w:t>
      </w:r>
      <w:r w:rsidR="3636CAB9" w:rsidRPr="007063A8">
        <w:rPr>
          <w:rFonts w:asciiTheme="minorHAnsi" w:hAnsiTheme="minorHAnsi" w:cstheme="minorHAnsi"/>
        </w:rPr>
        <w:t>,</w:t>
      </w:r>
      <w:r w:rsidRPr="007063A8">
        <w:rPr>
          <w:rFonts w:asciiTheme="minorHAnsi" w:hAnsiTheme="minorHAnsi" w:cstheme="minorHAnsi"/>
        </w:rPr>
        <w:t xml:space="preserve"> 2016; </w:t>
      </w:r>
      <w:r w:rsidR="00B50AF4" w:rsidRPr="007063A8">
        <w:rPr>
          <w:rFonts w:asciiTheme="minorHAnsi" w:hAnsiTheme="minorHAnsi" w:cstheme="minorHAnsi"/>
        </w:rPr>
        <w:t xml:space="preserve">Costa et </w:t>
      </w:r>
      <w:r w:rsidR="0DB5B103" w:rsidRPr="007063A8">
        <w:rPr>
          <w:rFonts w:asciiTheme="minorHAnsi" w:hAnsiTheme="minorHAnsi" w:cstheme="minorHAnsi"/>
        </w:rPr>
        <w:t>al.,</w:t>
      </w:r>
      <w:r w:rsidR="00B50AF4" w:rsidRPr="007063A8">
        <w:rPr>
          <w:rFonts w:asciiTheme="minorHAnsi" w:hAnsiTheme="minorHAnsi" w:cstheme="minorHAnsi"/>
        </w:rPr>
        <w:t xml:space="preserve"> 2012; </w:t>
      </w:r>
      <w:r w:rsidRPr="007063A8">
        <w:rPr>
          <w:rFonts w:asciiTheme="minorHAnsi" w:hAnsiTheme="minorHAnsi" w:cstheme="minorHAnsi"/>
          <w:shd w:val="clear" w:color="auto" w:fill="FFFFFF"/>
        </w:rPr>
        <w:t xml:space="preserve">Fusco </w:t>
      </w:r>
      <w:r w:rsidR="17C45A3E" w:rsidRPr="007063A8">
        <w:rPr>
          <w:rFonts w:asciiTheme="minorHAnsi" w:hAnsiTheme="minorHAnsi" w:cstheme="minorHAnsi"/>
          <w:shd w:val="clear" w:color="auto" w:fill="FFFFFF"/>
        </w:rPr>
        <w:t>and</w:t>
      </w:r>
      <w:r w:rsidRPr="007063A8">
        <w:rPr>
          <w:rFonts w:asciiTheme="minorHAnsi" w:hAnsiTheme="minorHAnsi" w:cstheme="minorHAnsi"/>
          <w:shd w:val="clear" w:color="auto" w:fill="FFFFFF"/>
        </w:rPr>
        <w:t xml:space="preserve"> Migliaccio</w:t>
      </w:r>
      <w:r w:rsidR="523CFA76" w:rsidRPr="007063A8">
        <w:rPr>
          <w:rFonts w:asciiTheme="minorHAnsi" w:hAnsiTheme="minorHAnsi" w:cstheme="minorHAnsi"/>
          <w:shd w:val="clear" w:color="auto" w:fill="FFFFFF"/>
        </w:rPr>
        <w:t>,</w:t>
      </w:r>
      <w:r w:rsidRPr="007063A8">
        <w:rPr>
          <w:rFonts w:asciiTheme="minorHAnsi" w:hAnsiTheme="minorHAnsi" w:cstheme="minorHAnsi"/>
          <w:shd w:val="clear" w:color="auto" w:fill="FFFFFF"/>
        </w:rPr>
        <w:t xml:space="preserve"> 2018).</w:t>
      </w:r>
      <w:r w:rsidR="007B5E10" w:rsidRPr="007063A8">
        <w:rPr>
          <w:rFonts w:asciiTheme="minorHAnsi" w:hAnsiTheme="minorHAnsi" w:cstheme="minorHAnsi"/>
        </w:rPr>
        <w:t xml:space="preserve"> </w:t>
      </w:r>
      <w:r w:rsidRPr="007063A8">
        <w:rPr>
          <w:rFonts w:asciiTheme="minorHAnsi" w:hAnsiTheme="minorHAnsi" w:cstheme="minorHAnsi"/>
        </w:rPr>
        <w:t xml:space="preserve">Therefore, the comparison between the two groups of companies, </w:t>
      </w:r>
      <w:r w:rsidR="00715A64" w:rsidRPr="007063A8">
        <w:rPr>
          <w:rFonts w:asciiTheme="minorHAnsi" w:hAnsiTheme="minorHAnsi" w:cstheme="minorHAnsi"/>
        </w:rPr>
        <w:t>included</w:t>
      </w:r>
      <w:r w:rsidRPr="007063A8">
        <w:rPr>
          <w:rFonts w:asciiTheme="minorHAnsi" w:hAnsiTheme="minorHAnsi" w:cstheme="minorHAnsi"/>
        </w:rPr>
        <w:t xml:space="preserve"> </w:t>
      </w:r>
      <w:r w:rsidR="00715A64" w:rsidRPr="007063A8">
        <w:rPr>
          <w:rFonts w:asciiTheme="minorHAnsi" w:hAnsiTheme="minorHAnsi" w:cstheme="minorHAnsi"/>
        </w:rPr>
        <w:t xml:space="preserve">in </w:t>
      </w:r>
      <w:r w:rsidRPr="007063A8">
        <w:rPr>
          <w:rFonts w:asciiTheme="minorHAnsi" w:hAnsiTheme="minorHAnsi" w:cstheme="minorHAnsi"/>
        </w:rPr>
        <w:t>the same ATECO sector</w:t>
      </w:r>
      <w:r w:rsidR="00715A64" w:rsidRPr="007063A8">
        <w:rPr>
          <w:rFonts w:asciiTheme="minorHAnsi" w:hAnsiTheme="minorHAnsi" w:cstheme="minorHAnsi"/>
        </w:rPr>
        <w:t>s</w:t>
      </w:r>
      <w:r w:rsidRPr="007063A8">
        <w:rPr>
          <w:rFonts w:asciiTheme="minorHAnsi" w:hAnsiTheme="minorHAnsi" w:cstheme="minorHAnsi"/>
        </w:rPr>
        <w:t>, the similar dimensions and the territorial distribution, is correct and significant in order to appreciate the financial, economic, and social performances of the two different legal forms.</w:t>
      </w:r>
    </w:p>
    <w:p w14:paraId="1A5A38EC" w14:textId="77777777" w:rsidR="00321440" w:rsidRPr="007063A8" w:rsidRDefault="00321440" w:rsidP="0093364A">
      <w:pPr>
        <w:widowControl/>
        <w:spacing w:line="276" w:lineRule="auto"/>
        <w:jc w:val="both"/>
        <w:rPr>
          <w:rFonts w:asciiTheme="minorHAnsi" w:hAnsiTheme="minorHAnsi" w:cstheme="minorHAnsi"/>
        </w:rPr>
      </w:pPr>
    </w:p>
    <w:p w14:paraId="12467D25" w14:textId="5B0A3EA4" w:rsidR="007549BF" w:rsidRPr="0093364A" w:rsidRDefault="0093364A" w:rsidP="0093364A">
      <w:pPr>
        <w:spacing w:after="120" w:line="276" w:lineRule="auto"/>
        <w:jc w:val="both"/>
        <w:rPr>
          <w:rFonts w:asciiTheme="minorHAnsi" w:hAnsiTheme="minorHAnsi" w:cstheme="minorHAnsi"/>
          <w:b/>
          <w:bCs/>
        </w:rPr>
      </w:pPr>
      <w:r w:rsidRPr="0093364A">
        <w:rPr>
          <w:rFonts w:asciiTheme="minorHAnsi" w:hAnsiTheme="minorHAnsi" w:cstheme="minorHAnsi"/>
          <w:b/>
          <w:bCs/>
        </w:rPr>
        <w:t>5.</w:t>
      </w:r>
      <w:r w:rsidRPr="0093364A">
        <w:rPr>
          <w:rFonts w:asciiTheme="minorHAnsi" w:hAnsiTheme="minorHAnsi" w:cstheme="minorHAnsi"/>
          <w:b/>
          <w:bCs/>
        </w:rPr>
        <w:tab/>
      </w:r>
      <w:r w:rsidR="002400FF">
        <w:rPr>
          <w:rFonts w:asciiTheme="minorHAnsi" w:hAnsiTheme="minorHAnsi" w:cstheme="minorHAnsi"/>
          <w:b/>
          <w:bCs/>
        </w:rPr>
        <w:t xml:space="preserve">Descriptive </w:t>
      </w:r>
      <w:r w:rsidR="007549BF" w:rsidRPr="0093364A">
        <w:rPr>
          <w:rFonts w:asciiTheme="minorHAnsi" w:hAnsiTheme="minorHAnsi" w:cstheme="minorHAnsi"/>
          <w:b/>
          <w:bCs/>
        </w:rPr>
        <w:t>Findings</w:t>
      </w:r>
    </w:p>
    <w:p w14:paraId="353BABE4"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The extraction of the main data relating to size and economic results revealed the average values shown in the following table 1, respectively for </w:t>
      </w:r>
      <w:r w:rsidR="00715A64" w:rsidRPr="007063A8">
        <w:rPr>
          <w:rFonts w:asciiTheme="minorHAnsi" w:hAnsiTheme="minorHAnsi" w:cstheme="minorHAnsi"/>
          <w:lang w:val="en-GB"/>
        </w:rPr>
        <w:t>the</w:t>
      </w:r>
      <w:r w:rsidRPr="007063A8">
        <w:rPr>
          <w:rFonts w:asciiTheme="minorHAnsi" w:hAnsiTheme="minorHAnsi" w:cstheme="minorHAnsi"/>
          <w:lang w:val="en-GB"/>
        </w:rPr>
        <w:t xml:space="preserve"> SCs and </w:t>
      </w:r>
      <w:r w:rsidR="00715A64" w:rsidRPr="007063A8">
        <w:rPr>
          <w:rFonts w:asciiTheme="minorHAnsi" w:hAnsiTheme="minorHAnsi" w:cstheme="minorHAnsi"/>
          <w:lang w:val="en-GB"/>
        </w:rPr>
        <w:t>P</w:t>
      </w:r>
      <w:r w:rsidRPr="007063A8">
        <w:rPr>
          <w:rFonts w:asciiTheme="minorHAnsi" w:hAnsiTheme="minorHAnsi" w:cstheme="minorHAnsi"/>
          <w:lang w:val="en-GB"/>
        </w:rPr>
        <w:t>L</w:t>
      </w:r>
      <w:r w:rsidR="00715A64" w:rsidRPr="007063A8">
        <w:rPr>
          <w:rFonts w:asciiTheme="minorHAnsi" w:hAnsiTheme="minorHAnsi" w:cstheme="minorHAnsi"/>
          <w:lang w:val="en-GB"/>
        </w:rPr>
        <w:t>C</w:t>
      </w:r>
      <w:r w:rsidRPr="007063A8">
        <w:rPr>
          <w:rFonts w:asciiTheme="minorHAnsi" w:hAnsiTheme="minorHAnsi" w:cstheme="minorHAnsi"/>
          <w:lang w:val="en-GB"/>
        </w:rPr>
        <w:t>s.</w:t>
      </w:r>
    </w:p>
    <w:p w14:paraId="056AE761" w14:textId="77777777" w:rsidR="00933C93" w:rsidRPr="007063A8" w:rsidRDefault="00933C93" w:rsidP="000A2307">
      <w:pPr>
        <w:widowControl/>
        <w:spacing w:line="276" w:lineRule="auto"/>
        <w:ind w:firstLine="360"/>
        <w:jc w:val="both"/>
        <w:rPr>
          <w:rFonts w:asciiTheme="minorHAnsi" w:hAnsiTheme="minorHAnsi" w:cstheme="minorHAnsi"/>
          <w:lang w:val="en-GB"/>
        </w:rPr>
      </w:pPr>
    </w:p>
    <w:p w14:paraId="608CCF97"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Table 1 - Average values of dimensional parameters a</w:t>
      </w:r>
      <w:r w:rsidR="00994415" w:rsidRPr="007063A8">
        <w:rPr>
          <w:rFonts w:asciiTheme="minorHAnsi" w:hAnsiTheme="minorHAnsi" w:cstheme="minorHAnsi"/>
          <w:lang w:val="en-GB"/>
        </w:rPr>
        <w:t>nd economic results - years 2018-2021</w:t>
      </w:r>
    </w:p>
    <w:p w14:paraId="1504B5F1" w14:textId="500D8267" w:rsidR="00994415" w:rsidRDefault="00994415" w:rsidP="000A2307">
      <w:pPr>
        <w:widowControl/>
        <w:spacing w:line="276" w:lineRule="auto"/>
        <w:ind w:firstLine="360"/>
        <w:jc w:val="both"/>
        <w:rPr>
          <w:rFonts w:asciiTheme="minorHAnsi" w:hAnsiTheme="minorHAnsi" w:cstheme="minorHAnsi"/>
          <w:i/>
          <w:lang w:val="en-GB"/>
        </w:rPr>
      </w:pPr>
    </w:p>
    <w:p w14:paraId="2D71B451" w14:textId="416E72B0" w:rsidR="00400389" w:rsidRPr="007063A8" w:rsidRDefault="00400389" w:rsidP="000A2307">
      <w:pPr>
        <w:widowControl/>
        <w:spacing w:line="276" w:lineRule="auto"/>
        <w:ind w:firstLine="360"/>
        <w:jc w:val="both"/>
        <w:rPr>
          <w:rFonts w:asciiTheme="minorHAnsi" w:hAnsiTheme="minorHAnsi" w:cstheme="minorHAnsi"/>
          <w:i/>
          <w:lang w:val="en-GB"/>
        </w:rPr>
      </w:pPr>
      <w:r w:rsidRPr="00F65D62">
        <w:rPr>
          <w:noProof/>
          <w:lang w:val="it-IT" w:eastAsia="it-IT"/>
        </w:rPr>
        <w:drawing>
          <wp:inline distT="0" distB="0" distL="0" distR="0" wp14:anchorId="453299F6" wp14:editId="69717B7D">
            <wp:extent cx="5012055" cy="80518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2055" cy="805186"/>
                    </a:xfrm>
                    <a:prstGeom prst="rect">
                      <a:avLst/>
                    </a:prstGeom>
                    <a:noFill/>
                    <a:ln>
                      <a:noFill/>
                    </a:ln>
                  </pic:spPr>
                </pic:pic>
              </a:graphicData>
            </a:graphic>
          </wp:inline>
        </w:drawing>
      </w:r>
    </w:p>
    <w:p w14:paraId="4E8A291F" w14:textId="77777777" w:rsidR="002B7D17" w:rsidRPr="007063A8" w:rsidRDefault="002B7D17" w:rsidP="000A2307">
      <w:pPr>
        <w:widowControl/>
        <w:spacing w:line="276" w:lineRule="auto"/>
        <w:ind w:firstLine="360"/>
        <w:jc w:val="both"/>
        <w:rPr>
          <w:rFonts w:asciiTheme="minorHAnsi" w:hAnsiTheme="minorHAnsi" w:cstheme="minorHAnsi"/>
          <w:lang w:val="en-GB"/>
        </w:rPr>
      </w:pPr>
    </w:p>
    <w:p w14:paraId="53782674" w14:textId="07CF768B" w:rsidR="0009110D"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1</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revenues - years 2018-2021</w:t>
      </w:r>
    </w:p>
    <w:p w14:paraId="4368257A" w14:textId="77777777" w:rsidR="0009110D" w:rsidRPr="007063A8" w:rsidRDefault="0009110D" w:rsidP="000A2307">
      <w:pPr>
        <w:widowControl/>
        <w:spacing w:line="276" w:lineRule="auto"/>
        <w:ind w:firstLine="360"/>
        <w:jc w:val="both"/>
        <w:rPr>
          <w:rFonts w:asciiTheme="minorHAnsi" w:hAnsiTheme="minorHAnsi" w:cstheme="minorHAnsi"/>
          <w:lang w:val="en-GB"/>
        </w:rPr>
      </w:pPr>
    </w:p>
    <w:p w14:paraId="0D72A465" w14:textId="17672E8A" w:rsidR="0009110D" w:rsidRPr="007063A8" w:rsidRDefault="00400389" w:rsidP="000A2307">
      <w:pPr>
        <w:widowControl/>
        <w:spacing w:line="276" w:lineRule="auto"/>
        <w:ind w:firstLine="360"/>
        <w:jc w:val="center"/>
        <w:rPr>
          <w:rFonts w:asciiTheme="minorHAnsi" w:hAnsiTheme="minorHAnsi" w:cstheme="minorHAnsi"/>
          <w:lang w:val="en-GB"/>
        </w:rPr>
      </w:pPr>
      <w:r w:rsidRPr="00F65D62">
        <w:rPr>
          <w:noProof/>
          <w:lang w:val="it-IT" w:eastAsia="it-IT"/>
        </w:rPr>
        <w:drawing>
          <wp:inline distT="0" distB="0" distL="0" distR="0" wp14:anchorId="6C711595" wp14:editId="2A2C20AD">
            <wp:extent cx="3331845" cy="2178517"/>
            <wp:effectExtent l="0" t="0" r="190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7253" cy="2182053"/>
                    </a:xfrm>
                    <a:prstGeom prst="rect">
                      <a:avLst/>
                    </a:prstGeom>
                  </pic:spPr>
                </pic:pic>
              </a:graphicData>
            </a:graphic>
          </wp:inline>
        </w:drawing>
      </w:r>
    </w:p>
    <w:p w14:paraId="27D6E5CB" w14:textId="77777777" w:rsidR="00400389" w:rsidRPr="007063A8" w:rsidRDefault="00400389" w:rsidP="000A2307">
      <w:pPr>
        <w:widowControl/>
        <w:spacing w:line="276" w:lineRule="auto"/>
        <w:ind w:firstLine="360"/>
        <w:jc w:val="both"/>
        <w:rPr>
          <w:rFonts w:asciiTheme="minorHAnsi" w:hAnsiTheme="minorHAnsi" w:cstheme="minorHAnsi"/>
          <w:lang w:val="en-GB"/>
        </w:rPr>
      </w:pPr>
    </w:p>
    <w:p w14:paraId="418392F8" w14:textId="77777777" w:rsidR="00400389" w:rsidRDefault="00400389" w:rsidP="000A2307">
      <w:pPr>
        <w:widowControl/>
        <w:spacing w:line="276" w:lineRule="auto"/>
        <w:ind w:firstLine="360"/>
        <w:jc w:val="both"/>
        <w:rPr>
          <w:rFonts w:asciiTheme="minorHAnsi" w:hAnsiTheme="minorHAnsi" w:cstheme="minorHAnsi"/>
          <w:lang w:val="en-GB"/>
        </w:rPr>
      </w:pPr>
    </w:p>
    <w:p w14:paraId="483BFD49" w14:textId="77777777" w:rsidR="00400389" w:rsidRDefault="00400389" w:rsidP="000A2307">
      <w:pPr>
        <w:widowControl/>
        <w:spacing w:line="276" w:lineRule="auto"/>
        <w:ind w:firstLine="360"/>
        <w:jc w:val="both"/>
        <w:rPr>
          <w:rFonts w:asciiTheme="minorHAnsi" w:hAnsiTheme="minorHAnsi" w:cstheme="minorHAnsi"/>
          <w:lang w:val="en-GB"/>
        </w:rPr>
      </w:pPr>
    </w:p>
    <w:p w14:paraId="453CDBA0" w14:textId="77777777" w:rsidR="00400389" w:rsidRDefault="00400389" w:rsidP="000A2307">
      <w:pPr>
        <w:widowControl/>
        <w:spacing w:line="276" w:lineRule="auto"/>
        <w:ind w:firstLine="360"/>
        <w:jc w:val="both"/>
        <w:rPr>
          <w:rFonts w:asciiTheme="minorHAnsi" w:hAnsiTheme="minorHAnsi" w:cstheme="minorHAnsi"/>
          <w:lang w:val="en-GB"/>
        </w:rPr>
      </w:pPr>
    </w:p>
    <w:p w14:paraId="7BF64E1B" w14:textId="77777777" w:rsidR="00400389" w:rsidRDefault="00400389" w:rsidP="000A2307">
      <w:pPr>
        <w:widowControl/>
        <w:spacing w:line="276" w:lineRule="auto"/>
        <w:ind w:firstLine="360"/>
        <w:jc w:val="both"/>
        <w:rPr>
          <w:rFonts w:asciiTheme="minorHAnsi" w:hAnsiTheme="minorHAnsi" w:cstheme="minorHAnsi"/>
          <w:lang w:val="en-GB"/>
        </w:rPr>
      </w:pPr>
    </w:p>
    <w:p w14:paraId="4B66A866" w14:textId="77777777" w:rsidR="00400389" w:rsidRDefault="00400389" w:rsidP="000A2307">
      <w:pPr>
        <w:widowControl/>
        <w:spacing w:line="276" w:lineRule="auto"/>
        <w:ind w:firstLine="360"/>
        <w:jc w:val="both"/>
        <w:rPr>
          <w:rFonts w:asciiTheme="minorHAnsi" w:hAnsiTheme="minorHAnsi" w:cstheme="minorHAnsi"/>
          <w:lang w:val="en-GB"/>
        </w:rPr>
      </w:pPr>
    </w:p>
    <w:p w14:paraId="2A722E83" w14:textId="77777777" w:rsidR="00400389" w:rsidRDefault="00400389" w:rsidP="000A2307">
      <w:pPr>
        <w:widowControl/>
        <w:spacing w:line="276" w:lineRule="auto"/>
        <w:ind w:firstLine="360"/>
        <w:jc w:val="both"/>
        <w:rPr>
          <w:rFonts w:asciiTheme="minorHAnsi" w:hAnsiTheme="minorHAnsi" w:cstheme="minorHAnsi"/>
          <w:lang w:val="en-GB"/>
        </w:rPr>
      </w:pPr>
    </w:p>
    <w:p w14:paraId="6E6028AF" w14:textId="77777777" w:rsidR="00400389" w:rsidRDefault="00400389" w:rsidP="000A2307">
      <w:pPr>
        <w:widowControl/>
        <w:spacing w:line="276" w:lineRule="auto"/>
        <w:ind w:firstLine="360"/>
        <w:jc w:val="both"/>
        <w:rPr>
          <w:rFonts w:asciiTheme="minorHAnsi" w:hAnsiTheme="minorHAnsi" w:cstheme="minorHAnsi"/>
          <w:lang w:val="en-GB"/>
        </w:rPr>
      </w:pPr>
    </w:p>
    <w:p w14:paraId="090596F0" w14:textId="77777777" w:rsidR="00400389" w:rsidRDefault="00400389" w:rsidP="000A2307">
      <w:pPr>
        <w:widowControl/>
        <w:spacing w:line="276" w:lineRule="auto"/>
        <w:ind w:firstLine="360"/>
        <w:jc w:val="both"/>
        <w:rPr>
          <w:rFonts w:asciiTheme="minorHAnsi" w:hAnsiTheme="minorHAnsi" w:cstheme="minorHAnsi"/>
          <w:lang w:val="en-GB"/>
        </w:rPr>
      </w:pPr>
    </w:p>
    <w:p w14:paraId="586CC4EE" w14:textId="77777777" w:rsidR="00400389" w:rsidRDefault="00400389" w:rsidP="000A2307">
      <w:pPr>
        <w:widowControl/>
        <w:spacing w:line="276" w:lineRule="auto"/>
        <w:ind w:firstLine="360"/>
        <w:jc w:val="both"/>
        <w:rPr>
          <w:rFonts w:asciiTheme="minorHAnsi" w:hAnsiTheme="minorHAnsi" w:cstheme="minorHAnsi"/>
          <w:lang w:val="en-GB"/>
        </w:rPr>
      </w:pPr>
    </w:p>
    <w:p w14:paraId="27497FEB" w14:textId="412ADA96" w:rsidR="0009110D"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lastRenderedPageBreak/>
        <w:t>Figure 2</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total assets - years 2018-2021</w:t>
      </w:r>
    </w:p>
    <w:p w14:paraId="49BD320A" w14:textId="0CFB2650" w:rsidR="0009110D" w:rsidRDefault="0009110D" w:rsidP="000A2307">
      <w:pPr>
        <w:widowControl/>
        <w:spacing w:line="276" w:lineRule="auto"/>
        <w:ind w:firstLine="360"/>
        <w:jc w:val="both"/>
        <w:rPr>
          <w:rFonts w:asciiTheme="minorHAnsi" w:hAnsiTheme="minorHAnsi" w:cstheme="minorHAnsi"/>
          <w:lang w:val="en-GB"/>
        </w:rPr>
      </w:pPr>
    </w:p>
    <w:p w14:paraId="7A35880A" w14:textId="4730B633" w:rsidR="0009110D" w:rsidRPr="007063A8" w:rsidRDefault="00400389" w:rsidP="000A2307">
      <w:pPr>
        <w:widowControl/>
        <w:spacing w:line="276" w:lineRule="auto"/>
        <w:ind w:firstLine="360"/>
        <w:jc w:val="center"/>
        <w:rPr>
          <w:rFonts w:asciiTheme="minorHAnsi" w:hAnsiTheme="minorHAnsi" w:cstheme="minorHAnsi"/>
          <w:lang w:val="en-GB"/>
        </w:rPr>
      </w:pPr>
      <w:r w:rsidRPr="00F65D62">
        <w:rPr>
          <w:noProof/>
          <w:lang w:val="it-IT" w:eastAsia="it-IT"/>
        </w:rPr>
        <w:drawing>
          <wp:inline distT="0" distB="0" distL="0" distR="0" wp14:anchorId="32CA91CD" wp14:editId="2048460F">
            <wp:extent cx="3358425" cy="20828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4067" cy="2098703"/>
                    </a:xfrm>
                    <a:prstGeom prst="rect">
                      <a:avLst/>
                    </a:prstGeom>
                  </pic:spPr>
                </pic:pic>
              </a:graphicData>
            </a:graphic>
          </wp:inline>
        </w:drawing>
      </w:r>
    </w:p>
    <w:p w14:paraId="3CBA532E" w14:textId="77777777" w:rsidR="003B04F6" w:rsidRPr="007063A8" w:rsidRDefault="003B04F6" w:rsidP="000A2307">
      <w:pPr>
        <w:widowControl/>
        <w:spacing w:line="276" w:lineRule="auto"/>
        <w:ind w:firstLine="360"/>
        <w:jc w:val="both"/>
        <w:rPr>
          <w:rFonts w:asciiTheme="minorHAnsi" w:hAnsiTheme="minorHAnsi" w:cstheme="minorHAnsi"/>
          <w:lang w:val="en-GB"/>
        </w:rPr>
      </w:pPr>
    </w:p>
    <w:p w14:paraId="06F75749" w14:textId="38550770" w:rsidR="0009110D"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3</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employees - years 2018-2021</w:t>
      </w:r>
    </w:p>
    <w:p w14:paraId="310B2429" w14:textId="77777777" w:rsidR="00400389" w:rsidRPr="007063A8" w:rsidRDefault="00400389" w:rsidP="000A2307">
      <w:pPr>
        <w:widowControl/>
        <w:spacing w:line="276" w:lineRule="auto"/>
        <w:ind w:firstLine="360"/>
        <w:jc w:val="both"/>
        <w:rPr>
          <w:rFonts w:asciiTheme="minorHAnsi" w:hAnsiTheme="minorHAnsi" w:cstheme="minorHAnsi"/>
          <w:lang w:val="en-GB"/>
        </w:rPr>
      </w:pPr>
    </w:p>
    <w:p w14:paraId="59DC5147" w14:textId="1FA114CA" w:rsidR="0009110D" w:rsidRPr="007063A8" w:rsidRDefault="00400389" w:rsidP="00400389">
      <w:pPr>
        <w:widowControl/>
        <w:spacing w:line="276" w:lineRule="auto"/>
        <w:ind w:firstLine="360"/>
        <w:jc w:val="center"/>
        <w:rPr>
          <w:rFonts w:asciiTheme="minorHAnsi" w:hAnsiTheme="minorHAnsi" w:cstheme="minorHAnsi"/>
          <w:lang w:val="en-GB"/>
        </w:rPr>
      </w:pPr>
      <w:r w:rsidRPr="00F65D62">
        <w:rPr>
          <w:noProof/>
          <w:lang w:val="it-IT" w:eastAsia="it-IT"/>
        </w:rPr>
        <w:drawing>
          <wp:inline distT="0" distB="0" distL="0" distR="0" wp14:anchorId="01A74A5A" wp14:editId="09DBFE52">
            <wp:extent cx="3320415" cy="1995010"/>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55766" cy="2016250"/>
                    </a:xfrm>
                    <a:prstGeom prst="rect">
                      <a:avLst/>
                    </a:prstGeom>
                  </pic:spPr>
                </pic:pic>
              </a:graphicData>
            </a:graphic>
          </wp:inline>
        </w:drawing>
      </w:r>
    </w:p>
    <w:p w14:paraId="14A2336A" w14:textId="77777777" w:rsidR="0009110D" w:rsidRPr="007063A8" w:rsidRDefault="0009110D" w:rsidP="000A2307">
      <w:pPr>
        <w:widowControl/>
        <w:spacing w:line="276" w:lineRule="auto"/>
        <w:ind w:firstLine="360"/>
        <w:jc w:val="both"/>
        <w:rPr>
          <w:rFonts w:asciiTheme="minorHAnsi" w:hAnsiTheme="minorHAnsi" w:cstheme="minorHAnsi"/>
          <w:lang w:val="en-GB"/>
        </w:rPr>
      </w:pPr>
    </w:p>
    <w:p w14:paraId="2D9B2022" w14:textId="7CD9362A" w:rsidR="0009110D"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4</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net income - years 2018-2021</w:t>
      </w:r>
    </w:p>
    <w:p w14:paraId="33FFD528" w14:textId="77777777" w:rsidR="00400389" w:rsidRPr="007063A8" w:rsidRDefault="00400389" w:rsidP="000A2307">
      <w:pPr>
        <w:widowControl/>
        <w:spacing w:line="276" w:lineRule="auto"/>
        <w:ind w:firstLine="360"/>
        <w:jc w:val="both"/>
        <w:rPr>
          <w:rFonts w:asciiTheme="minorHAnsi" w:hAnsiTheme="minorHAnsi" w:cstheme="minorHAnsi"/>
          <w:lang w:val="en-GB"/>
        </w:rPr>
      </w:pPr>
    </w:p>
    <w:p w14:paraId="332C7BCA" w14:textId="3642A814" w:rsidR="0009110D" w:rsidRPr="007063A8" w:rsidRDefault="00400389" w:rsidP="00400389">
      <w:pPr>
        <w:widowControl/>
        <w:spacing w:line="276" w:lineRule="auto"/>
        <w:ind w:firstLine="360"/>
        <w:jc w:val="center"/>
        <w:rPr>
          <w:rFonts w:asciiTheme="minorHAnsi" w:hAnsiTheme="minorHAnsi" w:cstheme="minorHAnsi"/>
          <w:lang w:val="en-GB"/>
        </w:rPr>
      </w:pPr>
      <w:r w:rsidRPr="00F65D62">
        <w:rPr>
          <w:noProof/>
          <w:lang w:val="it-IT" w:eastAsia="it-IT"/>
        </w:rPr>
        <w:drawing>
          <wp:inline distT="0" distB="0" distL="0" distR="0" wp14:anchorId="3636C5FB" wp14:editId="6E56094B">
            <wp:extent cx="3257269" cy="1894840"/>
            <wp:effectExtent l="0" t="0" r="63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57269" cy="1894840"/>
                    </a:xfrm>
                    <a:prstGeom prst="rect">
                      <a:avLst/>
                    </a:prstGeom>
                  </pic:spPr>
                </pic:pic>
              </a:graphicData>
            </a:graphic>
          </wp:inline>
        </w:drawing>
      </w:r>
    </w:p>
    <w:p w14:paraId="2712D50A" w14:textId="77777777" w:rsidR="0009110D" w:rsidRPr="007063A8" w:rsidRDefault="0009110D" w:rsidP="000A2307">
      <w:pPr>
        <w:widowControl/>
        <w:spacing w:line="276" w:lineRule="auto"/>
        <w:ind w:firstLine="360"/>
        <w:jc w:val="both"/>
        <w:rPr>
          <w:rFonts w:asciiTheme="minorHAnsi" w:hAnsiTheme="minorHAnsi" w:cstheme="minorHAnsi"/>
          <w:lang w:val="en-GB"/>
        </w:rPr>
      </w:pPr>
    </w:p>
    <w:p w14:paraId="1883B1EF" w14:textId="0BF5CF79" w:rsidR="0009110D"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5</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value added - years 2018-2021</w:t>
      </w:r>
    </w:p>
    <w:p w14:paraId="0F4DD460" w14:textId="49C7D784" w:rsidR="0009110D" w:rsidRDefault="0009110D" w:rsidP="000A2307">
      <w:pPr>
        <w:widowControl/>
        <w:spacing w:line="276" w:lineRule="auto"/>
        <w:ind w:firstLine="360"/>
        <w:jc w:val="both"/>
        <w:rPr>
          <w:rFonts w:asciiTheme="minorHAnsi" w:hAnsiTheme="minorHAnsi" w:cstheme="minorHAnsi"/>
          <w:lang w:val="en-GB"/>
        </w:rPr>
      </w:pPr>
    </w:p>
    <w:p w14:paraId="12A3AF02" w14:textId="7A88027A" w:rsidR="00400389" w:rsidRPr="007063A8" w:rsidRDefault="00400389" w:rsidP="00400389">
      <w:pPr>
        <w:widowControl/>
        <w:spacing w:line="276" w:lineRule="auto"/>
        <w:ind w:firstLine="360"/>
        <w:jc w:val="center"/>
        <w:rPr>
          <w:rFonts w:asciiTheme="minorHAnsi" w:hAnsiTheme="minorHAnsi" w:cstheme="minorHAnsi"/>
          <w:lang w:val="en-GB"/>
        </w:rPr>
      </w:pPr>
      <w:r w:rsidRPr="00F65D62">
        <w:rPr>
          <w:noProof/>
          <w:lang w:val="it-IT" w:eastAsia="it-IT"/>
        </w:rPr>
        <w:drawing>
          <wp:inline distT="0" distB="0" distL="0" distR="0" wp14:anchorId="4ED3F2DD" wp14:editId="3418DB88">
            <wp:extent cx="3334306" cy="200723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4306" cy="2007235"/>
                    </a:xfrm>
                    <a:prstGeom prst="rect">
                      <a:avLst/>
                    </a:prstGeom>
                  </pic:spPr>
                </pic:pic>
              </a:graphicData>
            </a:graphic>
          </wp:inline>
        </w:drawing>
      </w:r>
    </w:p>
    <w:p w14:paraId="202DB0DA" w14:textId="77777777" w:rsidR="0009110D" w:rsidRPr="007063A8" w:rsidRDefault="0009110D" w:rsidP="000A2307">
      <w:pPr>
        <w:widowControl/>
        <w:spacing w:line="276" w:lineRule="auto"/>
        <w:ind w:firstLine="360"/>
        <w:jc w:val="both"/>
        <w:rPr>
          <w:rFonts w:asciiTheme="minorHAnsi" w:hAnsiTheme="minorHAnsi" w:cstheme="minorHAnsi"/>
          <w:lang w:val="en-GB"/>
        </w:rPr>
      </w:pPr>
    </w:p>
    <w:p w14:paraId="13E6526C" w14:textId="0D9DA742" w:rsidR="007549BF" w:rsidRPr="007063A8" w:rsidRDefault="007549BF" w:rsidP="000A2307">
      <w:pPr>
        <w:widowControl/>
        <w:spacing w:line="276" w:lineRule="auto"/>
        <w:ind w:firstLine="360"/>
        <w:jc w:val="both"/>
        <w:rPr>
          <w:rFonts w:asciiTheme="minorHAnsi" w:hAnsiTheme="minorHAnsi" w:cstheme="minorHAnsi"/>
        </w:rPr>
      </w:pPr>
      <w:r w:rsidRPr="007063A8">
        <w:rPr>
          <w:rFonts w:asciiTheme="minorHAnsi" w:hAnsiTheme="minorHAnsi" w:cstheme="minorHAnsi"/>
          <w:lang w:val="en-GB"/>
        </w:rPr>
        <w:t xml:space="preserve">From the </w:t>
      </w:r>
      <w:r w:rsidR="00392E06" w:rsidRPr="007063A8">
        <w:rPr>
          <w:rFonts w:asciiTheme="minorHAnsi" w:hAnsiTheme="minorHAnsi" w:cstheme="minorHAnsi"/>
          <w:lang w:val="en-GB"/>
        </w:rPr>
        <w:t xml:space="preserve">descriptive </w:t>
      </w:r>
      <w:r w:rsidRPr="007063A8">
        <w:rPr>
          <w:rFonts w:asciiTheme="minorHAnsi" w:hAnsiTheme="minorHAnsi" w:cstheme="minorHAnsi"/>
          <w:lang w:val="en-GB"/>
        </w:rPr>
        <w:t>values shown in the table</w:t>
      </w:r>
      <w:r w:rsidR="00676C5E">
        <w:rPr>
          <w:rFonts w:asciiTheme="minorHAnsi" w:hAnsiTheme="minorHAnsi" w:cstheme="minorHAnsi"/>
          <w:lang w:val="en-GB"/>
        </w:rPr>
        <w:t xml:space="preserve">s and figures </w:t>
      </w:r>
      <w:r w:rsidRPr="007063A8">
        <w:rPr>
          <w:rFonts w:asciiTheme="minorHAnsi" w:hAnsiTheme="minorHAnsi" w:cstheme="minorHAnsi"/>
          <w:lang w:val="en-GB"/>
        </w:rPr>
        <w:t>we can observe that the SCs are on average smaller in terms of revenues and, even more</w:t>
      </w:r>
      <w:r w:rsidR="007B5E10" w:rsidRPr="007063A8">
        <w:rPr>
          <w:rFonts w:asciiTheme="minorHAnsi" w:hAnsiTheme="minorHAnsi" w:cstheme="minorHAnsi"/>
          <w:lang w:val="en-GB"/>
        </w:rPr>
        <w:t>so</w:t>
      </w:r>
      <w:r w:rsidRPr="007063A8">
        <w:rPr>
          <w:rFonts w:asciiTheme="minorHAnsi" w:hAnsiTheme="minorHAnsi" w:cstheme="minorHAnsi"/>
          <w:lang w:val="en-GB"/>
        </w:rPr>
        <w:t xml:space="preserve">, </w:t>
      </w:r>
      <w:r w:rsidR="007B5E10" w:rsidRPr="007063A8">
        <w:rPr>
          <w:rFonts w:asciiTheme="minorHAnsi" w:hAnsiTheme="minorHAnsi" w:cstheme="minorHAnsi"/>
          <w:lang w:val="en-GB"/>
        </w:rPr>
        <w:t xml:space="preserve">in terms </w:t>
      </w:r>
      <w:r w:rsidRPr="007063A8">
        <w:rPr>
          <w:rFonts w:asciiTheme="minorHAnsi" w:hAnsiTheme="minorHAnsi" w:cstheme="minorHAnsi"/>
          <w:lang w:val="en-GB"/>
        </w:rPr>
        <w:t>of investments</w:t>
      </w:r>
      <w:r w:rsidR="007B5E10" w:rsidRPr="007063A8">
        <w:rPr>
          <w:rFonts w:asciiTheme="minorHAnsi" w:hAnsiTheme="minorHAnsi" w:cstheme="minorHAnsi"/>
          <w:lang w:val="en-GB"/>
        </w:rPr>
        <w:t>. Further, SCs are</w:t>
      </w:r>
      <w:r w:rsidRPr="007063A8">
        <w:rPr>
          <w:rFonts w:asciiTheme="minorHAnsi" w:hAnsiTheme="minorHAnsi" w:cstheme="minorHAnsi"/>
          <w:lang w:val="en-GB"/>
        </w:rPr>
        <w:t xml:space="preserve"> l</w:t>
      </w:r>
      <w:r w:rsidR="00A147D7" w:rsidRPr="007063A8">
        <w:rPr>
          <w:rFonts w:asciiTheme="minorHAnsi" w:hAnsiTheme="minorHAnsi" w:cstheme="minorHAnsi"/>
          <w:lang w:val="en-GB"/>
        </w:rPr>
        <w:t>ess capital intensive than PLC</w:t>
      </w:r>
      <w:r w:rsidRPr="007063A8">
        <w:rPr>
          <w:rFonts w:asciiTheme="minorHAnsi" w:hAnsiTheme="minorHAnsi" w:cstheme="minorHAnsi"/>
          <w:lang w:val="en-GB"/>
        </w:rPr>
        <w:t xml:space="preserve">s, but they are </w:t>
      </w:r>
      <w:r w:rsidR="00AE18EA" w:rsidRPr="007063A8">
        <w:rPr>
          <w:rFonts w:asciiTheme="minorHAnsi" w:hAnsiTheme="minorHAnsi" w:cstheme="minorHAnsi"/>
          <w:lang w:val="en-GB"/>
        </w:rPr>
        <w:t>clearly more labour intensive</w:t>
      </w:r>
      <w:r w:rsidRPr="007063A8">
        <w:rPr>
          <w:rFonts w:asciiTheme="minorHAnsi" w:hAnsiTheme="minorHAnsi" w:cstheme="minorHAnsi"/>
          <w:lang w:val="en-GB"/>
        </w:rPr>
        <w:t xml:space="preserve">. </w:t>
      </w:r>
      <w:r w:rsidRPr="007063A8">
        <w:rPr>
          <w:rFonts w:asciiTheme="minorHAnsi" w:hAnsiTheme="minorHAnsi" w:cstheme="minorHAnsi"/>
        </w:rPr>
        <w:t>This is proof of the greater social role of SCs</w:t>
      </w:r>
      <w:r w:rsidR="007B5E10" w:rsidRPr="007063A8">
        <w:rPr>
          <w:rFonts w:asciiTheme="minorHAnsi" w:hAnsiTheme="minorHAnsi" w:cstheme="minorHAnsi"/>
        </w:rPr>
        <w:t xml:space="preserve">, </w:t>
      </w:r>
      <w:r w:rsidR="00D63805" w:rsidRPr="007063A8">
        <w:rPr>
          <w:rFonts w:asciiTheme="minorHAnsi" w:hAnsiTheme="minorHAnsi" w:cstheme="minorHAnsi"/>
        </w:rPr>
        <w:t>as</w:t>
      </w:r>
      <w:r w:rsidR="007B5E10" w:rsidRPr="007063A8">
        <w:rPr>
          <w:rFonts w:asciiTheme="minorHAnsi" w:hAnsiTheme="minorHAnsi" w:cstheme="minorHAnsi"/>
        </w:rPr>
        <w:t xml:space="preserve"> we are mindful of </w:t>
      </w:r>
      <w:r w:rsidR="00EB7B8F" w:rsidRPr="007063A8">
        <w:rPr>
          <w:rFonts w:asciiTheme="minorHAnsi" w:hAnsiTheme="minorHAnsi" w:cstheme="minorHAnsi"/>
        </w:rPr>
        <w:t>employment’s</w:t>
      </w:r>
      <w:r w:rsidR="007B5E10" w:rsidRPr="007063A8">
        <w:rPr>
          <w:rFonts w:asciiTheme="minorHAnsi" w:hAnsiTheme="minorHAnsi" w:cstheme="minorHAnsi"/>
        </w:rPr>
        <w:t xml:space="preserve"> </w:t>
      </w:r>
      <w:r w:rsidR="00EB7B8F" w:rsidRPr="007063A8">
        <w:rPr>
          <w:rFonts w:asciiTheme="minorHAnsi" w:hAnsiTheme="minorHAnsi" w:cstheme="minorHAnsi"/>
        </w:rPr>
        <w:t xml:space="preserve">importance to the </w:t>
      </w:r>
      <w:r w:rsidR="007B5E10" w:rsidRPr="007063A8">
        <w:rPr>
          <w:rFonts w:asciiTheme="minorHAnsi" w:hAnsiTheme="minorHAnsi" w:cstheme="minorHAnsi"/>
        </w:rPr>
        <w:t>communit</w:t>
      </w:r>
      <w:r w:rsidR="00EB7B8F" w:rsidRPr="007063A8">
        <w:rPr>
          <w:rFonts w:asciiTheme="minorHAnsi" w:hAnsiTheme="minorHAnsi" w:cstheme="minorHAnsi"/>
        </w:rPr>
        <w:t>y</w:t>
      </w:r>
      <w:r w:rsidR="00D63805" w:rsidRPr="007063A8">
        <w:rPr>
          <w:rFonts w:asciiTheme="minorHAnsi" w:hAnsiTheme="minorHAnsi" w:cstheme="minorHAnsi"/>
        </w:rPr>
        <w:t>.</w:t>
      </w:r>
    </w:p>
    <w:p w14:paraId="05F4A7B2" w14:textId="3B6D4827" w:rsidR="007549BF"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The decline in revenues and economic results already makes the criticality of the year 2020 evident. </w:t>
      </w:r>
      <w:r w:rsidR="00EB7B8F" w:rsidRPr="007063A8">
        <w:rPr>
          <w:rFonts w:asciiTheme="minorHAnsi" w:hAnsiTheme="minorHAnsi" w:cstheme="minorHAnsi"/>
          <w:lang w:val="en-GB"/>
        </w:rPr>
        <w:t xml:space="preserve">We also see an </w:t>
      </w:r>
      <w:r w:rsidRPr="007063A8">
        <w:rPr>
          <w:rFonts w:asciiTheme="minorHAnsi" w:hAnsiTheme="minorHAnsi" w:cstheme="minorHAnsi"/>
          <w:lang w:val="en-GB"/>
        </w:rPr>
        <w:t>increasingly lower measure of net income</w:t>
      </w:r>
      <w:r w:rsidR="00EB7B8F" w:rsidRPr="007063A8">
        <w:rPr>
          <w:rFonts w:asciiTheme="minorHAnsi" w:hAnsiTheme="minorHAnsi" w:cstheme="minorHAnsi"/>
          <w:lang w:val="en-GB"/>
        </w:rPr>
        <w:t xml:space="preserve"> for SCs</w:t>
      </w:r>
      <w:r w:rsidRPr="007063A8">
        <w:rPr>
          <w:rFonts w:asciiTheme="minorHAnsi" w:hAnsiTheme="minorHAnsi" w:cstheme="minorHAnsi"/>
          <w:lang w:val="en-GB"/>
        </w:rPr>
        <w:t xml:space="preserve">, especially in the </w:t>
      </w:r>
      <w:r w:rsidR="00AE18EA" w:rsidRPr="007063A8">
        <w:rPr>
          <w:rFonts w:asciiTheme="minorHAnsi" w:hAnsiTheme="minorHAnsi" w:cstheme="minorHAnsi"/>
          <w:lang w:val="en-GB"/>
        </w:rPr>
        <w:t>pre-pandemic years</w:t>
      </w:r>
      <w:r w:rsidR="00EB7B8F" w:rsidRPr="007063A8">
        <w:rPr>
          <w:rFonts w:asciiTheme="minorHAnsi" w:hAnsiTheme="minorHAnsi" w:cstheme="minorHAnsi"/>
          <w:lang w:val="en-GB"/>
        </w:rPr>
        <w:t>, which indicates a lower priority on this measure</w:t>
      </w:r>
      <w:r w:rsidR="00AE18EA" w:rsidRPr="007063A8">
        <w:rPr>
          <w:rFonts w:asciiTheme="minorHAnsi" w:hAnsiTheme="minorHAnsi" w:cstheme="minorHAnsi"/>
          <w:lang w:val="en-GB"/>
        </w:rPr>
        <w:t xml:space="preserve">. </w:t>
      </w:r>
      <w:r w:rsidR="005B6A5E" w:rsidRPr="007063A8">
        <w:rPr>
          <w:rFonts w:asciiTheme="minorHAnsi" w:hAnsiTheme="minorHAnsi" w:cstheme="minorHAnsi"/>
          <w:lang w:val="en-GB"/>
        </w:rPr>
        <w:t>However, this lower level of net income seems to be more resilient</w:t>
      </w:r>
      <w:r w:rsidR="00EB7B8F" w:rsidRPr="007063A8">
        <w:rPr>
          <w:rFonts w:asciiTheme="minorHAnsi" w:hAnsiTheme="minorHAnsi" w:cstheme="minorHAnsi"/>
          <w:lang w:val="en-GB"/>
        </w:rPr>
        <w:t xml:space="preserve"> since i</w:t>
      </w:r>
      <w:r w:rsidR="005B6A5E" w:rsidRPr="007063A8">
        <w:rPr>
          <w:rFonts w:asciiTheme="minorHAnsi" w:hAnsiTheme="minorHAnsi" w:cstheme="minorHAnsi"/>
          <w:lang w:val="en-GB"/>
        </w:rPr>
        <w:t>n the pandemic year 2020 the gap between SCs and PLCs is sharply reduced</w:t>
      </w:r>
      <w:r w:rsidR="00EB7B8F" w:rsidRPr="007063A8">
        <w:rPr>
          <w:rFonts w:asciiTheme="minorHAnsi" w:hAnsiTheme="minorHAnsi" w:cstheme="minorHAnsi"/>
          <w:lang w:val="en-GB"/>
        </w:rPr>
        <w:t>. Further,</w:t>
      </w:r>
      <w:r w:rsidR="005B6A5E" w:rsidRPr="007063A8">
        <w:rPr>
          <w:rFonts w:asciiTheme="minorHAnsi" w:hAnsiTheme="minorHAnsi" w:cstheme="minorHAnsi"/>
          <w:lang w:val="en-GB"/>
        </w:rPr>
        <w:t xml:space="preserve"> in the post-pandemic year 2021</w:t>
      </w:r>
      <w:r w:rsidR="00EB7B8F" w:rsidRPr="007063A8">
        <w:rPr>
          <w:rFonts w:asciiTheme="minorHAnsi" w:hAnsiTheme="minorHAnsi" w:cstheme="minorHAnsi"/>
          <w:lang w:val="en-GB"/>
        </w:rPr>
        <w:t>,</w:t>
      </w:r>
      <w:r w:rsidR="005B6A5E" w:rsidRPr="007063A8">
        <w:rPr>
          <w:rFonts w:asciiTheme="minorHAnsi" w:hAnsiTheme="minorHAnsi" w:cstheme="minorHAnsi"/>
          <w:lang w:val="en-GB"/>
        </w:rPr>
        <w:t xml:space="preserve"> the recovery is more robust in the SCs which return to the 2018 level.</w:t>
      </w:r>
      <w:r w:rsidR="00AE18EA" w:rsidRPr="007063A8">
        <w:rPr>
          <w:rFonts w:asciiTheme="minorHAnsi" w:hAnsiTheme="minorHAnsi" w:cstheme="minorHAnsi"/>
          <w:lang w:val="en-GB"/>
        </w:rPr>
        <w:t xml:space="preserve"> </w:t>
      </w:r>
      <w:r w:rsidR="005B6A5E" w:rsidRPr="007063A8">
        <w:rPr>
          <w:rFonts w:asciiTheme="minorHAnsi" w:hAnsiTheme="minorHAnsi" w:cstheme="minorHAnsi"/>
          <w:lang w:val="en-GB"/>
        </w:rPr>
        <w:t>T</w:t>
      </w:r>
      <w:r w:rsidRPr="007063A8">
        <w:rPr>
          <w:rFonts w:asciiTheme="minorHAnsi" w:hAnsiTheme="minorHAnsi" w:cstheme="minorHAnsi"/>
          <w:lang w:val="en-GB"/>
        </w:rPr>
        <w:t>he more marked sociality and the positive impact on the socio-economic system emerge from the best average performance in terms of creating added value</w:t>
      </w:r>
      <w:r w:rsidR="005B6A5E" w:rsidRPr="007063A8">
        <w:rPr>
          <w:rFonts w:asciiTheme="minorHAnsi" w:hAnsiTheme="minorHAnsi" w:cstheme="minorHAnsi"/>
          <w:lang w:val="en-GB"/>
        </w:rPr>
        <w:t>,</w:t>
      </w:r>
      <w:r w:rsidRPr="007063A8">
        <w:rPr>
          <w:rFonts w:asciiTheme="minorHAnsi" w:hAnsiTheme="minorHAnsi" w:cstheme="minorHAnsi"/>
          <w:lang w:val="en-GB"/>
        </w:rPr>
        <w:t xml:space="preserve"> </w:t>
      </w:r>
      <w:r w:rsidR="005B6A5E" w:rsidRPr="007063A8">
        <w:rPr>
          <w:rFonts w:asciiTheme="minorHAnsi" w:hAnsiTheme="minorHAnsi" w:cstheme="minorHAnsi"/>
          <w:lang w:val="en-GB"/>
        </w:rPr>
        <w:t>always clearly higher in the period considered and with an average value in 2021 even higher than the pre-pandemic ones</w:t>
      </w:r>
      <w:r w:rsidR="00FB5C7E" w:rsidRPr="007063A8">
        <w:rPr>
          <w:rFonts w:asciiTheme="minorHAnsi" w:hAnsiTheme="minorHAnsi" w:cstheme="minorHAnsi"/>
          <w:lang w:val="en-GB"/>
        </w:rPr>
        <w:t>.</w:t>
      </w:r>
    </w:p>
    <w:p w14:paraId="20E7A6DD" w14:textId="77777777" w:rsidR="00962C11" w:rsidRDefault="00962C11" w:rsidP="00962C11">
      <w:pPr>
        <w:widowControl/>
        <w:spacing w:line="276" w:lineRule="auto"/>
        <w:jc w:val="both"/>
        <w:rPr>
          <w:rFonts w:asciiTheme="minorHAnsi" w:hAnsiTheme="minorHAnsi" w:cstheme="minorHAnsi"/>
          <w:lang w:val="en-GB"/>
        </w:rPr>
      </w:pPr>
    </w:p>
    <w:p w14:paraId="00F32319" w14:textId="5CE54A7F" w:rsidR="00962C11" w:rsidRPr="00962C11" w:rsidRDefault="00962C11" w:rsidP="00962C11">
      <w:pPr>
        <w:widowControl/>
        <w:spacing w:line="276" w:lineRule="auto"/>
        <w:jc w:val="both"/>
        <w:rPr>
          <w:rFonts w:asciiTheme="minorHAnsi" w:hAnsiTheme="minorHAnsi" w:cstheme="minorHAnsi"/>
          <w:i/>
          <w:iCs/>
          <w:lang w:val="en-GB"/>
        </w:rPr>
      </w:pPr>
      <w:r w:rsidRPr="00962C11">
        <w:rPr>
          <w:rFonts w:asciiTheme="minorHAnsi" w:hAnsiTheme="minorHAnsi" w:cstheme="minorHAnsi"/>
          <w:i/>
          <w:iCs/>
          <w:lang w:val="en-GB"/>
        </w:rPr>
        <w:t>5.1</w:t>
      </w:r>
      <w:r w:rsidRPr="00962C11">
        <w:rPr>
          <w:rFonts w:asciiTheme="minorHAnsi" w:hAnsiTheme="minorHAnsi" w:cstheme="minorHAnsi"/>
          <w:i/>
          <w:iCs/>
          <w:lang w:val="en-GB"/>
        </w:rPr>
        <w:tab/>
        <w:t>Financial Ratio Analysis</w:t>
      </w:r>
    </w:p>
    <w:p w14:paraId="15D1FC75" w14:textId="7BA2045E" w:rsidR="00B579B7" w:rsidRPr="007063A8" w:rsidRDefault="00FB5C7E"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The following table </w:t>
      </w:r>
      <w:r w:rsidR="00676C5E">
        <w:rPr>
          <w:rFonts w:asciiTheme="minorHAnsi" w:hAnsiTheme="minorHAnsi" w:cstheme="minorHAnsi"/>
          <w:lang w:val="en-GB"/>
        </w:rPr>
        <w:t>2</w:t>
      </w:r>
      <w:r w:rsidRPr="007063A8">
        <w:rPr>
          <w:rFonts w:asciiTheme="minorHAnsi" w:hAnsiTheme="minorHAnsi" w:cstheme="minorHAnsi"/>
          <w:lang w:val="en-GB"/>
        </w:rPr>
        <w:t xml:space="preserve"> shows the average values found for the first group of ratios, those useful for assessing the financial balance, again comparing the two types of legal forms.</w:t>
      </w:r>
    </w:p>
    <w:p w14:paraId="33CECF19" w14:textId="77777777" w:rsidR="00FB5C7E" w:rsidRPr="007063A8" w:rsidRDefault="00FB5C7E" w:rsidP="000A2307">
      <w:pPr>
        <w:widowControl/>
        <w:spacing w:line="276" w:lineRule="auto"/>
        <w:ind w:firstLine="360"/>
        <w:jc w:val="both"/>
        <w:rPr>
          <w:rFonts w:asciiTheme="minorHAnsi" w:hAnsiTheme="minorHAnsi" w:cstheme="minorHAnsi"/>
          <w:highlight w:val="yellow"/>
          <w:lang w:val="en-GB"/>
        </w:rPr>
      </w:pPr>
    </w:p>
    <w:p w14:paraId="1FEBCD92" w14:textId="59456A89" w:rsidR="007549BF" w:rsidRPr="007063A8" w:rsidRDefault="0009110D"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Table </w:t>
      </w:r>
      <w:r w:rsidR="00FE1D4B">
        <w:rPr>
          <w:rFonts w:asciiTheme="minorHAnsi" w:hAnsiTheme="minorHAnsi" w:cstheme="minorHAnsi"/>
          <w:lang w:val="en-GB"/>
        </w:rPr>
        <w:t>2</w:t>
      </w:r>
      <w:r w:rsidR="007549BF" w:rsidRPr="007063A8">
        <w:rPr>
          <w:rFonts w:asciiTheme="minorHAnsi" w:hAnsiTheme="minorHAnsi" w:cstheme="minorHAnsi"/>
          <w:lang w:val="en-GB"/>
        </w:rPr>
        <w:t xml:space="preserve"> - Average values </w:t>
      </w:r>
      <w:r w:rsidR="00B579B7" w:rsidRPr="007063A8">
        <w:rPr>
          <w:rFonts w:asciiTheme="minorHAnsi" w:hAnsiTheme="minorHAnsi" w:cstheme="minorHAnsi"/>
          <w:lang w:val="en-GB"/>
        </w:rPr>
        <w:t>of financial ratios - years 2018-2021</w:t>
      </w:r>
      <w:r w:rsidR="007549BF" w:rsidRPr="007063A8">
        <w:rPr>
          <w:rFonts w:asciiTheme="minorHAnsi" w:hAnsiTheme="minorHAnsi" w:cstheme="minorHAnsi"/>
          <w:lang w:val="en-GB"/>
        </w:rPr>
        <w:t xml:space="preserve"> </w:t>
      </w:r>
    </w:p>
    <w:p w14:paraId="343A2B90" w14:textId="18CF6FDC" w:rsidR="00B579B7" w:rsidRDefault="00B579B7" w:rsidP="000A2307">
      <w:pPr>
        <w:widowControl/>
        <w:spacing w:line="276" w:lineRule="auto"/>
        <w:ind w:firstLine="360"/>
        <w:jc w:val="both"/>
        <w:rPr>
          <w:rFonts w:asciiTheme="minorHAnsi" w:hAnsiTheme="minorHAnsi" w:cstheme="minorHAnsi"/>
          <w:i/>
          <w:lang w:val="en-GB"/>
        </w:rPr>
      </w:pPr>
    </w:p>
    <w:p w14:paraId="69030CEE" w14:textId="3204DB12" w:rsidR="00400389" w:rsidRPr="007063A8" w:rsidRDefault="00400389" w:rsidP="000A2307">
      <w:pPr>
        <w:widowControl/>
        <w:spacing w:line="276" w:lineRule="auto"/>
        <w:ind w:firstLine="360"/>
        <w:jc w:val="both"/>
        <w:rPr>
          <w:rFonts w:asciiTheme="minorHAnsi" w:hAnsiTheme="minorHAnsi" w:cstheme="minorHAnsi"/>
          <w:i/>
          <w:lang w:val="en-GB"/>
        </w:rPr>
      </w:pPr>
      <w:r w:rsidRPr="009A6950">
        <w:rPr>
          <w:noProof/>
          <w:lang w:val="it-IT" w:eastAsia="it-IT"/>
        </w:rPr>
        <w:drawing>
          <wp:inline distT="0" distB="0" distL="0" distR="0" wp14:anchorId="7F5508B8" wp14:editId="034B7EC6">
            <wp:extent cx="5012055" cy="1070628"/>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2055" cy="1070628"/>
                    </a:xfrm>
                    <a:prstGeom prst="rect">
                      <a:avLst/>
                    </a:prstGeom>
                    <a:noFill/>
                    <a:ln>
                      <a:noFill/>
                    </a:ln>
                  </pic:spPr>
                </pic:pic>
              </a:graphicData>
            </a:graphic>
          </wp:inline>
        </w:drawing>
      </w:r>
    </w:p>
    <w:p w14:paraId="192B7BAC" w14:textId="77777777" w:rsidR="00B579B7" w:rsidRPr="007063A8" w:rsidRDefault="00B579B7" w:rsidP="000A2307">
      <w:pPr>
        <w:widowControl/>
        <w:spacing w:line="276" w:lineRule="auto"/>
        <w:ind w:firstLine="360"/>
        <w:jc w:val="both"/>
        <w:rPr>
          <w:rFonts w:asciiTheme="minorHAnsi" w:hAnsiTheme="minorHAnsi" w:cstheme="minorHAnsi"/>
          <w:i/>
          <w:lang w:val="en-GB"/>
        </w:rPr>
      </w:pPr>
    </w:p>
    <w:p w14:paraId="718E9812" w14:textId="0BB92D07" w:rsidR="007549BF" w:rsidRPr="00092899" w:rsidRDefault="007549BF" w:rsidP="00962C11">
      <w:pPr>
        <w:widowControl/>
        <w:spacing w:line="276" w:lineRule="auto"/>
        <w:ind w:firstLine="360"/>
        <w:jc w:val="both"/>
        <w:rPr>
          <w:rFonts w:asciiTheme="minorHAnsi" w:hAnsiTheme="minorHAnsi" w:cstheme="minorHAnsi"/>
          <w:lang w:val="en-GB"/>
        </w:rPr>
      </w:pPr>
      <w:r w:rsidRPr="00092899">
        <w:rPr>
          <w:rFonts w:asciiTheme="minorHAnsi" w:hAnsiTheme="minorHAnsi" w:cstheme="minorHAnsi"/>
          <w:lang w:val="en-GB"/>
        </w:rPr>
        <w:t>From the calculation of the average values of the financial ratios, it appears that</w:t>
      </w:r>
      <w:r w:rsidR="00962C11" w:rsidRPr="00092899">
        <w:rPr>
          <w:rFonts w:asciiTheme="minorHAnsi" w:hAnsiTheme="minorHAnsi" w:cstheme="minorHAnsi"/>
          <w:lang w:val="en-GB"/>
        </w:rPr>
        <w:t xml:space="preserve"> </w:t>
      </w:r>
      <w:r w:rsidRPr="00092899">
        <w:rPr>
          <w:rFonts w:asciiTheme="minorHAnsi" w:hAnsiTheme="minorHAnsi" w:cstheme="minorHAnsi"/>
          <w:lang w:val="en-GB"/>
        </w:rPr>
        <w:t xml:space="preserve">the current ratio is positioned at more than satisfactory levels for both categories, but the performance of the SCs in terms of solvency conditions in the short term is </w:t>
      </w:r>
      <w:r w:rsidR="00FB5C7E" w:rsidRPr="00092899">
        <w:rPr>
          <w:rFonts w:asciiTheme="minorHAnsi" w:hAnsiTheme="minorHAnsi" w:cstheme="minorHAnsi"/>
          <w:lang w:val="en-GB"/>
        </w:rPr>
        <w:t xml:space="preserve">through all the years </w:t>
      </w:r>
      <w:r w:rsidRPr="00092899">
        <w:rPr>
          <w:rFonts w:asciiTheme="minorHAnsi" w:hAnsiTheme="minorHAnsi" w:cstheme="minorHAnsi"/>
          <w:lang w:val="en-GB"/>
        </w:rPr>
        <w:t>much better</w:t>
      </w:r>
      <w:r w:rsidR="00962C11" w:rsidRPr="00092899">
        <w:rPr>
          <w:rFonts w:asciiTheme="minorHAnsi" w:hAnsiTheme="minorHAnsi" w:cstheme="minorHAnsi"/>
          <w:lang w:val="en-GB"/>
        </w:rPr>
        <w:t>. T</w:t>
      </w:r>
      <w:r w:rsidRPr="00092899">
        <w:rPr>
          <w:rFonts w:asciiTheme="minorHAnsi" w:hAnsiTheme="minorHAnsi" w:cstheme="minorHAnsi"/>
          <w:lang w:val="en-GB"/>
        </w:rPr>
        <w:t>he warranty ratio also shows the existence of an adequate capital solidity with a significant contribution of equity in the financing of fixed assets in both categories, but highlights particularly favourable values in the SCs, plausibly due to the lower amount of investments in fixed assets</w:t>
      </w:r>
      <w:r w:rsidR="00962C11" w:rsidRPr="00092899">
        <w:rPr>
          <w:rFonts w:asciiTheme="minorHAnsi" w:hAnsiTheme="minorHAnsi" w:cstheme="minorHAnsi"/>
          <w:lang w:val="en-GB"/>
        </w:rPr>
        <w:t xml:space="preserve">. Finally, </w:t>
      </w:r>
      <w:r w:rsidRPr="00092899">
        <w:rPr>
          <w:rFonts w:asciiTheme="minorHAnsi" w:hAnsiTheme="minorHAnsi" w:cstheme="minorHAnsi"/>
          <w:lang w:val="en-GB"/>
        </w:rPr>
        <w:t>the equity multiplier expresses a difficult situation in the correct setting of the financial structure in its composition between equity and debts, which reaches progressively more worrying levels for the SCs, indicating an inadequate capitalization of these comp</w:t>
      </w:r>
      <w:r w:rsidR="00FB5C7E" w:rsidRPr="00092899">
        <w:rPr>
          <w:rFonts w:asciiTheme="minorHAnsi" w:hAnsiTheme="minorHAnsi" w:cstheme="minorHAnsi"/>
          <w:lang w:val="en-GB"/>
        </w:rPr>
        <w:t>anies; however, in the year 2021</w:t>
      </w:r>
      <w:r w:rsidRPr="00092899">
        <w:rPr>
          <w:rFonts w:asciiTheme="minorHAnsi" w:hAnsiTheme="minorHAnsi" w:cstheme="minorHAnsi"/>
          <w:lang w:val="en-GB"/>
        </w:rPr>
        <w:t xml:space="preserve"> there is a clear </w:t>
      </w:r>
      <w:r w:rsidR="00FB5C7E" w:rsidRPr="00092899">
        <w:rPr>
          <w:rFonts w:asciiTheme="minorHAnsi" w:hAnsiTheme="minorHAnsi" w:cstheme="minorHAnsi"/>
          <w:lang w:val="en-GB"/>
        </w:rPr>
        <w:t>improvement</w:t>
      </w:r>
      <w:r w:rsidRPr="00092899">
        <w:rPr>
          <w:rFonts w:asciiTheme="minorHAnsi" w:hAnsiTheme="minorHAnsi" w:cstheme="minorHAnsi"/>
          <w:lang w:val="en-GB"/>
        </w:rPr>
        <w:t xml:space="preserve"> for </w:t>
      </w:r>
      <w:r w:rsidR="00FB5C7E" w:rsidRPr="00092899">
        <w:rPr>
          <w:rFonts w:asciiTheme="minorHAnsi" w:hAnsiTheme="minorHAnsi" w:cstheme="minorHAnsi"/>
          <w:lang w:val="en-GB"/>
        </w:rPr>
        <w:t xml:space="preserve">SCs </w:t>
      </w:r>
      <w:r w:rsidRPr="00092899">
        <w:rPr>
          <w:rFonts w:asciiTheme="minorHAnsi" w:hAnsiTheme="minorHAnsi" w:cstheme="minorHAnsi"/>
          <w:lang w:val="en-GB"/>
        </w:rPr>
        <w:t>b</w:t>
      </w:r>
      <w:r w:rsidR="00FB5C7E" w:rsidRPr="00092899">
        <w:rPr>
          <w:rFonts w:asciiTheme="minorHAnsi" w:hAnsiTheme="minorHAnsi" w:cstheme="minorHAnsi"/>
          <w:lang w:val="en-GB"/>
        </w:rPr>
        <w:t>ut not for PLCs, so much so that the two types of legal forms for the first time in the years considered are positioned almost on the same level</w:t>
      </w:r>
      <w:r w:rsidRPr="00092899">
        <w:rPr>
          <w:rFonts w:asciiTheme="minorHAnsi" w:hAnsiTheme="minorHAnsi" w:cstheme="minorHAnsi"/>
          <w:lang w:val="en-GB"/>
        </w:rPr>
        <w:t>.</w:t>
      </w:r>
    </w:p>
    <w:p w14:paraId="02705F81" w14:textId="77777777" w:rsidR="000444B1" w:rsidRPr="00092899" w:rsidRDefault="000444B1" w:rsidP="008E34A3">
      <w:pPr>
        <w:widowControl/>
        <w:spacing w:line="276" w:lineRule="auto"/>
        <w:jc w:val="both"/>
        <w:rPr>
          <w:rFonts w:asciiTheme="minorHAnsi" w:hAnsiTheme="minorHAnsi" w:cstheme="minorHAnsi"/>
          <w:lang w:val="en-GB"/>
        </w:rPr>
      </w:pPr>
    </w:p>
    <w:p w14:paraId="1A625930" w14:textId="371C4043" w:rsidR="0009110D"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6</w:t>
      </w:r>
      <w:r w:rsidR="0009110D"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09110D" w:rsidRPr="007063A8">
        <w:rPr>
          <w:rFonts w:asciiTheme="minorHAnsi" w:hAnsiTheme="minorHAnsi" w:cstheme="minorHAnsi"/>
          <w:lang w:val="en-GB"/>
        </w:rPr>
        <w:t xml:space="preserve"> and PLCs: current ratio - years 2018-2021</w:t>
      </w:r>
    </w:p>
    <w:p w14:paraId="4A044C6C" w14:textId="77777777" w:rsidR="0009110D" w:rsidRPr="007063A8" w:rsidRDefault="0009110D" w:rsidP="000A2307">
      <w:pPr>
        <w:widowControl/>
        <w:spacing w:line="276" w:lineRule="auto"/>
        <w:ind w:firstLine="360"/>
        <w:jc w:val="both"/>
        <w:rPr>
          <w:rFonts w:asciiTheme="minorHAnsi" w:hAnsiTheme="minorHAnsi" w:cstheme="minorHAnsi"/>
          <w:lang w:val="en-GB"/>
        </w:rPr>
      </w:pPr>
    </w:p>
    <w:p w14:paraId="21F497BD" w14:textId="77777777" w:rsidR="0009110D" w:rsidRPr="007063A8" w:rsidRDefault="009904AB" w:rsidP="000A2307">
      <w:pPr>
        <w:widowControl/>
        <w:spacing w:line="276" w:lineRule="auto"/>
        <w:ind w:firstLine="360"/>
        <w:jc w:val="center"/>
        <w:rPr>
          <w:rFonts w:asciiTheme="minorHAnsi" w:hAnsiTheme="minorHAnsi" w:cstheme="minorHAnsi"/>
          <w:lang w:val="en-GB"/>
        </w:rPr>
      </w:pPr>
      <w:r w:rsidRPr="007063A8">
        <w:rPr>
          <w:rFonts w:asciiTheme="minorHAnsi" w:hAnsiTheme="minorHAnsi" w:cstheme="minorHAnsi"/>
          <w:noProof/>
          <w:bdr w:val="single" w:sz="4" w:space="0" w:color="auto"/>
          <w:lang w:val="it-IT" w:eastAsia="it-IT"/>
        </w:rPr>
        <w:drawing>
          <wp:inline distT="0" distB="0" distL="0" distR="0" wp14:anchorId="747A57B0" wp14:editId="768B6391">
            <wp:extent cx="3170945" cy="1899920"/>
            <wp:effectExtent l="0" t="0" r="0" b="508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6682" cy="1915341"/>
                    </a:xfrm>
                    <a:prstGeom prst="rect">
                      <a:avLst/>
                    </a:prstGeom>
                    <a:noFill/>
                    <a:ln>
                      <a:noFill/>
                    </a:ln>
                  </pic:spPr>
                </pic:pic>
              </a:graphicData>
            </a:graphic>
          </wp:inline>
        </w:drawing>
      </w:r>
    </w:p>
    <w:p w14:paraId="3F6DF298" w14:textId="77777777" w:rsidR="007549BF" w:rsidRPr="007063A8" w:rsidRDefault="007549BF" w:rsidP="000A2307">
      <w:pPr>
        <w:widowControl/>
        <w:spacing w:line="276" w:lineRule="auto"/>
        <w:ind w:firstLine="360"/>
        <w:jc w:val="both"/>
        <w:rPr>
          <w:rFonts w:asciiTheme="minorHAnsi" w:hAnsiTheme="minorHAnsi" w:cstheme="minorHAnsi"/>
          <w:lang w:val="en-GB"/>
        </w:rPr>
      </w:pPr>
    </w:p>
    <w:p w14:paraId="78008F40" w14:textId="0C646829" w:rsidR="009904AB" w:rsidRPr="007063A8" w:rsidRDefault="00FE1D4B" w:rsidP="000A2307">
      <w:pPr>
        <w:widowControl/>
        <w:spacing w:line="276" w:lineRule="auto"/>
        <w:ind w:firstLine="360"/>
        <w:jc w:val="both"/>
        <w:rPr>
          <w:rFonts w:asciiTheme="minorHAnsi" w:hAnsiTheme="minorHAnsi" w:cstheme="minorHAnsi"/>
          <w:spacing w:val="-2"/>
          <w:lang w:val="en-GB"/>
        </w:rPr>
      </w:pPr>
      <w:r>
        <w:rPr>
          <w:rFonts w:asciiTheme="minorHAnsi" w:hAnsiTheme="minorHAnsi" w:cstheme="minorHAnsi"/>
          <w:spacing w:val="-2"/>
          <w:lang w:val="en-GB"/>
        </w:rPr>
        <w:t>Figure 7</w:t>
      </w:r>
      <w:r w:rsidR="009904AB" w:rsidRPr="007063A8">
        <w:rPr>
          <w:rFonts w:asciiTheme="minorHAnsi" w:hAnsiTheme="minorHAnsi" w:cstheme="minorHAnsi"/>
          <w:spacing w:val="-2"/>
          <w:lang w:val="en-GB"/>
        </w:rPr>
        <w:t xml:space="preserve"> - Comparison between SC</w:t>
      </w:r>
      <w:r w:rsidR="00E811F8" w:rsidRPr="007063A8">
        <w:rPr>
          <w:rFonts w:asciiTheme="minorHAnsi" w:hAnsiTheme="minorHAnsi" w:cstheme="minorHAnsi"/>
          <w:spacing w:val="-2"/>
          <w:lang w:val="en-GB"/>
        </w:rPr>
        <w:t>s</w:t>
      </w:r>
      <w:r w:rsidR="009904AB" w:rsidRPr="007063A8">
        <w:rPr>
          <w:rFonts w:asciiTheme="minorHAnsi" w:hAnsiTheme="minorHAnsi" w:cstheme="minorHAnsi"/>
          <w:spacing w:val="-2"/>
          <w:lang w:val="en-GB"/>
        </w:rPr>
        <w:t xml:space="preserve"> and PLCs: warranty ratio - years 2018-2021</w:t>
      </w:r>
    </w:p>
    <w:p w14:paraId="488488E1" w14:textId="77777777" w:rsidR="009904AB" w:rsidRPr="007063A8" w:rsidRDefault="009904AB" w:rsidP="000A2307">
      <w:pPr>
        <w:widowControl/>
        <w:spacing w:line="276" w:lineRule="auto"/>
        <w:ind w:firstLine="360"/>
        <w:jc w:val="both"/>
        <w:rPr>
          <w:rFonts w:asciiTheme="minorHAnsi" w:hAnsiTheme="minorHAnsi" w:cstheme="minorHAnsi"/>
          <w:lang w:val="en-GB"/>
        </w:rPr>
      </w:pPr>
    </w:p>
    <w:p w14:paraId="1F83F8AE" w14:textId="77777777" w:rsidR="009904AB" w:rsidRPr="007063A8" w:rsidRDefault="009904AB" w:rsidP="000A2307">
      <w:pPr>
        <w:widowControl/>
        <w:spacing w:line="276" w:lineRule="auto"/>
        <w:ind w:firstLine="360"/>
        <w:jc w:val="center"/>
        <w:rPr>
          <w:rFonts w:asciiTheme="minorHAnsi" w:hAnsiTheme="minorHAnsi" w:cstheme="minorHAnsi"/>
          <w:lang w:val="en-GB"/>
        </w:rPr>
      </w:pPr>
      <w:r w:rsidRPr="007063A8">
        <w:rPr>
          <w:rFonts w:asciiTheme="minorHAnsi" w:hAnsiTheme="minorHAnsi" w:cstheme="minorHAnsi"/>
          <w:noProof/>
          <w:bdr w:val="single" w:sz="4" w:space="0" w:color="auto"/>
          <w:lang w:val="it-IT" w:eastAsia="it-IT"/>
        </w:rPr>
        <w:drawing>
          <wp:inline distT="0" distB="0" distL="0" distR="0" wp14:anchorId="7E375946" wp14:editId="4E717E62">
            <wp:extent cx="3264212" cy="1955800"/>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0248" cy="1983383"/>
                    </a:xfrm>
                    <a:prstGeom prst="rect">
                      <a:avLst/>
                    </a:prstGeom>
                    <a:noFill/>
                    <a:ln>
                      <a:noFill/>
                    </a:ln>
                  </pic:spPr>
                </pic:pic>
              </a:graphicData>
            </a:graphic>
          </wp:inline>
        </w:drawing>
      </w:r>
    </w:p>
    <w:p w14:paraId="558F7ABB" w14:textId="47A956BC" w:rsidR="00860997" w:rsidRDefault="00860997" w:rsidP="000A2307">
      <w:pPr>
        <w:widowControl/>
        <w:spacing w:line="276" w:lineRule="auto"/>
        <w:ind w:firstLine="360"/>
        <w:jc w:val="both"/>
        <w:rPr>
          <w:rFonts w:asciiTheme="minorHAnsi" w:hAnsiTheme="minorHAnsi" w:cstheme="minorHAnsi"/>
          <w:spacing w:val="-4"/>
          <w:lang w:val="en-GB"/>
        </w:rPr>
      </w:pPr>
    </w:p>
    <w:p w14:paraId="467139F2" w14:textId="77777777" w:rsidR="00092899" w:rsidRPr="007063A8" w:rsidRDefault="00092899" w:rsidP="000A2307">
      <w:pPr>
        <w:widowControl/>
        <w:spacing w:line="276" w:lineRule="auto"/>
        <w:ind w:firstLine="360"/>
        <w:jc w:val="both"/>
        <w:rPr>
          <w:rFonts w:asciiTheme="minorHAnsi" w:hAnsiTheme="minorHAnsi" w:cstheme="minorHAnsi"/>
          <w:spacing w:val="-4"/>
          <w:lang w:val="en-GB"/>
        </w:rPr>
      </w:pPr>
    </w:p>
    <w:p w14:paraId="0173841A" w14:textId="49A7EF53" w:rsidR="009904AB" w:rsidRPr="007063A8" w:rsidRDefault="00FE1D4B" w:rsidP="000A2307">
      <w:pPr>
        <w:widowControl/>
        <w:spacing w:line="276" w:lineRule="auto"/>
        <w:ind w:firstLine="360"/>
        <w:jc w:val="both"/>
        <w:rPr>
          <w:rFonts w:asciiTheme="minorHAnsi" w:hAnsiTheme="minorHAnsi" w:cstheme="minorHAnsi"/>
          <w:spacing w:val="-4"/>
          <w:lang w:val="en-GB"/>
        </w:rPr>
      </w:pPr>
      <w:r>
        <w:rPr>
          <w:rFonts w:asciiTheme="minorHAnsi" w:hAnsiTheme="minorHAnsi" w:cstheme="minorHAnsi"/>
          <w:spacing w:val="-4"/>
          <w:lang w:val="en-GB"/>
        </w:rPr>
        <w:lastRenderedPageBreak/>
        <w:t>Figure 8</w:t>
      </w:r>
      <w:r w:rsidR="009904AB" w:rsidRPr="007063A8">
        <w:rPr>
          <w:rFonts w:asciiTheme="minorHAnsi" w:hAnsiTheme="minorHAnsi" w:cstheme="minorHAnsi"/>
          <w:spacing w:val="-4"/>
          <w:lang w:val="en-GB"/>
        </w:rPr>
        <w:t xml:space="preserve"> - Comparison between SC</w:t>
      </w:r>
      <w:r w:rsidR="00E811F8" w:rsidRPr="007063A8">
        <w:rPr>
          <w:rFonts w:asciiTheme="minorHAnsi" w:hAnsiTheme="minorHAnsi" w:cstheme="minorHAnsi"/>
          <w:spacing w:val="-4"/>
          <w:lang w:val="en-GB"/>
        </w:rPr>
        <w:t>s</w:t>
      </w:r>
      <w:r w:rsidR="003B04F6" w:rsidRPr="007063A8">
        <w:rPr>
          <w:rFonts w:asciiTheme="minorHAnsi" w:hAnsiTheme="minorHAnsi" w:cstheme="minorHAnsi"/>
          <w:spacing w:val="-4"/>
          <w:lang w:val="en-GB"/>
        </w:rPr>
        <w:t xml:space="preserve"> and PLCs: equity multiplier-</w:t>
      </w:r>
      <w:r w:rsidR="009904AB" w:rsidRPr="007063A8">
        <w:rPr>
          <w:rFonts w:asciiTheme="minorHAnsi" w:hAnsiTheme="minorHAnsi" w:cstheme="minorHAnsi"/>
          <w:spacing w:val="-4"/>
          <w:lang w:val="en-GB"/>
        </w:rPr>
        <w:t>years 2018-2021</w:t>
      </w:r>
    </w:p>
    <w:p w14:paraId="479F9025" w14:textId="4792B88B" w:rsidR="009904AB" w:rsidRDefault="009904AB" w:rsidP="000A2307">
      <w:pPr>
        <w:widowControl/>
        <w:spacing w:line="276" w:lineRule="auto"/>
        <w:ind w:firstLine="360"/>
        <w:jc w:val="both"/>
        <w:rPr>
          <w:rFonts w:asciiTheme="minorHAnsi" w:hAnsiTheme="minorHAnsi" w:cstheme="minorHAnsi"/>
          <w:spacing w:val="-4"/>
          <w:lang w:val="en-GB"/>
        </w:rPr>
      </w:pPr>
    </w:p>
    <w:p w14:paraId="62BE7BB2" w14:textId="297CA4BB" w:rsidR="00092899" w:rsidRPr="007063A8" w:rsidRDefault="00092899" w:rsidP="00092899">
      <w:pPr>
        <w:widowControl/>
        <w:spacing w:line="276" w:lineRule="auto"/>
        <w:ind w:firstLine="360"/>
        <w:jc w:val="center"/>
        <w:rPr>
          <w:rFonts w:asciiTheme="minorHAnsi" w:hAnsiTheme="minorHAnsi" w:cstheme="minorHAnsi"/>
          <w:spacing w:val="-4"/>
          <w:lang w:val="en-GB"/>
        </w:rPr>
      </w:pPr>
      <w:r w:rsidRPr="00313922">
        <w:rPr>
          <w:noProof/>
          <w:lang w:val="it-IT" w:eastAsia="it-IT"/>
        </w:rPr>
        <w:drawing>
          <wp:inline distT="0" distB="0" distL="0" distR="0" wp14:anchorId="2DC85E0B" wp14:editId="420840CD">
            <wp:extent cx="3368040" cy="2016623"/>
            <wp:effectExtent l="0" t="0" r="3810" b="317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1687" cy="2030781"/>
                    </a:xfrm>
                    <a:prstGeom prst="rect">
                      <a:avLst/>
                    </a:prstGeom>
                  </pic:spPr>
                </pic:pic>
              </a:graphicData>
            </a:graphic>
          </wp:inline>
        </w:drawing>
      </w:r>
    </w:p>
    <w:p w14:paraId="230C42EF" w14:textId="77777777" w:rsidR="00FB5C7E" w:rsidRPr="007063A8" w:rsidRDefault="00FB5C7E" w:rsidP="000A2307">
      <w:pPr>
        <w:widowControl/>
        <w:spacing w:line="276" w:lineRule="auto"/>
        <w:ind w:firstLine="360"/>
        <w:jc w:val="center"/>
        <w:rPr>
          <w:rFonts w:asciiTheme="minorHAnsi" w:hAnsiTheme="minorHAnsi" w:cstheme="minorHAnsi"/>
          <w:lang w:val="en-GB"/>
        </w:rPr>
      </w:pPr>
    </w:p>
    <w:p w14:paraId="2870A125" w14:textId="12F3EF1A" w:rsidR="009904AB" w:rsidRPr="00E238CC" w:rsidRDefault="00FB5C7E" w:rsidP="000A2307">
      <w:pPr>
        <w:widowControl/>
        <w:spacing w:line="276" w:lineRule="auto"/>
        <w:ind w:firstLine="360"/>
        <w:jc w:val="both"/>
        <w:rPr>
          <w:rFonts w:asciiTheme="minorHAnsi" w:hAnsiTheme="minorHAnsi" w:cstheme="minorHAnsi"/>
          <w:lang w:val="en-GB"/>
        </w:rPr>
      </w:pPr>
      <w:r w:rsidRPr="00E238CC">
        <w:rPr>
          <w:rFonts w:asciiTheme="minorHAnsi" w:hAnsiTheme="minorHAnsi" w:cstheme="minorHAnsi"/>
          <w:lang w:val="en-GB"/>
        </w:rPr>
        <w:t>Therefore, with the exception of the aforementioned deterioration in terms of equity multiplier, the financial balance unexpectedly shows an improvement in 2020 and 2021 compared to the previous years, which may seem anomalous in consideration of the difficulties caused by the pandemic. However, it is necessary to take into account the emergency measures issued by the Italian government during the pandemic to support businesses, aimed at providing them with the financial resources necessary to overcome the most difficult period</w:t>
      </w:r>
      <w:r w:rsidR="00392E06" w:rsidRPr="00E238CC">
        <w:rPr>
          <w:rFonts w:asciiTheme="minorHAnsi" w:hAnsiTheme="minorHAnsi" w:cstheme="minorHAnsi"/>
          <w:lang w:val="en-GB"/>
        </w:rPr>
        <w:t xml:space="preserve">. However, these measures did not </w:t>
      </w:r>
      <w:r w:rsidRPr="00E238CC">
        <w:rPr>
          <w:rFonts w:asciiTheme="minorHAnsi" w:hAnsiTheme="minorHAnsi" w:cstheme="minorHAnsi"/>
          <w:lang w:val="en-GB"/>
        </w:rPr>
        <w:t>affect the deeper causes of the worsening of economic performance.</w:t>
      </w:r>
      <w:r w:rsidR="009317CA" w:rsidRPr="00E238CC">
        <w:rPr>
          <w:rFonts w:asciiTheme="minorHAnsi" w:hAnsiTheme="minorHAnsi" w:cstheme="minorHAnsi"/>
          <w:lang w:val="en-GB"/>
        </w:rPr>
        <w:t xml:space="preserve"> </w:t>
      </w:r>
      <w:r w:rsidR="00FE51F9" w:rsidRPr="00E238CC">
        <w:rPr>
          <w:rFonts w:asciiTheme="minorHAnsi" w:hAnsiTheme="minorHAnsi" w:cstheme="minorHAnsi"/>
          <w:lang w:val="en-GB"/>
        </w:rPr>
        <w:t xml:space="preserve">In fact, observing the data shown in table </w:t>
      </w:r>
      <w:r w:rsidR="00676C5E" w:rsidRPr="00E238CC">
        <w:rPr>
          <w:rFonts w:asciiTheme="minorHAnsi" w:hAnsiTheme="minorHAnsi" w:cstheme="minorHAnsi"/>
          <w:lang w:val="en-GB"/>
        </w:rPr>
        <w:t>3</w:t>
      </w:r>
      <w:r w:rsidR="00FE51F9" w:rsidRPr="00E238CC">
        <w:rPr>
          <w:rFonts w:asciiTheme="minorHAnsi" w:hAnsiTheme="minorHAnsi" w:cstheme="minorHAnsi"/>
          <w:lang w:val="en-GB"/>
        </w:rPr>
        <w:t>, it is clear that 2020 is a difficult year in terms of profitability for both SCs and PLCs.</w:t>
      </w:r>
    </w:p>
    <w:p w14:paraId="76F8C8AF" w14:textId="77777777" w:rsidR="00962C11" w:rsidRPr="00E238CC" w:rsidRDefault="00962C11" w:rsidP="00962C11">
      <w:pPr>
        <w:widowControl/>
        <w:spacing w:line="276" w:lineRule="auto"/>
        <w:jc w:val="both"/>
        <w:rPr>
          <w:rFonts w:asciiTheme="minorHAnsi" w:hAnsiTheme="minorHAnsi" w:cstheme="minorHAnsi"/>
          <w:lang w:val="en-GB"/>
        </w:rPr>
      </w:pPr>
    </w:p>
    <w:p w14:paraId="16CC4D41" w14:textId="3D32F594" w:rsidR="00962C11" w:rsidRPr="00962C11" w:rsidRDefault="00962C11" w:rsidP="00962C11">
      <w:pPr>
        <w:widowControl/>
        <w:spacing w:line="276" w:lineRule="auto"/>
        <w:jc w:val="both"/>
        <w:rPr>
          <w:rFonts w:asciiTheme="minorHAnsi" w:hAnsiTheme="minorHAnsi" w:cstheme="minorHAnsi"/>
          <w:i/>
          <w:iCs/>
          <w:lang w:val="en-GB"/>
        </w:rPr>
      </w:pPr>
      <w:r w:rsidRPr="00962C11">
        <w:rPr>
          <w:rFonts w:asciiTheme="minorHAnsi" w:hAnsiTheme="minorHAnsi" w:cstheme="minorHAnsi"/>
          <w:i/>
          <w:iCs/>
          <w:lang w:val="en-GB"/>
        </w:rPr>
        <w:t>5.2</w:t>
      </w:r>
      <w:r w:rsidRPr="00962C11">
        <w:rPr>
          <w:rFonts w:asciiTheme="minorHAnsi" w:hAnsiTheme="minorHAnsi" w:cstheme="minorHAnsi"/>
          <w:i/>
          <w:iCs/>
          <w:lang w:val="en-GB"/>
        </w:rPr>
        <w:tab/>
        <w:t>Economic Ratio Analysis</w:t>
      </w:r>
    </w:p>
    <w:p w14:paraId="49B71E0C" w14:textId="209C5F15" w:rsidR="00E238CC" w:rsidRPr="007063A8" w:rsidRDefault="00E238CC" w:rsidP="00E238CC">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The following table </w:t>
      </w:r>
      <w:r>
        <w:rPr>
          <w:rFonts w:asciiTheme="minorHAnsi" w:hAnsiTheme="minorHAnsi" w:cstheme="minorHAnsi"/>
          <w:lang w:val="en-GB"/>
        </w:rPr>
        <w:t>3</w:t>
      </w:r>
      <w:r w:rsidRPr="007063A8">
        <w:rPr>
          <w:rFonts w:asciiTheme="minorHAnsi" w:hAnsiTheme="minorHAnsi" w:cstheme="minorHAnsi"/>
          <w:lang w:val="en-GB"/>
        </w:rPr>
        <w:t xml:space="preserve"> shows the average values found for the </w:t>
      </w:r>
      <w:r>
        <w:rPr>
          <w:rFonts w:asciiTheme="minorHAnsi" w:hAnsiTheme="minorHAnsi" w:cstheme="minorHAnsi"/>
          <w:lang w:val="en-GB"/>
        </w:rPr>
        <w:t>second</w:t>
      </w:r>
      <w:r w:rsidRPr="007063A8">
        <w:rPr>
          <w:rFonts w:asciiTheme="minorHAnsi" w:hAnsiTheme="minorHAnsi" w:cstheme="minorHAnsi"/>
          <w:lang w:val="en-GB"/>
        </w:rPr>
        <w:t xml:space="preserve"> group of ratios, those useful for assessing the </w:t>
      </w:r>
      <w:r>
        <w:rPr>
          <w:rFonts w:asciiTheme="minorHAnsi" w:hAnsiTheme="minorHAnsi" w:cstheme="minorHAnsi"/>
          <w:lang w:val="en-GB"/>
        </w:rPr>
        <w:t>economic</w:t>
      </w:r>
      <w:r w:rsidRPr="007063A8">
        <w:rPr>
          <w:rFonts w:asciiTheme="minorHAnsi" w:hAnsiTheme="minorHAnsi" w:cstheme="minorHAnsi"/>
          <w:lang w:val="en-GB"/>
        </w:rPr>
        <w:t xml:space="preserve"> </w:t>
      </w:r>
      <w:r>
        <w:rPr>
          <w:rFonts w:asciiTheme="minorHAnsi" w:hAnsiTheme="minorHAnsi" w:cstheme="minorHAnsi"/>
          <w:lang w:val="en-GB"/>
        </w:rPr>
        <w:t>performance</w:t>
      </w:r>
      <w:r w:rsidRPr="007063A8">
        <w:rPr>
          <w:rFonts w:asciiTheme="minorHAnsi" w:hAnsiTheme="minorHAnsi" w:cstheme="minorHAnsi"/>
          <w:lang w:val="en-GB"/>
        </w:rPr>
        <w:t xml:space="preserve">, </w:t>
      </w:r>
      <w:r>
        <w:rPr>
          <w:rFonts w:asciiTheme="minorHAnsi" w:hAnsiTheme="minorHAnsi" w:cstheme="minorHAnsi"/>
          <w:lang w:val="en-GB"/>
        </w:rPr>
        <w:t xml:space="preserve">once </w:t>
      </w:r>
      <w:r w:rsidRPr="007063A8">
        <w:rPr>
          <w:rFonts w:asciiTheme="minorHAnsi" w:hAnsiTheme="minorHAnsi" w:cstheme="minorHAnsi"/>
          <w:lang w:val="en-GB"/>
        </w:rPr>
        <w:t>again comparing the two types of legal forms.</w:t>
      </w:r>
    </w:p>
    <w:p w14:paraId="03E2C583" w14:textId="77777777" w:rsidR="00FE51F9" w:rsidRPr="007063A8" w:rsidRDefault="00FE51F9" w:rsidP="000A2307">
      <w:pPr>
        <w:widowControl/>
        <w:spacing w:line="276" w:lineRule="auto"/>
        <w:ind w:firstLine="360"/>
        <w:jc w:val="both"/>
        <w:rPr>
          <w:rFonts w:asciiTheme="minorHAnsi" w:hAnsiTheme="minorHAnsi" w:cstheme="minorHAnsi"/>
          <w:lang w:val="en-GB"/>
        </w:rPr>
      </w:pPr>
    </w:p>
    <w:p w14:paraId="2DBFE77E" w14:textId="111B22F1" w:rsidR="007549BF" w:rsidRDefault="00E52596"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Table </w:t>
      </w:r>
      <w:r w:rsidR="00FE1D4B">
        <w:rPr>
          <w:rFonts w:asciiTheme="minorHAnsi" w:hAnsiTheme="minorHAnsi" w:cstheme="minorHAnsi"/>
          <w:lang w:val="en-GB"/>
        </w:rPr>
        <w:t>3</w:t>
      </w:r>
      <w:r w:rsidR="007549BF" w:rsidRPr="007063A8">
        <w:rPr>
          <w:rFonts w:asciiTheme="minorHAnsi" w:hAnsiTheme="minorHAnsi" w:cstheme="minorHAnsi"/>
          <w:lang w:val="en-GB"/>
        </w:rPr>
        <w:t xml:space="preserve"> - Average values</w:t>
      </w:r>
      <w:r w:rsidR="00B579B7" w:rsidRPr="007063A8">
        <w:rPr>
          <w:rFonts w:asciiTheme="minorHAnsi" w:hAnsiTheme="minorHAnsi" w:cstheme="minorHAnsi"/>
          <w:lang w:val="en-GB"/>
        </w:rPr>
        <w:t xml:space="preserve"> of economic ratios - years 2018-2021</w:t>
      </w:r>
      <w:r w:rsidR="007549BF" w:rsidRPr="007063A8">
        <w:rPr>
          <w:rFonts w:asciiTheme="minorHAnsi" w:hAnsiTheme="minorHAnsi" w:cstheme="minorHAnsi"/>
          <w:lang w:val="en-GB"/>
        </w:rPr>
        <w:t xml:space="preserve"> </w:t>
      </w:r>
    </w:p>
    <w:p w14:paraId="59183763" w14:textId="77777777" w:rsidR="00E238CC" w:rsidRPr="007063A8" w:rsidRDefault="00E238CC" w:rsidP="000A2307">
      <w:pPr>
        <w:widowControl/>
        <w:spacing w:line="276" w:lineRule="auto"/>
        <w:ind w:firstLine="360"/>
        <w:jc w:val="both"/>
        <w:rPr>
          <w:rFonts w:asciiTheme="minorHAnsi" w:hAnsiTheme="minorHAnsi" w:cstheme="minorHAnsi"/>
          <w:lang w:val="en-GB"/>
        </w:rPr>
      </w:pPr>
    </w:p>
    <w:p w14:paraId="36208964" w14:textId="34A36AC2" w:rsidR="0009110D" w:rsidRPr="007063A8" w:rsidRDefault="00E238CC" w:rsidP="000A2307">
      <w:pPr>
        <w:widowControl/>
        <w:spacing w:line="276" w:lineRule="auto"/>
        <w:ind w:firstLine="360"/>
        <w:jc w:val="both"/>
        <w:rPr>
          <w:rFonts w:asciiTheme="minorHAnsi" w:hAnsiTheme="minorHAnsi" w:cstheme="minorHAnsi"/>
          <w:lang w:val="en-GB"/>
        </w:rPr>
      </w:pPr>
      <w:r w:rsidRPr="00A414F0">
        <w:rPr>
          <w:noProof/>
          <w:lang w:val="it-IT" w:eastAsia="it-IT"/>
        </w:rPr>
        <w:drawing>
          <wp:inline distT="0" distB="0" distL="0" distR="0" wp14:anchorId="7C4364F2" wp14:editId="6F68FA32">
            <wp:extent cx="5160692" cy="1102360"/>
            <wp:effectExtent l="0" t="0" r="1905" b="254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1980" cy="1102635"/>
                    </a:xfrm>
                    <a:prstGeom prst="rect">
                      <a:avLst/>
                    </a:prstGeom>
                    <a:noFill/>
                    <a:ln>
                      <a:noFill/>
                    </a:ln>
                  </pic:spPr>
                </pic:pic>
              </a:graphicData>
            </a:graphic>
          </wp:inline>
        </w:drawing>
      </w:r>
    </w:p>
    <w:p w14:paraId="5156F5C9" w14:textId="77777777" w:rsidR="00B579B7" w:rsidRPr="007063A8" w:rsidRDefault="00B579B7" w:rsidP="000A2307">
      <w:pPr>
        <w:widowControl/>
        <w:spacing w:line="276" w:lineRule="auto"/>
        <w:ind w:firstLine="360"/>
        <w:jc w:val="both"/>
        <w:rPr>
          <w:rFonts w:asciiTheme="minorHAnsi" w:hAnsiTheme="minorHAnsi" w:cstheme="minorHAnsi"/>
          <w:i/>
          <w:lang w:val="en-GB"/>
        </w:rPr>
      </w:pPr>
    </w:p>
    <w:p w14:paraId="351D65F7" w14:textId="60588D4A" w:rsidR="0026399F" w:rsidRPr="007063A8" w:rsidRDefault="00A147D7"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ROA is clearly lower in the SCs than in the PLCs, </w:t>
      </w:r>
      <w:r w:rsidR="00392E06" w:rsidRPr="007063A8">
        <w:rPr>
          <w:rFonts w:asciiTheme="minorHAnsi" w:hAnsiTheme="minorHAnsi" w:cstheme="minorHAnsi"/>
          <w:lang w:val="en-GB"/>
        </w:rPr>
        <w:t xml:space="preserve">though with less variability, even in the 2020 pandemic year. </w:t>
      </w:r>
      <w:r w:rsidR="0026399F" w:rsidRPr="007063A8">
        <w:rPr>
          <w:rFonts w:asciiTheme="minorHAnsi" w:hAnsiTheme="minorHAnsi" w:cstheme="minorHAnsi"/>
          <w:lang w:val="en-GB"/>
        </w:rPr>
        <w:t xml:space="preserve">Specifically, </w:t>
      </w:r>
      <w:r w:rsidRPr="007063A8">
        <w:rPr>
          <w:rFonts w:asciiTheme="minorHAnsi" w:hAnsiTheme="minorHAnsi" w:cstheme="minorHAnsi"/>
          <w:lang w:val="en-GB"/>
        </w:rPr>
        <w:t>in 2020,</w:t>
      </w:r>
      <w:r w:rsidR="0026399F" w:rsidRPr="007063A8">
        <w:rPr>
          <w:rFonts w:asciiTheme="minorHAnsi" w:hAnsiTheme="minorHAnsi" w:cstheme="minorHAnsi"/>
          <w:lang w:val="en-GB"/>
        </w:rPr>
        <w:t xml:space="preserve"> ROA enters the negative range for both categories, but the </w:t>
      </w:r>
      <w:r w:rsidR="0026399F" w:rsidRPr="007063A8">
        <w:rPr>
          <w:rFonts w:asciiTheme="minorHAnsi" w:hAnsiTheme="minorHAnsi" w:cstheme="minorHAnsi"/>
          <w:lang w:val="en-GB"/>
        </w:rPr>
        <w:lastRenderedPageBreak/>
        <w:t xml:space="preserve">deterioration is more marked for the PLCs. Subsequently, the recovery occurs in 2021 for both, with values returning positive, without however reaching the </w:t>
      </w:r>
      <w:r w:rsidRPr="007063A8">
        <w:rPr>
          <w:rFonts w:asciiTheme="minorHAnsi" w:hAnsiTheme="minorHAnsi" w:cstheme="minorHAnsi"/>
          <w:lang w:val="en-GB"/>
        </w:rPr>
        <w:t xml:space="preserve">same value </w:t>
      </w:r>
      <w:r w:rsidR="0026399F" w:rsidRPr="007063A8">
        <w:rPr>
          <w:rFonts w:asciiTheme="minorHAnsi" w:hAnsiTheme="minorHAnsi" w:cstheme="minorHAnsi"/>
          <w:lang w:val="en-GB"/>
        </w:rPr>
        <w:t>of 2019.</w:t>
      </w:r>
    </w:p>
    <w:p w14:paraId="43DD92D7" w14:textId="2D3D875E" w:rsidR="0026399F" w:rsidRPr="007063A8" w:rsidRDefault="0026399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The performance in terms of ROI is also not brilliant for the SCs, as there is a similar negative gap compared to PLCs; however, the two categories share a significant worsening in the year 2020, sharper in the PLCs, and a significant recovery in 2021, even if they remain slightly below the values of 2019</w:t>
      </w:r>
      <w:r w:rsidR="00392E06" w:rsidRPr="007063A8">
        <w:rPr>
          <w:rFonts w:asciiTheme="minorHAnsi" w:hAnsiTheme="minorHAnsi" w:cstheme="minorHAnsi"/>
          <w:lang w:val="en-GB"/>
        </w:rPr>
        <w:t>.</w:t>
      </w:r>
    </w:p>
    <w:p w14:paraId="26572157" w14:textId="77777777" w:rsidR="0026399F" w:rsidRPr="007063A8" w:rsidRDefault="0026399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Finally, the ratio between interest expense and sales revenues is substantially stable over time and positioned at similar values, demonstrating an adequate sustainability of the financing choices in</w:t>
      </w:r>
      <w:r w:rsidR="00392E39" w:rsidRPr="007063A8">
        <w:rPr>
          <w:rFonts w:asciiTheme="minorHAnsi" w:hAnsiTheme="minorHAnsi" w:cstheme="minorHAnsi"/>
          <w:lang w:val="en-GB"/>
        </w:rPr>
        <w:t xml:space="preserve"> terms of their economic impact, despite the clear prevalence of third-party financing with respect to equity capital shown by the equity multiplier.</w:t>
      </w:r>
    </w:p>
    <w:p w14:paraId="79829B13" w14:textId="77777777" w:rsidR="00860997" w:rsidRPr="007063A8" w:rsidRDefault="00860997" w:rsidP="000A2307">
      <w:pPr>
        <w:widowControl/>
        <w:spacing w:line="276" w:lineRule="auto"/>
        <w:ind w:firstLine="360"/>
        <w:jc w:val="both"/>
        <w:rPr>
          <w:rFonts w:asciiTheme="minorHAnsi" w:hAnsiTheme="minorHAnsi" w:cstheme="minorHAnsi"/>
          <w:i/>
          <w:lang w:val="en-GB"/>
        </w:rPr>
      </w:pPr>
    </w:p>
    <w:p w14:paraId="5736F002" w14:textId="2A01156D" w:rsidR="00E52596"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9</w:t>
      </w:r>
      <w:r w:rsidR="00E5259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E52596" w:rsidRPr="007063A8">
        <w:rPr>
          <w:rFonts w:asciiTheme="minorHAnsi" w:hAnsiTheme="minorHAnsi" w:cstheme="minorHAnsi"/>
          <w:lang w:val="en-GB"/>
        </w:rPr>
        <w:t xml:space="preserve"> and PLCs: ROA - years 2018-2021</w:t>
      </w:r>
    </w:p>
    <w:p w14:paraId="069FB099" w14:textId="77777777" w:rsidR="00E238CC" w:rsidRPr="007063A8" w:rsidRDefault="00E238CC" w:rsidP="000A2307">
      <w:pPr>
        <w:widowControl/>
        <w:spacing w:line="276" w:lineRule="auto"/>
        <w:ind w:firstLine="360"/>
        <w:jc w:val="both"/>
        <w:rPr>
          <w:rFonts w:asciiTheme="minorHAnsi" w:hAnsiTheme="minorHAnsi" w:cstheme="minorHAnsi"/>
          <w:lang w:val="en-GB"/>
        </w:rPr>
      </w:pPr>
    </w:p>
    <w:p w14:paraId="71A26600" w14:textId="10FA2889" w:rsidR="00E52596" w:rsidRPr="007063A8" w:rsidRDefault="00E238CC" w:rsidP="00E238CC">
      <w:pPr>
        <w:widowControl/>
        <w:spacing w:line="276" w:lineRule="auto"/>
        <w:ind w:firstLine="360"/>
        <w:jc w:val="center"/>
        <w:rPr>
          <w:rFonts w:asciiTheme="minorHAnsi" w:hAnsiTheme="minorHAnsi" w:cstheme="minorHAnsi"/>
          <w:i/>
          <w:lang w:val="en-GB"/>
        </w:rPr>
      </w:pPr>
      <w:r w:rsidRPr="001F607E">
        <w:rPr>
          <w:noProof/>
          <w:lang w:val="it-IT" w:eastAsia="it-IT"/>
        </w:rPr>
        <w:drawing>
          <wp:inline distT="0" distB="0" distL="0" distR="0" wp14:anchorId="67F1BF59" wp14:editId="74136428">
            <wp:extent cx="3331249" cy="2001520"/>
            <wp:effectExtent l="0" t="0" r="254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5752" cy="2004226"/>
                    </a:xfrm>
                    <a:prstGeom prst="rect">
                      <a:avLst/>
                    </a:prstGeom>
                  </pic:spPr>
                </pic:pic>
              </a:graphicData>
            </a:graphic>
          </wp:inline>
        </w:drawing>
      </w:r>
    </w:p>
    <w:p w14:paraId="100BC734" w14:textId="77777777" w:rsidR="00E52596" w:rsidRPr="007063A8" w:rsidRDefault="00E52596" w:rsidP="000A2307">
      <w:pPr>
        <w:widowControl/>
        <w:spacing w:line="276" w:lineRule="auto"/>
        <w:ind w:firstLine="360"/>
        <w:jc w:val="both"/>
        <w:rPr>
          <w:rFonts w:asciiTheme="minorHAnsi" w:hAnsiTheme="minorHAnsi" w:cstheme="minorHAnsi"/>
          <w:i/>
          <w:lang w:val="en-GB"/>
        </w:rPr>
      </w:pPr>
    </w:p>
    <w:p w14:paraId="2EE5BE47" w14:textId="2551D691" w:rsidR="00B145B6"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10</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ROI - years 2018-2021</w:t>
      </w:r>
    </w:p>
    <w:p w14:paraId="3EC17FF6" w14:textId="77777777" w:rsidR="00B145B6" w:rsidRPr="007063A8" w:rsidRDefault="00B145B6" w:rsidP="000A2307">
      <w:pPr>
        <w:widowControl/>
        <w:spacing w:line="276" w:lineRule="auto"/>
        <w:ind w:firstLine="360"/>
        <w:jc w:val="both"/>
        <w:rPr>
          <w:rFonts w:asciiTheme="minorHAnsi" w:hAnsiTheme="minorHAnsi" w:cstheme="minorHAnsi"/>
          <w:i/>
          <w:lang w:val="en-GB"/>
        </w:rPr>
      </w:pPr>
    </w:p>
    <w:p w14:paraId="2056D5DD" w14:textId="77777777" w:rsidR="00B145B6" w:rsidRPr="007063A8" w:rsidRDefault="00B145B6" w:rsidP="46A27F0A">
      <w:pPr>
        <w:widowControl/>
        <w:spacing w:line="276" w:lineRule="auto"/>
        <w:ind w:firstLine="360"/>
        <w:jc w:val="center"/>
        <w:rPr>
          <w:rFonts w:asciiTheme="minorHAnsi" w:hAnsiTheme="minorHAnsi" w:cstheme="minorHAnsi"/>
          <w:i/>
          <w:iCs/>
          <w:lang w:val="en-GB"/>
        </w:rPr>
      </w:pPr>
      <w:r w:rsidRPr="007063A8">
        <w:rPr>
          <w:rFonts w:asciiTheme="minorHAnsi" w:hAnsiTheme="minorHAnsi" w:cstheme="minorHAnsi"/>
          <w:noProof/>
          <w:bdr w:val="single" w:sz="4" w:space="0" w:color="auto"/>
          <w:lang w:val="it-IT" w:eastAsia="it-IT"/>
        </w:rPr>
        <w:drawing>
          <wp:inline distT="0" distB="0" distL="0" distR="0" wp14:anchorId="738C89FA" wp14:editId="09D7C8E4">
            <wp:extent cx="3357473" cy="2011680"/>
            <wp:effectExtent l="0" t="0" r="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4151" cy="2027664"/>
                    </a:xfrm>
                    <a:prstGeom prst="rect">
                      <a:avLst/>
                    </a:prstGeom>
                    <a:noFill/>
                    <a:ln>
                      <a:noFill/>
                    </a:ln>
                  </pic:spPr>
                </pic:pic>
              </a:graphicData>
            </a:graphic>
          </wp:inline>
        </w:drawing>
      </w:r>
    </w:p>
    <w:p w14:paraId="681D14E9" w14:textId="4B178B2A" w:rsidR="00860997" w:rsidRDefault="00860997" w:rsidP="003B04F6">
      <w:pPr>
        <w:spacing w:line="276" w:lineRule="auto"/>
        <w:ind w:firstLine="360"/>
        <w:rPr>
          <w:rFonts w:asciiTheme="minorHAnsi" w:hAnsiTheme="minorHAnsi" w:cstheme="minorHAnsi"/>
          <w:lang w:val="en-GB"/>
        </w:rPr>
      </w:pPr>
    </w:p>
    <w:p w14:paraId="6142B3D4" w14:textId="1E711E94" w:rsidR="00E238CC" w:rsidRDefault="00E238CC" w:rsidP="003B04F6">
      <w:pPr>
        <w:spacing w:line="276" w:lineRule="auto"/>
        <w:ind w:firstLine="360"/>
        <w:rPr>
          <w:rFonts w:asciiTheme="minorHAnsi" w:hAnsiTheme="minorHAnsi" w:cstheme="minorHAnsi"/>
          <w:lang w:val="en-GB"/>
        </w:rPr>
      </w:pPr>
    </w:p>
    <w:p w14:paraId="74AEDEFE" w14:textId="3DC6E904" w:rsidR="00E238CC" w:rsidRDefault="00E238CC" w:rsidP="003B04F6">
      <w:pPr>
        <w:spacing w:line="276" w:lineRule="auto"/>
        <w:ind w:firstLine="360"/>
        <w:rPr>
          <w:rFonts w:asciiTheme="minorHAnsi" w:hAnsiTheme="minorHAnsi" w:cstheme="minorHAnsi"/>
          <w:lang w:val="en-GB"/>
        </w:rPr>
      </w:pPr>
    </w:p>
    <w:p w14:paraId="33B603D4" w14:textId="5CF7395A" w:rsidR="00B145B6" w:rsidRPr="007063A8" w:rsidRDefault="00FE1D4B" w:rsidP="003B04F6">
      <w:pPr>
        <w:spacing w:line="276" w:lineRule="auto"/>
        <w:ind w:firstLine="360"/>
        <w:rPr>
          <w:rFonts w:asciiTheme="minorHAnsi" w:hAnsiTheme="minorHAnsi" w:cstheme="minorHAnsi"/>
          <w:lang w:val="en-GB"/>
        </w:rPr>
      </w:pPr>
      <w:r>
        <w:rPr>
          <w:rFonts w:asciiTheme="minorHAnsi" w:hAnsiTheme="minorHAnsi" w:cstheme="minorHAnsi"/>
          <w:lang w:val="en-GB"/>
        </w:rPr>
        <w:lastRenderedPageBreak/>
        <w:t>Figure 11</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SFC - years 2018-2021</w:t>
      </w:r>
    </w:p>
    <w:p w14:paraId="68BDBADF" w14:textId="77777777" w:rsidR="00B145B6" w:rsidRPr="007063A8" w:rsidRDefault="00B145B6" w:rsidP="000A2307">
      <w:pPr>
        <w:widowControl/>
        <w:spacing w:line="276" w:lineRule="auto"/>
        <w:ind w:firstLine="360"/>
        <w:jc w:val="both"/>
        <w:rPr>
          <w:rFonts w:asciiTheme="minorHAnsi" w:hAnsiTheme="minorHAnsi" w:cstheme="minorHAnsi"/>
          <w:i/>
          <w:lang w:val="en-GB"/>
        </w:rPr>
      </w:pPr>
    </w:p>
    <w:p w14:paraId="51B6FB91" w14:textId="77777777" w:rsidR="00B145B6" w:rsidRPr="007063A8" w:rsidRDefault="00B145B6" w:rsidP="46A27F0A">
      <w:pPr>
        <w:widowControl/>
        <w:spacing w:line="276" w:lineRule="auto"/>
        <w:ind w:firstLine="360"/>
        <w:jc w:val="center"/>
        <w:rPr>
          <w:rFonts w:asciiTheme="minorHAnsi" w:hAnsiTheme="minorHAnsi" w:cstheme="minorHAnsi"/>
          <w:i/>
          <w:iCs/>
          <w:lang w:val="en-GB"/>
        </w:rPr>
      </w:pPr>
      <w:r w:rsidRPr="007063A8">
        <w:rPr>
          <w:rFonts w:asciiTheme="minorHAnsi" w:hAnsiTheme="minorHAnsi" w:cstheme="minorHAnsi"/>
          <w:noProof/>
          <w:bdr w:val="single" w:sz="4" w:space="0" w:color="auto"/>
          <w:lang w:val="it-IT" w:eastAsia="it-IT"/>
        </w:rPr>
        <w:drawing>
          <wp:inline distT="0" distB="0" distL="0" distR="0" wp14:anchorId="28D1E33A" wp14:editId="6C823B1D">
            <wp:extent cx="3213100" cy="1925178"/>
            <wp:effectExtent l="0" t="0" r="635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0272" cy="1935467"/>
                    </a:xfrm>
                    <a:prstGeom prst="rect">
                      <a:avLst/>
                    </a:prstGeom>
                    <a:noFill/>
                    <a:ln>
                      <a:noFill/>
                    </a:ln>
                  </pic:spPr>
                </pic:pic>
              </a:graphicData>
            </a:graphic>
          </wp:inline>
        </w:drawing>
      </w:r>
    </w:p>
    <w:p w14:paraId="20C8141D" w14:textId="77777777" w:rsidR="00962C11" w:rsidRDefault="00962C11" w:rsidP="000A2307">
      <w:pPr>
        <w:widowControl/>
        <w:spacing w:line="276" w:lineRule="auto"/>
        <w:ind w:firstLine="360"/>
        <w:jc w:val="both"/>
        <w:rPr>
          <w:rFonts w:asciiTheme="minorHAnsi" w:hAnsiTheme="minorHAnsi" w:cstheme="minorHAnsi"/>
          <w:lang w:val="en-GB"/>
        </w:rPr>
      </w:pPr>
    </w:p>
    <w:p w14:paraId="586F2E6C" w14:textId="431925EC" w:rsidR="00962C11" w:rsidRPr="00962C11" w:rsidRDefault="00962C11" w:rsidP="00962C11">
      <w:pPr>
        <w:widowControl/>
        <w:spacing w:line="276" w:lineRule="auto"/>
        <w:jc w:val="both"/>
        <w:rPr>
          <w:rFonts w:asciiTheme="minorHAnsi" w:hAnsiTheme="minorHAnsi" w:cstheme="minorHAnsi"/>
          <w:i/>
          <w:iCs/>
          <w:lang w:val="en-GB"/>
        </w:rPr>
      </w:pPr>
      <w:r w:rsidRPr="00962C11">
        <w:rPr>
          <w:rFonts w:asciiTheme="minorHAnsi" w:hAnsiTheme="minorHAnsi" w:cstheme="minorHAnsi"/>
          <w:i/>
          <w:iCs/>
          <w:lang w:val="en-GB"/>
        </w:rPr>
        <w:t>5.3</w:t>
      </w:r>
      <w:r w:rsidRPr="00962C11">
        <w:rPr>
          <w:rFonts w:asciiTheme="minorHAnsi" w:hAnsiTheme="minorHAnsi" w:cstheme="minorHAnsi"/>
          <w:i/>
          <w:iCs/>
          <w:lang w:val="en-GB"/>
        </w:rPr>
        <w:tab/>
        <w:t>Social Ratio Analysis</w:t>
      </w:r>
    </w:p>
    <w:p w14:paraId="1C6EDE77" w14:textId="36B853AF" w:rsidR="00392E39" w:rsidRPr="007063A8" w:rsidRDefault="00392E39"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Finally, we can examine social performance, starting from the value added per employee and comparing it with the more traditional (but less "social") labour productivity ratio represented by revenues per employee.</w:t>
      </w:r>
    </w:p>
    <w:p w14:paraId="64594149" w14:textId="77777777" w:rsidR="00392E39" w:rsidRPr="007063A8" w:rsidRDefault="00392E39" w:rsidP="000A2307">
      <w:pPr>
        <w:widowControl/>
        <w:spacing w:line="276" w:lineRule="auto"/>
        <w:ind w:firstLine="360"/>
        <w:jc w:val="both"/>
        <w:rPr>
          <w:rFonts w:asciiTheme="minorHAnsi" w:hAnsiTheme="minorHAnsi" w:cstheme="minorHAnsi"/>
          <w:lang w:val="en-GB"/>
        </w:rPr>
      </w:pPr>
    </w:p>
    <w:p w14:paraId="4F2A875A" w14:textId="10D1FE02" w:rsidR="007549BF" w:rsidRPr="007063A8" w:rsidRDefault="00B145B6" w:rsidP="000F6E44">
      <w:pPr>
        <w:widowControl/>
        <w:ind w:firstLine="357"/>
        <w:jc w:val="both"/>
        <w:rPr>
          <w:rFonts w:asciiTheme="minorHAnsi" w:hAnsiTheme="minorHAnsi" w:cstheme="minorHAnsi"/>
          <w:lang w:val="en-GB"/>
        </w:rPr>
      </w:pPr>
      <w:r w:rsidRPr="007063A8">
        <w:rPr>
          <w:rFonts w:asciiTheme="minorHAnsi" w:hAnsiTheme="minorHAnsi" w:cstheme="minorHAnsi"/>
          <w:lang w:val="en-GB"/>
        </w:rPr>
        <w:t xml:space="preserve">Table </w:t>
      </w:r>
      <w:r w:rsidR="00FE1D4B">
        <w:rPr>
          <w:rFonts w:asciiTheme="minorHAnsi" w:hAnsiTheme="minorHAnsi" w:cstheme="minorHAnsi"/>
          <w:lang w:val="en-GB"/>
        </w:rPr>
        <w:t>4</w:t>
      </w:r>
      <w:r w:rsidR="007549BF" w:rsidRPr="007063A8">
        <w:rPr>
          <w:rFonts w:asciiTheme="minorHAnsi" w:hAnsiTheme="minorHAnsi" w:cstheme="minorHAnsi"/>
          <w:lang w:val="en-GB"/>
        </w:rPr>
        <w:t xml:space="preserve"> - Average values of soc</w:t>
      </w:r>
      <w:r w:rsidR="00B579B7" w:rsidRPr="007063A8">
        <w:rPr>
          <w:rFonts w:asciiTheme="minorHAnsi" w:hAnsiTheme="minorHAnsi" w:cstheme="minorHAnsi"/>
          <w:lang w:val="en-GB"/>
        </w:rPr>
        <w:t>ial ratios (labour) - years 2018-2021</w:t>
      </w:r>
      <w:r w:rsidR="007549BF" w:rsidRPr="007063A8">
        <w:rPr>
          <w:rFonts w:asciiTheme="minorHAnsi" w:hAnsiTheme="minorHAnsi" w:cstheme="minorHAnsi"/>
          <w:lang w:val="en-GB"/>
        </w:rPr>
        <w:t xml:space="preserve"> </w:t>
      </w:r>
    </w:p>
    <w:p w14:paraId="2D976EDF" w14:textId="55E5EC7B" w:rsidR="00B579B7" w:rsidRPr="007063A8" w:rsidRDefault="005C0C64" w:rsidP="000A2307">
      <w:pPr>
        <w:widowControl/>
        <w:spacing w:line="276" w:lineRule="auto"/>
        <w:ind w:firstLine="360"/>
        <w:jc w:val="both"/>
        <w:rPr>
          <w:rFonts w:asciiTheme="minorHAnsi" w:hAnsiTheme="minorHAnsi" w:cstheme="minorHAnsi"/>
          <w:lang w:val="en-GB"/>
        </w:rPr>
      </w:pPr>
      <w:r w:rsidRPr="001F607E">
        <w:rPr>
          <w:noProof/>
          <w:lang w:val="it-IT" w:eastAsia="it-IT"/>
        </w:rPr>
        <w:drawing>
          <wp:inline distT="0" distB="0" distL="0" distR="0" wp14:anchorId="70AE17B4" wp14:editId="22AD5F78">
            <wp:extent cx="4877359" cy="1158240"/>
            <wp:effectExtent l="0" t="0" r="0" b="381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8779" cy="1158577"/>
                    </a:xfrm>
                    <a:prstGeom prst="rect">
                      <a:avLst/>
                    </a:prstGeom>
                    <a:noFill/>
                    <a:ln>
                      <a:noFill/>
                    </a:ln>
                  </pic:spPr>
                </pic:pic>
              </a:graphicData>
            </a:graphic>
          </wp:inline>
        </w:drawing>
      </w:r>
    </w:p>
    <w:p w14:paraId="03DEE6FB" w14:textId="77777777" w:rsidR="00B579B7" w:rsidRPr="007063A8" w:rsidRDefault="00B579B7" w:rsidP="000F6E44">
      <w:pPr>
        <w:widowControl/>
        <w:ind w:firstLine="357"/>
        <w:jc w:val="both"/>
        <w:rPr>
          <w:rFonts w:asciiTheme="minorHAnsi" w:hAnsiTheme="minorHAnsi" w:cstheme="minorHAnsi"/>
          <w:i/>
          <w:lang w:val="en-GB"/>
        </w:rPr>
      </w:pPr>
    </w:p>
    <w:p w14:paraId="194FEF5F" w14:textId="38F50939" w:rsidR="00B145B6"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12</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value added per employee - years 2018-2021</w:t>
      </w:r>
    </w:p>
    <w:p w14:paraId="2B6FA80D" w14:textId="77777777" w:rsidR="005C0C64" w:rsidRPr="007063A8" w:rsidRDefault="005C0C64" w:rsidP="000A2307">
      <w:pPr>
        <w:widowControl/>
        <w:spacing w:line="276" w:lineRule="auto"/>
        <w:ind w:firstLine="360"/>
        <w:jc w:val="both"/>
        <w:rPr>
          <w:rFonts w:asciiTheme="minorHAnsi" w:hAnsiTheme="minorHAnsi" w:cstheme="minorHAnsi"/>
          <w:lang w:val="en-GB"/>
        </w:rPr>
      </w:pPr>
    </w:p>
    <w:p w14:paraId="2A9ECE3A" w14:textId="674FC34B" w:rsidR="00B145B6" w:rsidRPr="007063A8" w:rsidRDefault="005C0C64" w:rsidP="005C0C64">
      <w:pPr>
        <w:widowControl/>
        <w:ind w:firstLine="357"/>
        <w:jc w:val="center"/>
        <w:rPr>
          <w:rFonts w:asciiTheme="minorHAnsi" w:hAnsiTheme="minorHAnsi" w:cstheme="minorHAnsi"/>
          <w:i/>
          <w:lang w:val="en-GB"/>
        </w:rPr>
      </w:pPr>
      <w:r w:rsidRPr="001F607E">
        <w:rPr>
          <w:noProof/>
          <w:lang w:val="it-IT" w:eastAsia="it-IT"/>
        </w:rPr>
        <w:drawing>
          <wp:inline distT="0" distB="0" distL="0" distR="0" wp14:anchorId="7A03F174" wp14:editId="6AFE187F">
            <wp:extent cx="3300393" cy="1976120"/>
            <wp:effectExtent l="0" t="0" r="0" b="508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44883" cy="2002759"/>
                    </a:xfrm>
                    <a:prstGeom prst="rect">
                      <a:avLst/>
                    </a:prstGeom>
                  </pic:spPr>
                </pic:pic>
              </a:graphicData>
            </a:graphic>
          </wp:inline>
        </w:drawing>
      </w:r>
    </w:p>
    <w:p w14:paraId="295A622F" w14:textId="3CFA45AC" w:rsidR="00B145B6" w:rsidRPr="007063A8" w:rsidRDefault="00B145B6" w:rsidP="46A27F0A">
      <w:pPr>
        <w:widowControl/>
        <w:spacing w:line="276" w:lineRule="auto"/>
        <w:ind w:firstLine="360"/>
        <w:jc w:val="center"/>
        <w:rPr>
          <w:rFonts w:asciiTheme="minorHAnsi" w:hAnsiTheme="minorHAnsi" w:cstheme="minorHAnsi"/>
          <w:i/>
          <w:iCs/>
          <w:lang w:val="en-GB"/>
        </w:rPr>
      </w:pPr>
    </w:p>
    <w:p w14:paraId="34DAB0F5" w14:textId="3E3179B2" w:rsidR="00B145B6"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lastRenderedPageBreak/>
        <w:t>Figure 13</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revenues per employee - years 2018-2021</w:t>
      </w:r>
    </w:p>
    <w:p w14:paraId="0B168552" w14:textId="77777777" w:rsidR="005C0C64" w:rsidRPr="007063A8" w:rsidRDefault="005C0C64" w:rsidP="000A2307">
      <w:pPr>
        <w:widowControl/>
        <w:spacing w:line="276" w:lineRule="auto"/>
        <w:ind w:firstLine="360"/>
        <w:jc w:val="both"/>
        <w:rPr>
          <w:rFonts w:asciiTheme="minorHAnsi" w:hAnsiTheme="minorHAnsi" w:cstheme="minorHAnsi"/>
          <w:lang w:val="en-GB"/>
        </w:rPr>
      </w:pPr>
    </w:p>
    <w:p w14:paraId="44C37B99" w14:textId="5CA0C79C" w:rsidR="00B145B6" w:rsidRPr="007063A8" w:rsidRDefault="005C0C64" w:rsidP="005C0C64">
      <w:pPr>
        <w:widowControl/>
        <w:spacing w:line="276" w:lineRule="auto"/>
        <w:ind w:firstLine="360"/>
        <w:jc w:val="center"/>
        <w:rPr>
          <w:rFonts w:asciiTheme="minorHAnsi" w:hAnsiTheme="minorHAnsi" w:cstheme="minorHAnsi"/>
          <w:i/>
          <w:lang w:val="en-GB"/>
        </w:rPr>
      </w:pPr>
      <w:r w:rsidRPr="001F607E">
        <w:rPr>
          <w:noProof/>
          <w:lang w:val="it-IT" w:eastAsia="it-IT"/>
        </w:rPr>
        <w:drawing>
          <wp:inline distT="0" distB="0" distL="0" distR="0" wp14:anchorId="1F16A0F0" wp14:editId="4228D4EE">
            <wp:extent cx="3212878" cy="1930400"/>
            <wp:effectExtent l="0" t="0" r="6985"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26518" cy="1938595"/>
                    </a:xfrm>
                    <a:prstGeom prst="rect">
                      <a:avLst/>
                    </a:prstGeom>
                  </pic:spPr>
                </pic:pic>
              </a:graphicData>
            </a:graphic>
          </wp:inline>
        </w:drawing>
      </w:r>
    </w:p>
    <w:p w14:paraId="116EE6E1" w14:textId="77777777" w:rsidR="00697A2B" w:rsidRPr="007063A8" w:rsidRDefault="00697A2B" w:rsidP="000A2307">
      <w:pPr>
        <w:widowControl/>
        <w:spacing w:line="276" w:lineRule="auto"/>
        <w:ind w:firstLine="360"/>
        <w:jc w:val="both"/>
        <w:rPr>
          <w:rFonts w:asciiTheme="minorHAnsi" w:hAnsiTheme="minorHAnsi" w:cstheme="minorHAnsi"/>
          <w:lang w:val="en-GB"/>
        </w:rPr>
      </w:pPr>
    </w:p>
    <w:p w14:paraId="55D191A0" w14:textId="7412D47E"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Here too we can observe a decidedly less brilliant performance for the SCs, whose average value added per employee is </w:t>
      </w:r>
      <w:r w:rsidR="006231BF" w:rsidRPr="007063A8">
        <w:rPr>
          <w:rFonts w:asciiTheme="minorHAnsi" w:hAnsiTheme="minorHAnsi" w:cstheme="minorHAnsi"/>
          <w:lang w:val="en-GB"/>
        </w:rPr>
        <w:t>always lower than that obtained by the PLC</w:t>
      </w:r>
      <w:r w:rsidRPr="007063A8">
        <w:rPr>
          <w:rFonts w:asciiTheme="minorHAnsi" w:hAnsiTheme="minorHAnsi" w:cstheme="minorHAnsi"/>
          <w:lang w:val="en-GB"/>
        </w:rPr>
        <w:t>s. However, it should not be forgotten that the SCs are clearly more labour intensive (see table 1) and create job opportunities for a number of employees that is on ave</w:t>
      </w:r>
      <w:r w:rsidR="006231BF" w:rsidRPr="007063A8">
        <w:rPr>
          <w:rFonts w:asciiTheme="minorHAnsi" w:hAnsiTheme="minorHAnsi" w:cstheme="minorHAnsi"/>
          <w:lang w:val="en-GB"/>
        </w:rPr>
        <w:t>rage almost double that of PLC</w:t>
      </w:r>
      <w:r w:rsidRPr="007063A8">
        <w:rPr>
          <w:rFonts w:asciiTheme="minorHAnsi" w:hAnsiTheme="minorHAnsi" w:cstheme="minorHAnsi"/>
          <w:lang w:val="en-GB"/>
        </w:rPr>
        <w:t>s.</w:t>
      </w:r>
    </w:p>
    <w:p w14:paraId="37D29186" w14:textId="59AF8D39" w:rsidR="007549BF" w:rsidRPr="007063A8" w:rsidRDefault="007549BF" w:rsidP="000A2307">
      <w:pPr>
        <w:widowControl/>
        <w:spacing w:line="276" w:lineRule="auto"/>
        <w:ind w:firstLine="360"/>
        <w:jc w:val="both"/>
        <w:rPr>
          <w:rFonts w:asciiTheme="minorHAnsi" w:hAnsiTheme="minorHAnsi" w:cstheme="minorHAnsi"/>
          <w:spacing w:val="-2"/>
          <w:lang w:val="en-GB"/>
        </w:rPr>
      </w:pPr>
      <w:r w:rsidRPr="007063A8">
        <w:rPr>
          <w:rFonts w:asciiTheme="minorHAnsi" w:hAnsiTheme="minorHAnsi" w:cstheme="minorHAnsi"/>
          <w:spacing w:val="-2"/>
          <w:lang w:val="en-GB"/>
        </w:rPr>
        <w:t xml:space="preserve">Moreover, in terms of revenues per employee, the disadvantage of the SCs appears even worse, but this ratio does not consider the social role of the SCs, making the comparison on this basis </w:t>
      </w:r>
      <w:r w:rsidR="00392E06" w:rsidRPr="007063A8">
        <w:rPr>
          <w:rFonts w:asciiTheme="minorHAnsi" w:hAnsiTheme="minorHAnsi" w:cstheme="minorHAnsi"/>
          <w:spacing w:val="-2"/>
          <w:lang w:val="en-GB"/>
        </w:rPr>
        <w:t xml:space="preserve">problematic since the numerator is revenues. </w:t>
      </w:r>
      <w:r w:rsidRPr="007063A8">
        <w:rPr>
          <w:rFonts w:asciiTheme="minorHAnsi" w:hAnsiTheme="minorHAnsi" w:cstheme="minorHAnsi"/>
          <w:spacing w:val="-2"/>
          <w:lang w:val="en-GB"/>
        </w:rPr>
        <w:t>The aforementioned results may not be completely comparable given that the role of the labour factor tends to configure differently in the two categories of companies.</w:t>
      </w:r>
    </w:p>
    <w:p w14:paraId="24259288"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In particular, in the SCs the percentage of part-time work is decidedly higher, a situation which, although correctly reflected in the calculation of the average number of employees reported in the financial statements, can affect in terms of lower productivity, compared to an exclusive or predominant use of full-time work.</w:t>
      </w:r>
    </w:p>
    <w:p w14:paraId="6B66366B" w14:textId="33672109"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On the other hand, in </w:t>
      </w:r>
      <w:r w:rsidR="006231BF" w:rsidRPr="007063A8">
        <w:rPr>
          <w:rFonts w:asciiTheme="minorHAnsi" w:hAnsiTheme="minorHAnsi" w:cstheme="minorHAnsi"/>
          <w:lang w:val="en-GB"/>
        </w:rPr>
        <w:t>PLC</w:t>
      </w:r>
      <w:r w:rsidRPr="007063A8">
        <w:rPr>
          <w:rFonts w:asciiTheme="minorHAnsi" w:hAnsiTheme="minorHAnsi" w:cstheme="minorHAnsi"/>
          <w:lang w:val="en-GB"/>
        </w:rPr>
        <w:t>s it is frequent that in the ATECO 87 and 88 sectors a part of the work is carried out by shareholders who do not appear among the employees and who are remunerated through the distribution of profits, a condition that underestimates the number of employees considered in the productivity ratios, so amplifying their measure.</w:t>
      </w:r>
      <w:r w:rsidR="00392E06" w:rsidRPr="007063A8">
        <w:rPr>
          <w:rFonts w:asciiTheme="minorHAnsi" w:hAnsiTheme="minorHAnsi" w:cstheme="minorHAnsi"/>
          <w:lang w:val="en-GB"/>
        </w:rPr>
        <w:t xml:space="preserve"> </w:t>
      </w:r>
      <w:r w:rsidRPr="007063A8">
        <w:rPr>
          <w:rFonts w:asciiTheme="minorHAnsi" w:hAnsiTheme="minorHAnsi" w:cstheme="minorHAnsi"/>
          <w:lang w:val="en-GB"/>
        </w:rPr>
        <w:t>Nevertheless, the unfavourable gap for SCs is much sharper considering the "traditional" ratio, while it is more limited in the configuration of the labour productivity ratio based on value added.</w:t>
      </w:r>
    </w:p>
    <w:p w14:paraId="4B4294DE"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In terms of the temporal evolution of both ratios, once more 2020 is characterized as a difficult year, but </w:t>
      </w:r>
      <w:r w:rsidR="006231BF" w:rsidRPr="007063A8">
        <w:rPr>
          <w:rFonts w:asciiTheme="minorHAnsi" w:hAnsiTheme="minorHAnsi" w:cstheme="minorHAnsi"/>
          <w:lang w:val="en-GB"/>
        </w:rPr>
        <w:t>the SCs prove to be more resilient again, with a smaller decrease in both ratios. Finally, in 2021, the added value per employee clearly recovers in the SCs while it stagnates in the PLCs, but even more clear is the difference in the revenues per employee, where the PLCs continue in the worsening trend while the SCs show a partial recovery.</w:t>
      </w:r>
    </w:p>
    <w:p w14:paraId="5455D500"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Finally, to complete the analysis of the social dimension, it is necessary to examine the results of the return of assets in terms of value added</w:t>
      </w:r>
      <w:r w:rsidR="00051760" w:rsidRPr="007063A8">
        <w:rPr>
          <w:rFonts w:asciiTheme="minorHAnsi" w:hAnsiTheme="minorHAnsi" w:cstheme="minorHAnsi"/>
          <w:lang w:val="en-GB"/>
        </w:rPr>
        <w:t>, also considering the different level of capital intensity</w:t>
      </w:r>
      <w:r w:rsidRPr="007063A8">
        <w:rPr>
          <w:rFonts w:asciiTheme="minorHAnsi" w:hAnsiTheme="minorHAnsi" w:cstheme="minorHAnsi"/>
          <w:lang w:val="en-GB"/>
        </w:rPr>
        <w:t>.</w:t>
      </w:r>
    </w:p>
    <w:p w14:paraId="3E3F35E6" w14:textId="77777777" w:rsidR="00DD6718" w:rsidRPr="007063A8" w:rsidRDefault="00DD6718" w:rsidP="008E34A3">
      <w:pPr>
        <w:widowControl/>
        <w:spacing w:line="276" w:lineRule="auto"/>
        <w:jc w:val="both"/>
        <w:rPr>
          <w:rFonts w:asciiTheme="minorHAnsi" w:hAnsiTheme="minorHAnsi" w:cstheme="minorHAnsi"/>
          <w:lang w:val="en-GB"/>
        </w:rPr>
      </w:pPr>
    </w:p>
    <w:p w14:paraId="4C2AEB9E" w14:textId="4C6FDA36" w:rsidR="008D74AB" w:rsidRDefault="00B145B6"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lastRenderedPageBreak/>
        <w:t xml:space="preserve">Table </w:t>
      </w:r>
      <w:r w:rsidR="00FE1D4B">
        <w:rPr>
          <w:rFonts w:asciiTheme="minorHAnsi" w:hAnsiTheme="minorHAnsi" w:cstheme="minorHAnsi"/>
          <w:lang w:val="en-GB"/>
        </w:rPr>
        <w:t>5</w:t>
      </w:r>
      <w:r w:rsidR="007549BF" w:rsidRPr="007063A8">
        <w:rPr>
          <w:rFonts w:asciiTheme="minorHAnsi" w:hAnsiTheme="minorHAnsi" w:cstheme="minorHAnsi"/>
          <w:lang w:val="en-GB"/>
        </w:rPr>
        <w:t xml:space="preserve"> - Average values of soci</w:t>
      </w:r>
      <w:r w:rsidR="008D74AB" w:rsidRPr="007063A8">
        <w:rPr>
          <w:rFonts w:asciiTheme="minorHAnsi" w:hAnsiTheme="minorHAnsi" w:cstheme="minorHAnsi"/>
          <w:lang w:val="en-GB"/>
        </w:rPr>
        <w:t>al ratios (capital) - years 2018-2021</w:t>
      </w:r>
    </w:p>
    <w:p w14:paraId="7A133895" w14:textId="77777777" w:rsidR="001258CF" w:rsidRPr="007063A8" w:rsidRDefault="001258CF" w:rsidP="000A2307">
      <w:pPr>
        <w:widowControl/>
        <w:spacing w:line="276" w:lineRule="auto"/>
        <w:ind w:firstLine="360"/>
        <w:jc w:val="both"/>
        <w:rPr>
          <w:rFonts w:asciiTheme="minorHAnsi" w:hAnsiTheme="minorHAnsi" w:cstheme="minorHAnsi"/>
          <w:lang w:val="en-GB"/>
        </w:rPr>
      </w:pPr>
    </w:p>
    <w:p w14:paraId="259DF334" w14:textId="32552F85" w:rsidR="008D74AB" w:rsidRPr="007063A8" w:rsidRDefault="001258CF" w:rsidP="001258CF">
      <w:pPr>
        <w:widowControl/>
        <w:spacing w:line="276" w:lineRule="auto"/>
        <w:ind w:firstLine="357"/>
        <w:jc w:val="both"/>
        <w:rPr>
          <w:rFonts w:asciiTheme="minorHAnsi" w:hAnsiTheme="minorHAnsi" w:cstheme="minorHAnsi"/>
          <w:lang w:val="en-GB"/>
        </w:rPr>
      </w:pPr>
      <w:r w:rsidRPr="001F607E">
        <w:rPr>
          <w:noProof/>
          <w:lang w:val="it-IT" w:eastAsia="it-IT"/>
        </w:rPr>
        <w:drawing>
          <wp:inline distT="0" distB="0" distL="0" distR="0" wp14:anchorId="090CE041" wp14:editId="53973CCE">
            <wp:extent cx="4577080" cy="1082893"/>
            <wp:effectExtent l="0" t="0" r="0" b="317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0600" cy="1086092"/>
                    </a:xfrm>
                    <a:prstGeom prst="rect">
                      <a:avLst/>
                    </a:prstGeom>
                    <a:noFill/>
                    <a:ln>
                      <a:noFill/>
                    </a:ln>
                  </pic:spPr>
                </pic:pic>
              </a:graphicData>
            </a:graphic>
          </wp:inline>
        </w:drawing>
      </w:r>
    </w:p>
    <w:p w14:paraId="6FE1EADA" w14:textId="77777777" w:rsidR="008D74AB" w:rsidRPr="007063A8" w:rsidRDefault="008D74AB" w:rsidP="000A2307">
      <w:pPr>
        <w:widowControl/>
        <w:spacing w:line="276" w:lineRule="auto"/>
        <w:ind w:firstLine="360"/>
        <w:jc w:val="both"/>
        <w:rPr>
          <w:rFonts w:asciiTheme="minorHAnsi" w:hAnsiTheme="minorHAnsi" w:cstheme="minorHAnsi"/>
          <w:lang w:val="en-GB"/>
        </w:rPr>
      </w:pPr>
    </w:p>
    <w:p w14:paraId="48FB95DF" w14:textId="004D73AF" w:rsidR="00B145B6"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Figure 14</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assets per employee - years 2018-2021</w:t>
      </w:r>
    </w:p>
    <w:p w14:paraId="365BC3A3" w14:textId="77777777" w:rsidR="001258CF" w:rsidRPr="007063A8" w:rsidRDefault="001258CF" w:rsidP="000A2307">
      <w:pPr>
        <w:widowControl/>
        <w:spacing w:line="276" w:lineRule="auto"/>
        <w:ind w:firstLine="360"/>
        <w:jc w:val="both"/>
        <w:rPr>
          <w:rFonts w:asciiTheme="minorHAnsi" w:hAnsiTheme="minorHAnsi" w:cstheme="minorHAnsi"/>
          <w:lang w:val="en-GB"/>
        </w:rPr>
      </w:pPr>
    </w:p>
    <w:p w14:paraId="76B15C68" w14:textId="6F35B3DF" w:rsidR="00B145B6" w:rsidRPr="007063A8" w:rsidRDefault="001258CF" w:rsidP="001258CF">
      <w:pPr>
        <w:widowControl/>
        <w:spacing w:line="276" w:lineRule="auto"/>
        <w:ind w:firstLine="360"/>
        <w:jc w:val="center"/>
        <w:rPr>
          <w:rFonts w:asciiTheme="minorHAnsi" w:hAnsiTheme="minorHAnsi" w:cstheme="minorHAnsi"/>
          <w:lang w:val="en-GB"/>
        </w:rPr>
      </w:pPr>
      <w:r w:rsidRPr="001F607E">
        <w:rPr>
          <w:noProof/>
          <w:lang w:val="it-IT" w:eastAsia="it-IT"/>
        </w:rPr>
        <w:drawing>
          <wp:inline distT="0" distB="0" distL="0" distR="0" wp14:anchorId="7A42756F" wp14:editId="6569738F">
            <wp:extent cx="3525714" cy="211836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84050" cy="2153410"/>
                    </a:xfrm>
                    <a:prstGeom prst="rect">
                      <a:avLst/>
                    </a:prstGeom>
                  </pic:spPr>
                </pic:pic>
              </a:graphicData>
            </a:graphic>
          </wp:inline>
        </w:drawing>
      </w:r>
    </w:p>
    <w:p w14:paraId="0F5FC4D0" w14:textId="174FB71F" w:rsidR="000F6E44" w:rsidRPr="007063A8" w:rsidRDefault="000F6E44" w:rsidP="000A2307">
      <w:pPr>
        <w:widowControl/>
        <w:spacing w:line="276" w:lineRule="auto"/>
        <w:ind w:firstLine="360"/>
        <w:jc w:val="both"/>
        <w:rPr>
          <w:rFonts w:asciiTheme="minorHAnsi" w:hAnsiTheme="minorHAnsi" w:cstheme="minorHAnsi"/>
          <w:lang w:val="en-GB"/>
        </w:rPr>
      </w:pPr>
    </w:p>
    <w:p w14:paraId="4A550F4F" w14:textId="5B0FA7CF" w:rsidR="00B145B6" w:rsidRPr="007063A8" w:rsidRDefault="00FE1D4B" w:rsidP="000A2307">
      <w:pPr>
        <w:widowControl/>
        <w:spacing w:line="276" w:lineRule="auto"/>
        <w:ind w:firstLine="360"/>
        <w:jc w:val="both"/>
        <w:rPr>
          <w:rFonts w:asciiTheme="minorHAnsi" w:hAnsiTheme="minorHAnsi" w:cstheme="minorHAnsi"/>
          <w:lang w:val="en-GB"/>
        </w:rPr>
      </w:pPr>
      <w:r>
        <w:rPr>
          <w:rFonts w:asciiTheme="minorHAnsi" w:hAnsiTheme="minorHAnsi" w:cstheme="minorHAnsi"/>
          <w:lang w:val="en-GB"/>
        </w:rPr>
        <w:t>F</w:t>
      </w:r>
      <w:r w:rsidR="00080C6C">
        <w:rPr>
          <w:rFonts w:asciiTheme="minorHAnsi" w:hAnsiTheme="minorHAnsi" w:cstheme="minorHAnsi"/>
          <w:lang w:val="en-GB"/>
        </w:rPr>
        <w:t>igure</w:t>
      </w:r>
      <w:r>
        <w:rPr>
          <w:rFonts w:asciiTheme="minorHAnsi" w:hAnsiTheme="minorHAnsi" w:cstheme="minorHAnsi"/>
          <w:lang w:val="en-GB"/>
        </w:rPr>
        <w:t xml:space="preserve"> 15</w:t>
      </w:r>
      <w:r w:rsidR="00B145B6" w:rsidRPr="007063A8">
        <w:rPr>
          <w:rFonts w:asciiTheme="minorHAnsi" w:hAnsiTheme="minorHAnsi" w:cstheme="minorHAnsi"/>
          <w:lang w:val="en-GB"/>
        </w:rPr>
        <w:t xml:space="preserve"> - Comparison between SC</w:t>
      </w:r>
      <w:r w:rsidR="00E811F8" w:rsidRPr="007063A8">
        <w:rPr>
          <w:rFonts w:asciiTheme="minorHAnsi" w:hAnsiTheme="minorHAnsi" w:cstheme="minorHAnsi"/>
          <w:lang w:val="en-GB"/>
        </w:rPr>
        <w:t>s</w:t>
      </w:r>
      <w:r w:rsidR="00B145B6" w:rsidRPr="007063A8">
        <w:rPr>
          <w:rFonts w:asciiTheme="minorHAnsi" w:hAnsiTheme="minorHAnsi" w:cstheme="minorHAnsi"/>
          <w:lang w:val="en-GB"/>
        </w:rPr>
        <w:t xml:space="preserve"> and PLCs: value added on total assets - years 2018-2021</w:t>
      </w:r>
    </w:p>
    <w:p w14:paraId="3C392B55" w14:textId="0354189C" w:rsidR="00B145B6" w:rsidRDefault="00B145B6" w:rsidP="000A2307">
      <w:pPr>
        <w:widowControl/>
        <w:spacing w:line="276" w:lineRule="auto"/>
        <w:ind w:firstLine="360"/>
        <w:jc w:val="both"/>
        <w:rPr>
          <w:rFonts w:asciiTheme="minorHAnsi" w:hAnsiTheme="minorHAnsi" w:cstheme="minorHAnsi"/>
          <w:lang w:val="en-GB"/>
        </w:rPr>
      </w:pPr>
    </w:p>
    <w:p w14:paraId="4C40D344" w14:textId="4961A383" w:rsidR="001258CF" w:rsidRDefault="001258CF" w:rsidP="001258CF">
      <w:pPr>
        <w:widowControl/>
        <w:spacing w:line="276" w:lineRule="auto"/>
        <w:ind w:firstLine="360"/>
        <w:jc w:val="center"/>
        <w:rPr>
          <w:rFonts w:asciiTheme="minorHAnsi" w:hAnsiTheme="minorHAnsi" w:cstheme="minorHAnsi"/>
          <w:lang w:val="en-GB"/>
        </w:rPr>
      </w:pPr>
      <w:r w:rsidRPr="009E3680">
        <w:rPr>
          <w:noProof/>
          <w:lang w:val="it-IT" w:eastAsia="it-IT"/>
        </w:rPr>
        <w:drawing>
          <wp:inline distT="0" distB="0" distL="0" distR="0" wp14:anchorId="41CAC430" wp14:editId="06197CD3">
            <wp:extent cx="3569006" cy="2148840"/>
            <wp:effectExtent l="0" t="0" r="0" b="381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91800" cy="2162564"/>
                    </a:xfrm>
                    <a:prstGeom prst="rect">
                      <a:avLst/>
                    </a:prstGeom>
                  </pic:spPr>
                </pic:pic>
              </a:graphicData>
            </a:graphic>
          </wp:inline>
        </w:drawing>
      </w:r>
    </w:p>
    <w:p w14:paraId="2D757B16" w14:textId="77777777" w:rsidR="001258CF" w:rsidRPr="007063A8" w:rsidRDefault="001258CF" w:rsidP="000A2307">
      <w:pPr>
        <w:widowControl/>
        <w:spacing w:line="276" w:lineRule="auto"/>
        <w:ind w:firstLine="360"/>
        <w:jc w:val="both"/>
        <w:rPr>
          <w:rFonts w:asciiTheme="minorHAnsi" w:hAnsiTheme="minorHAnsi" w:cstheme="minorHAnsi"/>
          <w:lang w:val="en-GB"/>
        </w:rPr>
      </w:pPr>
    </w:p>
    <w:p w14:paraId="40CD5275" w14:textId="77777777" w:rsidR="007549BF" w:rsidRPr="007063A8"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The average performance of the SCs</w:t>
      </w:r>
      <w:r w:rsidR="00051760" w:rsidRPr="007063A8">
        <w:rPr>
          <w:rFonts w:asciiTheme="minorHAnsi" w:hAnsiTheme="minorHAnsi" w:cstheme="minorHAnsi"/>
          <w:lang w:val="en-GB"/>
        </w:rPr>
        <w:t xml:space="preserve"> is far superior that of the PLC</w:t>
      </w:r>
      <w:r w:rsidRPr="007063A8">
        <w:rPr>
          <w:rFonts w:asciiTheme="minorHAnsi" w:hAnsiTheme="minorHAnsi" w:cstheme="minorHAnsi"/>
          <w:lang w:val="en-GB"/>
        </w:rPr>
        <w:t xml:space="preserve">s, although in both categories the difficulties of the year 2020 led to a significant deterioration. </w:t>
      </w:r>
      <w:r w:rsidR="00051760" w:rsidRPr="007063A8">
        <w:rPr>
          <w:rFonts w:asciiTheme="minorHAnsi" w:hAnsiTheme="minorHAnsi" w:cstheme="minorHAnsi"/>
          <w:lang w:val="en-GB"/>
        </w:rPr>
        <w:t xml:space="preserve">The recovery in 2021 </w:t>
      </w:r>
      <w:r w:rsidR="00051760" w:rsidRPr="007063A8">
        <w:rPr>
          <w:rFonts w:asciiTheme="minorHAnsi" w:hAnsiTheme="minorHAnsi" w:cstheme="minorHAnsi"/>
          <w:lang w:val="en-GB"/>
        </w:rPr>
        <w:lastRenderedPageBreak/>
        <w:t xml:space="preserve">is also sharper in the SCs, even if they remain below the pre-pandemic values. </w:t>
      </w:r>
      <w:r w:rsidRPr="007063A8">
        <w:rPr>
          <w:rFonts w:asciiTheme="minorHAnsi" w:hAnsiTheme="minorHAnsi" w:cstheme="minorHAnsi"/>
          <w:lang w:val="en-GB"/>
        </w:rPr>
        <w:t>This confirms that SCs, far more than in terms of profitability, should be evaluated in terms of the ability to create and distribute value added.</w:t>
      </w:r>
    </w:p>
    <w:p w14:paraId="1DF8CBED" w14:textId="6C605FCC" w:rsidR="007549BF" w:rsidRDefault="007549BF"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At the same time, the data emerging from the capital intensity ratio (Total assets/N. em</w:t>
      </w:r>
      <w:r w:rsidR="00A147D7" w:rsidRPr="007063A8">
        <w:rPr>
          <w:rFonts w:asciiTheme="minorHAnsi" w:hAnsiTheme="minorHAnsi" w:cstheme="minorHAnsi"/>
          <w:lang w:val="en-GB"/>
        </w:rPr>
        <w:t>ployees) clearly denotes the SCs</w:t>
      </w:r>
      <w:r w:rsidRPr="007063A8">
        <w:rPr>
          <w:rFonts w:asciiTheme="minorHAnsi" w:hAnsiTheme="minorHAnsi" w:cstheme="minorHAnsi"/>
          <w:lang w:val="en-GB"/>
        </w:rPr>
        <w:t xml:space="preserve">’ less capital intensive nature, resulting </w:t>
      </w:r>
      <w:r w:rsidR="00051760" w:rsidRPr="007063A8">
        <w:rPr>
          <w:rFonts w:asciiTheme="minorHAnsi" w:hAnsiTheme="minorHAnsi" w:cstheme="minorHAnsi"/>
          <w:lang w:val="en-GB"/>
        </w:rPr>
        <w:t xml:space="preserve">in 2018 </w:t>
      </w:r>
      <w:r w:rsidRPr="007063A8">
        <w:rPr>
          <w:rFonts w:asciiTheme="minorHAnsi" w:hAnsiTheme="minorHAnsi" w:cstheme="minorHAnsi"/>
          <w:lang w:val="en-GB"/>
        </w:rPr>
        <w:t xml:space="preserve">in the endowment of means of production per employee about one third of that present on average in </w:t>
      </w:r>
      <w:r w:rsidR="00051760" w:rsidRPr="007063A8">
        <w:rPr>
          <w:rFonts w:asciiTheme="minorHAnsi" w:hAnsiTheme="minorHAnsi" w:cstheme="minorHAnsi"/>
          <w:lang w:val="en-GB"/>
        </w:rPr>
        <w:t>PLC</w:t>
      </w:r>
      <w:r w:rsidRPr="007063A8">
        <w:rPr>
          <w:rFonts w:asciiTheme="minorHAnsi" w:hAnsiTheme="minorHAnsi" w:cstheme="minorHAnsi"/>
          <w:lang w:val="en-GB"/>
        </w:rPr>
        <w:t>s, a condition which, in turn, negatively affects in terms of lower labour productivity.</w:t>
      </w:r>
      <w:r w:rsidR="00392E06" w:rsidRPr="007063A8">
        <w:rPr>
          <w:rFonts w:asciiTheme="minorHAnsi" w:hAnsiTheme="minorHAnsi" w:cstheme="minorHAnsi"/>
          <w:lang w:val="en-GB"/>
        </w:rPr>
        <w:t xml:space="preserve"> </w:t>
      </w:r>
      <w:r w:rsidR="00051760" w:rsidRPr="007063A8">
        <w:rPr>
          <w:rFonts w:asciiTheme="minorHAnsi" w:hAnsiTheme="minorHAnsi" w:cstheme="minorHAnsi"/>
          <w:lang w:val="en-GB"/>
        </w:rPr>
        <w:t>However, observing the four-year trend, it can be seen that, compared with a substantial stability in the SCs, the value of capital intensity drops sharply in the PLCs, even in 2021 despite the average number of employees remaining just above 26.</w:t>
      </w:r>
    </w:p>
    <w:p w14:paraId="56BC131D" w14:textId="5DC5F81E" w:rsidR="002400FF" w:rsidRDefault="002400FF" w:rsidP="000A2307">
      <w:pPr>
        <w:widowControl/>
        <w:spacing w:line="276" w:lineRule="auto"/>
        <w:ind w:firstLine="360"/>
        <w:jc w:val="both"/>
        <w:rPr>
          <w:rFonts w:asciiTheme="minorHAnsi" w:hAnsiTheme="minorHAnsi" w:cstheme="minorHAnsi"/>
          <w:lang w:val="en-GB"/>
        </w:rPr>
      </w:pPr>
    </w:p>
    <w:p w14:paraId="0ECC7E74" w14:textId="77777777" w:rsidR="001258CF" w:rsidRDefault="001258CF" w:rsidP="000A2307">
      <w:pPr>
        <w:widowControl/>
        <w:spacing w:line="276" w:lineRule="auto"/>
        <w:ind w:firstLine="360"/>
        <w:jc w:val="both"/>
        <w:rPr>
          <w:rFonts w:asciiTheme="minorHAnsi" w:hAnsiTheme="minorHAnsi" w:cstheme="minorHAnsi"/>
          <w:lang w:val="en-GB"/>
        </w:rPr>
      </w:pPr>
    </w:p>
    <w:p w14:paraId="20E80D7C" w14:textId="3956A9DB" w:rsidR="002400FF" w:rsidRPr="002400FF" w:rsidRDefault="002400FF" w:rsidP="00900637">
      <w:pPr>
        <w:widowControl/>
        <w:spacing w:after="120" w:line="276" w:lineRule="auto"/>
        <w:jc w:val="both"/>
        <w:rPr>
          <w:rFonts w:asciiTheme="minorHAnsi" w:hAnsiTheme="minorHAnsi" w:cstheme="minorHAnsi"/>
          <w:b/>
          <w:bCs/>
          <w:lang w:val="en-GB"/>
        </w:rPr>
      </w:pPr>
      <w:r w:rsidRPr="002400FF">
        <w:rPr>
          <w:rFonts w:asciiTheme="minorHAnsi" w:hAnsiTheme="minorHAnsi" w:cstheme="minorHAnsi"/>
          <w:b/>
          <w:bCs/>
          <w:lang w:val="en-GB"/>
        </w:rPr>
        <w:t>6.</w:t>
      </w:r>
      <w:r w:rsidRPr="002400FF">
        <w:rPr>
          <w:rFonts w:asciiTheme="minorHAnsi" w:hAnsiTheme="minorHAnsi" w:cstheme="minorHAnsi"/>
          <w:b/>
          <w:bCs/>
          <w:lang w:val="en-GB"/>
        </w:rPr>
        <w:tab/>
        <w:t>Econometric Findings</w:t>
      </w:r>
    </w:p>
    <w:p w14:paraId="0BF385DB" w14:textId="0313012F" w:rsidR="00187A0D" w:rsidRDefault="00187A0D" w:rsidP="000A2307">
      <w:pPr>
        <w:widowControl/>
        <w:spacing w:line="276" w:lineRule="auto"/>
        <w:ind w:firstLine="360"/>
        <w:jc w:val="both"/>
        <w:rPr>
          <w:rFonts w:asciiTheme="minorHAnsi" w:hAnsiTheme="minorHAnsi" w:cstheme="minorHAnsi"/>
          <w:bCs/>
          <w:lang w:val="en-GB"/>
        </w:rPr>
      </w:pPr>
      <w:r w:rsidRPr="00187A0D">
        <w:rPr>
          <w:rFonts w:asciiTheme="minorHAnsi" w:hAnsiTheme="minorHAnsi" w:cstheme="minorHAnsi"/>
          <w:bCs/>
          <w:lang w:val="en-GB"/>
        </w:rPr>
        <w:t>Though the descriptive results are very informative, we also conducted more rigorous testing in order to better isolate the role of corporate form.</w:t>
      </w:r>
      <w:r>
        <w:rPr>
          <w:rFonts w:asciiTheme="minorHAnsi" w:hAnsiTheme="minorHAnsi" w:cstheme="minorHAnsi"/>
          <w:bCs/>
          <w:lang w:val="en-GB"/>
        </w:rPr>
        <w:t xml:space="preserve"> This was done in </w:t>
      </w:r>
      <w:r w:rsidR="007F7CD4">
        <w:rPr>
          <w:rFonts w:asciiTheme="minorHAnsi" w:hAnsiTheme="minorHAnsi" w:cstheme="minorHAnsi"/>
          <w:bCs/>
          <w:lang w:val="en-GB"/>
        </w:rPr>
        <w:t>two</w:t>
      </w:r>
      <w:r>
        <w:rPr>
          <w:rFonts w:asciiTheme="minorHAnsi" w:hAnsiTheme="minorHAnsi" w:cstheme="minorHAnsi"/>
          <w:bCs/>
          <w:lang w:val="en-GB"/>
        </w:rPr>
        <w:t xml:space="preserve"> stages: </w:t>
      </w:r>
      <w:r w:rsidR="007F7CD4">
        <w:rPr>
          <w:rFonts w:asciiTheme="minorHAnsi" w:hAnsiTheme="minorHAnsi" w:cstheme="minorHAnsi"/>
          <w:bCs/>
          <w:lang w:val="en-GB"/>
        </w:rPr>
        <w:t>two</w:t>
      </w:r>
      <w:r>
        <w:rPr>
          <w:rFonts w:asciiTheme="minorHAnsi" w:hAnsiTheme="minorHAnsi" w:cstheme="minorHAnsi"/>
          <w:bCs/>
          <w:lang w:val="en-GB"/>
        </w:rPr>
        <w:t>-sided t-tests of means between the two corporate forms and OLS regression with each of the nine indicators as the dependent variable.</w:t>
      </w:r>
    </w:p>
    <w:p w14:paraId="78E00A08" w14:textId="220F631A" w:rsidR="00187A0D" w:rsidRDefault="007F7CD4" w:rsidP="000A2307">
      <w:pPr>
        <w:widowControl/>
        <w:spacing w:line="276" w:lineRule="auto"/>
        <w:ind w:firstLine="360"/>
        <w:jc w:val="both"/>
        <w:rPr>
          <w:rFonts w:asciiTheme="minorHAnsi" w:hAnsiTheme="minorHAnsi" w:cstheme="minorHAnsi"/>
          <w:bCs/>
          <w:lang w:val="en-GB"/>
        </w:rPr>
      </w:pPr>
      <w:r>
        <w:rPr>
          <w:rFonts w:asciiTheme="minorHAnsi" w:hAnsiTheme="minorHAnsi" w:cstheme="minorHAnsi"/>
          <w:bCs/>
          <w:lang w:val="en-GB"/>
        </w:rPr>
        <w:t xml:space="preserve">The results for the tests for significant differences in means between </w:t>
      </w:r>
      <w:r w:rsidR="00706DE2">
        <w:rPr>
          <w:rFonts w:asciiTheme="minorHAnsi" w:hAnsiTheme="minorHAnsi" w:cstheme="minorHAnsi"/>
          <w:bCs/>
          <w:lang w:val="en-GB"/>
        </w:rPr>
        <w:t xml:space="preserve">PLCs and </w:t>
      </w:r>
      <w:r>
        <w:rPr>
          <w:rFonts w:asciiTheme="minorHAnsi" w:hAnsiTheme="minorHAnsi" w:cstheme="minorHAnsi"/>
          <w:bCs/>
          <w:lang w:val="en-GB"/>
        </w:rPr>
        <w:t xml:space="preserve">SCs is shown in </w:t>
      </w:r>
      <w:r w:rsidR="00676C5E">
        <w:rPr>
          <w:rFonts w:asciiTheme="minorHAnsi" w:hAnsiTheme="minorHAnsi" w:cstheme="minorHAnsi"/>
          <w:bCs/>
          <w:lang w:val="en-GB"/>
        </w:rPr>
        <w:t>t</w:t>
      </w:r>
      <w:r>
        <w:rPr>
          <w:rFonts w:asciiTheme="minorHAnsi" w:hAnsiTheme="minorHAnsi" w:cstheme="minorHAnsi"/>
          <w:bCs/>
          <w:lang w:val="en-GB"/>
        </w:rPr>
        <w:t xml:space="preserve">able </w:t>
      </w:r>
      <w:r w:rsidR="00676C5E">
        <w:rPr>
          <w:rFonts w:asciiTheme="minorHAnsi" w:hAnsiTheme="minorHAnsi" w:cstheme="minorHAnsi"/>
          <w:bCs/>
          <w:lang w:val="en-GB"/>
        </w:rPr>
        <w:t>6</w:t>
      </w:r>
      <w:r>
        <w:rPr>
          <w:rFonts w:asciiTheme="minorHAnsi" w:hAnsiTheme="minorHAnsi" w:cstheme="minorHAnsi"/>
          <w:bCs/>
          <w:lang w:val="en-GB"/>
        </w:rPr>
        <w:t>.</w:t>
      </w:r>
      <w:r w:rsidR="00706DE2">
        <w:rPr>
          <w:rFonts w:asciiTheme="minorHAnsi" w:hAnsiTheme="minorHAnsi" w:cstheme="minorHAnsi"/>
          <w:bCs/>
          <w:lang w:val="en-GB"/>
        </w:rPr>
        <w:t xml:space="preserve"> The tests are two-sided</w:t>
      </w:r>
      <w:r w:rsidR="003D1B1A">
        <w:rPr>
          <w:rFonts w:asciiTheme="minorHAnsi" w:hAnsiTheme="minorHAnsi" w:cstheme="minorHAnsi"/>
          <w:bCs/>
          <w:lang w:val="en-GB"/>
        </w:rPr>
        <w:t xml:space="preserve"> without the assumption of equal variance (though the imposition of this assumption</w:t>
      </w:r>
      <w:r w:rsidR="00706DE2">
        <w:rPr>
          <w:rFonts w:asciiTheme="minorHAnsi" w:hAnsiTheme="minorHAnsi" w:cstheme="minorHAnsi"/>
          <w:bCs/>
          <w:lang w:val="en-GB"/>
        </w:rPr>
        <w:t xml:space="preserve"> did not change the findings.)</w:t>
      </w:r>
    </w:p>
    <w:p w14:paraId="32BBC98C" w14:textId="77777777" w:rsidR="00706DE2" w:rsidRDefault="00706DE2" w:rsidP="00706DE2">
      <w:pPr>
        <w:widowControl/>
        <w:spacing w:line="276" w:lineRule="auto"/>
        <w:jc w:val="both"/>
        <w:rPr>
          <w:rFonts w:asciiTheme="minorHAnsi" w:hAnsiTheme="minorHAnsi" w:cstheme="minorHAnsi"/>
          <w:bCs/>
          <w:lang w:val="en-GB"/>
        </w:rPr>
      </w:pPr>
    </w:p>
    <w:p w14:paraId="68EDCBE5" w14:textId="1120CEDE" w:rsidR="00080C6C" w:rsidRPr="007063A8" w:rsidRDefault="00080C6C" w:rsidP="00080C6C">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 xml:space="preserve">Table </w:t>
      </w:r>
      <w:r>
        <w:rPr>
          <w:rFonts w:asciiTheme="minorHAnsi" w:hAnsiTheme="minorHAnsi" w:cstheme="minorHAnsi"/>
          <w:lang w:val="en-GB"/>
        </w:rPr>
        <w:t>6</w:t>
      </w:r>
      <w:r w:rsidRPr="007063A8">
        <w:rPr>
          <w:rFonts w:asciiTheme="minorHAnsi" w:hAnsiTheme="minorHAnsi" w:cstheme="minorHAnsi"/>
          <w:lang w:val="en-GB"/>
        </w:rPr>
        <w:t xml:space="preserve"> </w:t>
      </w:r>
      <w:r w:rsidR="00900637">
        <w:rPr>
          <w:rFonts w:asciiTheme="minorHAnsi" w:hAnsiTheme="minorHAnsi" w:cstheme="minorHAnsi"/>
          <w:lang w:val="en-GB"/>
        </w:rPr>
        <w:t>-</w:t>
      </w:r>
      <w:r w:rsidRPr="007063A8">
        <w:rPr>
          <w:rFonts w:asciiTheme="minorHAnsi" w:hAnsiTheme="minorHAnsi" w:cstheme="minorHAnsi"/>
          <w:lang w:val="en-GB"/>
        </w:rPr>
        <w:t xml:space="preserve"> </w:t>
      </w:r>
      <w:r>
        <w:rPr>
          <w:rFonts w:asciiTheme="minorHAnsi" w:hAnsiTheme="minorHAnsi" w:cstheme="minorHAnsi"/>
          <w:lang w:val="en-GB"/>
        </w:rPr>
        <w:t>Testing of Difference in Means</w:t>
      </w:r>
    </w:p>
    <w:p w14:paraId="63CDCAE6" w14:textId="77777777" w:rsidR="00080C6C" w:rsidRDefault="00080C6C" w:rsidP="00706DE2">
      <w:pPr>
        <w:widowControl/>
        <w:spacing w:line="276" w:lineRule="auto"/>
        <w:jc w:val="both"/>
        <w:rPr>
          <w:rFonts w:asciiTheme="minorHAnsi" w:hAnsiTheme="minorHAnsi" w:cstheme="minorHAnsi"/>
          <w:bCs/>
          <w:lang w:val="en-GB"/>
        </w:rPr>
      </w:pPr>
    </w:p>
    <w:tbl>
      <w:tblPr>
        <w:tblStyle w:val="TableGrid"/>
        <w:tblW w:w="8033" w:type="dxa"/>
        <w:tblLook w:val="04A0" w:firstRow="1" w:lastRow="0" w:firstColumn="1" w:lastColumn="0" w:noHBand="0" w:noVBand="1"/>
      </w:tblPr>
      <w:tblGrid>
        <w:gridCol w:w="969"/>
        <w:gridCol w:w="1164"/>
        <w:gridCol w:w="971"/>
        <w:gridCol w:w="1661"/>
        <w:gridCol w:w="953"/>
        <w:gridCol w:w="1139"/>
        <w:gridCol w:w="1176"/>
      </w:tblGrid>
      <w:tr w:rsidR="00F604E3" w14:paraId="0224C996" w14:textId="15C17F27" w:rsidTr="007E2DA9">
        <w:tc>
          <w:tcPr>
            <w:tcW w:w="969" w:type="dxa"/>
          </w:tcPr>
          <w:p w14:paraId="76F6DA7C" w14:textId="77777777" w:rsidR="00F604E3" w:rsidRDefault="00F604E3" w:rsidP="00706DE2">
            <w:pPr>
              <w:widowControl/>
              <w:spacing w:line="276" w:lineRule="auto"/>
              <w:jc w:val="both"/>
              <w:rPr>
                <w:rFonts w:asciiTheme="minorHAnsi" w:hAnsiTheme="minorHAnsi" w:cstheme="minorHAnsi"/>
                <w:bCs/>
                <w:lang w:val="en-GB"/>
              </w:rPr>
            </w:pPr>
          </w:p>
        </w:tc>
        <w:tc>
          <w:tcPr>
            <w:tcW w:w="1164" w:type="dxa"/>
          </w:tcPr>
          <w:p w14:paraId="7728B68A" w14:textId="37F99A6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Mean(PLC)-Mean(SC)</w:t>
            </w:r>
          </w:p>
        </w:tc>
        <w:tc>
          <w:tcPr>
            <w:tcW w:w="971" w:type="dxa"/>
          </w:tcPr>
          <w:p w14:paraId="6FEFB0C2" w14:textId="7461ABF6"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SE Diff</w:t>
            </w:r>
          </w:p>
        </w:tc>
        <w:tc>
          <w:tcPr>
            <w:tcW w:w="1661" w:type="dxa"/>
          </w:tcPr>
          <w:p w14:paraId="7D0D8D1F" w14:textId="40D31FE7"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Satterthwaite’s df</w:t>
            </w:r>
          </w:p>
        </w:tc>
        <w:tc>
          <w:tcPr>
            <w:tcW w:w="953" w:type="dxa"/>
          </w:tcPr>
          <w:p w14:paraId="595D0094" w14:textId="0D4722C5"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t</w:t>
            </w:r>
          </w:p>
        </w:tc>
        <w:tc>
          <w:tcPr>
            <w:tcW w:w="1139" w:type="dxa"/>
          </w:tcPr>
          <w:p w14:paraId="5FEC2294" w14:textId="6C3CDACC"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Pr(|T| &gt;  |t|) = 0</w:t>
            </w:r>
          </w:p>
        </w:tc>
        <w:tc>
          <w:tcPr>
            <w:tcW w:w="1176" w:type="dxa"/>
          </w:tcPr>
          <w:p w14:paraId="3B37C7F8" w14:textId="2D50419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Significance</w:t>
            </w:r>
          </w:p>
        </w:tc>
      </w:tr>
      <w:tr w:rsidR="00F604E3" w14:paraId="62FB79B1" w14:textId="65FF55E6" w:rsidTr="007E2DA9">
        <w:tc>
          <w:tcPr>
            <w:tcW w:w="969" w:type="dxa"/>
          </w:tcPr>
          <w:p w14:paraId="58562601" w14:textId="49A5A924"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CR</w:t>
            </w:r>
          </w:p>
        </w:tc>
        <w:tc>
          <w:tcPr>
            <w:tcW w:w="1164" w:type="dxa"/>
          </w:tcPr>
          <w:p w14:paraId="7BFCDC23" w14:textId="68E5B965"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-1.0850</w:t>
            </w:r>
          </w:p>
        </w:tc>
        <w:tc>
          <w:tcPr>
            <w:tcW w:w="971" w:type="dxa"/>
          </w:tcPr>
          <w:p w14:paraId="2E963183" w14:textId="3DBCBB3A"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0.0919</w:t>
            </w:r>
          </w:p>
        </w:tc>
        <w:tc>
          <w:tcPr>
            <w:tcW w:w="1661" w:type="dxa"/>
          </w:tcPr>
          <w:p w14:paraId="6F867238" w14:textId="46B8DFC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9243.44</w:t>
            </w:r>
          </w:p>
        </w:tc>
        <w:tc>
          <w:tcPr>
            <w:tcW w:w="953" w:type="dxa"/>
          </w:tcPr>
          <w:p w14:paraId="52F63FBD" w14:textId="3A881506"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-11.8095</w:t>
            </w:r>
          </w:p>
        </w:tc>
        <w:tc>
          <w:tcPr>
            <w:tcW w:w="1139" w:type="dxa"/>
          </w:tcPr>
          <w:p w14:paraId="4BF804A2" w14:textId="35C036A2"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0F8F4C79" w14:textId="5E1DF6C1"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33FFB932" w14:textId="0775715D" w:rsidTr="007E2DA9">
        <w:tc>
          <w:tcPr>
            <w:tcW w:w="969" w:type="dxa"/>
          </w:tcPr>
          <w:p w14:paraId="64786912" w14:textId="33B4C5E1"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WR</w:t>
            </w:r>
          </w:p>
        </w:tc>
        <w:tc>
          <w:tcPr>
            <w:tcW w:w="1164" w:type="dxa"/>
          </w:tcPr>
          <w:p w14:paraId="7A63B559" w14:textId="0C1638AE"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-3.3019</w:t>
            </w:r>
          </w:p>
        </w:tc>
        <w:tc>
          <w:tcPr>
            <w:tcW w:w="971" w:type="dxa"/>
          </w:tcPr>
          <w:p w14:paraId="5E31010E" w14:textId="0C676708"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0.4331</w:t>
            </w:r>
          </w:p>
        </w:tc>
        <w:tc>
          <w:tcPr>
            <w:tcW w:w="1661" w:type="dxa"/>
          </w:tcPr>
          <w:p w14:paraId="0016BB93" w14:textId="66235EBD"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9125.93</w:t>
            </w:r>
          </w:p>
        </w:tc>
        <w:tc>
          <w:tcPr>
            <w:tcW w:w="953" w:type="dxa"/>
          </w:tcPr>
          <w:p w14:paraId="19025B51" w14:textId="65E0E45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-7.6236</w:t>
            </w:r>
          </w:p>
        </w:tc>
        <w:tc>
          <w:tcPr>
            <w:tcW w:w="1139" w:type="dxa"/>
          </w:tcPr>
          <w:p w14:paraId="0A75F51E" w14:textId="32EB70B7"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3F8AA120" w14:textId="4C96474B"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0AD7F70C" w14:textId="44542623" w:rsidTr="007E2DA9">
        <w:tc>
          <w:tcPr>
            <w:tcW w:w="969" w:type="dxa"/>
          </w:tcPr>
          <w:p w14:paraId="74707DDD" w14:textId="61E4D7D5"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EM</w:t>
            </w:r>
          </w:p>
        </w:tc>
        <w:tc>
          <w:tcPr>
            <w:tcW w:w="1164" w:type="dxa"/>
          </w:tcPr>
          <w:p w14:paraId="1A998B29" w14:textId="7BA7F828"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-3.5221</w:t>
            </w:r>
          </w:p>
        </w:tc>
        <w:tc>
          <w:tcPr>
            <w:tcW w:w="971" w:type="dxa"/>
          </w:tcPr>
          <w:p w14:paraId="0F7C71C0" w14:textId="46150A5A"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2.5760</w:t>
            </w:r>
          </w:p>
        </w:tc>
        <w:tc>
          <w:tcPr>
            <w:tcW w:w="1661" w:type="dxa"/>
          </w:tcPr>
          <w:p w14:paraId="7A1CB344" w14:textId="6678C34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6193.41</w:t>
            </w:r>
          </w:p>
        </w:tc>
        <w:tc>
          <w:tcPr>
            <w:tcW w:w="953" w:type="dxa"/>
          </w:tcPr>
          <w:p w14:paraId="34247BA9" w14:textId="3140158A"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-1.3673</w:t>
            </w:r>
          </w:p>
        </w:tc>
        <w:tc>
          <w:tcPr>
            <w:tcW w:w="1139" w:type="dxa"/>
          </w:tcPr>
          <w:p w14:paraId="76A8E2F9" w14:textId="7731D5F6"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0.17</w:t>
            </w:r>
            <w:r w:rsidR="00326E80">
              <w:rPr>
                <w:rFonts w:asciiTheme="minorHAnsi" w:hAnsiTheme="minorHAnsi" w:cstheme="minorHAnsi"/>
                <w:bCs/>
                <w:lang w:val="en-GB"/>
              </w:rPr>
              <w:t>2</w:t>
            </w:r>
          </w:p>
        </w:tc>
        <w:tc>
          <w:tcPr>
            <w:tcW w:w="1176" w:type="dxa"/>
          </w:tcPr>
          <w:p w14:paraId="6B47DA90" w14:textId="77777777" w:rsidR="00F604E3" w:rsidRDefault="00F604E3" w:rsidP="00706DE2">
            <w:pPr>
              <w:widowControl/>
              <w:spacing w:line="276" w:lineRule="auto"/>
              <w:jc w:val="both"/>
              <w:rPr>
                <w:rFonts w:asciiTheme="minorHAnsi" w:hAnsiTheme="minorHAnsi" w:cstheme="minorHAnsi"/>
                <w:bCs/>
                <w:lang w:val="en-GB"/>
              </w:rPr>
            </w:pPr>
          </w:p>
        </w:tc>
      </w:tr>
      <w:tr w:rsidR="00F604E3" w14:paraId="7C58AA63" w14:textId="3E98BBF3" w:rsidTr="007E2DA9">
        <w:tc>
          <w:tcPr>
            <w:tcW w:w="969" w:type="dxa"/>
          </w:tcPr>
          <w:p w14:paraId="1A2D2DE0" w14:textId="44589FE0"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ROA</w:t>
            </w:r>
          </w:p>
        </w:tc>
        <w:tc>
          <w:tcPr>
            <w:tcW w:w="1164" w:type="dxa"/>
          </w:tcPr>
          <w:p w14:paraId="5245ABC9" w14:textId="27808852"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0.0021</w:t>
            </w:r>
          </w:p>
        </w:tc>
        <w:tc>
          <w:tcPr>
            <w:tcW w:w="971" w:type="dxa"/>
          </w:tcPr>
          <w:p w14:paraId="55DC2DD0" w14:textId="6F8769A9"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0.0046</w:t>
            </w:r>
          </w:p>
        </w:tc>
        <w:tc>
          <w:tcPr>
            <w:tcW w:w="1661" w:type="dxa"/>
          </w:tcPr>
          <w:p w14:paraId="012FEBB2" w14:textId="121A896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5201.92</w:t>
            </w:r>
          </w:p>
        </w:tc>
        <w:tc>
          <w:tcPr>
            <w:tcW w:w="953" w:type="dxa"/>
          </w:tcPr>
          <w:p w14:paraId="7AD65EB3" w14:textId="7DB5107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0.4617</w:t>
            </w:r>
          </w:p>
        </w:tc>
        <w:tc>
          <w:tcPr>
            <w:tcW w:w="1139" w:type="dxa"/>
          </w:tcPr>
          <w:p w14:paraId="0CFBE693" w14:textId="4DEA4084"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0.644</w:t>
            </w:r>
          </w:p>
        </w:tc>
        <w:tc>
          <w:tcPr>
            <w:tcW w:w="1176" w:type="dxa"/>
          </w:tcPr>
          <w:p w14:paraId="046F3A04" w14:textId="77777777" w:rsidR="00F604E3" w:rsidRDefault="00F604E3" w:rsidP="00706DE2">
            <w:pPr>
              <w:widowControl/>
              <w:spacing w:line="276" w:lineRule="auto"/>
              <w:jc w:val="both"/>
              <w:rPr>
                <w:rFonts w:asciiTheme="minorHAnsi" w:hAnsiTheme="minorHAnsi" w:cstheme="minorHAnsi"/>
                <w:bCs/>
                <w:lang w:val="en-GB"/>
              </w:rPr>
            </w:pPr>
          </w:p>
        </w:tc>
      </w:tr>
      <w:tr w:rsidR="00F604E3" w14:paraId="15DCF055" w14:textId="3A114BAC" w:rsidTr="007E2DA9">
        <w:tc>
          <w:tcPr>
            <w:tcW w:w="969" w:type="dxa"/>
          </w:tcPr>
          <w:p w14:paraId="708D9FA8" w14:textId="182D4E19"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ROI</w:t>
            </w:r>
          </w:p>
        </w:tc>
        <w:tc>
          <w:tcPr>
            <w:tcW w:w="1164" w:type="dxa"/>
          </w:tcPr>
          <w:p w14:paraId="0432EE70" w14:textId="5D38F89E"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0.2134</w:t>
            </w:r>
          </w:p>
        </w:tc>
        <w:tc>
          <w:tcPr>
            <w:tcW w:w="971" w:type="dxa"/>
          </w:tcPr>
          <w:p w14:paraId="30F202A6" w14:textId="22058F6A"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0.0047</w:t>
            </w:r>
          </w:p>
        </w:tc>
        <w:tc>
          <w:tcPr>
            <w:tcW w:w="1661" w:type="dxa"/>
          </w:tcPr>
          <w:p w14:paraId="76C6E257" w14:textId="71D75FD7"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5125.04</w:t>
            </w:r>
          </w:p>
        </w:tc>
        <w:tc>
          <w:tcPr>
            <w:tcW w:w="953" w:type="dxa"/>
          </w:tcPr>
          <w:p w14:paraId="4F5C6A7A" w14:textId="32391BD6"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4.5047</w:t>
            </w:r>
          </w:p>
        </w:tc>
        <w:tc>
          <w:tcPr>
            <w:tcW w:w="1139" w:type="dxa"/>
          </w:tcPr>
          <w:p w14:paraId="276DB1CC" w14:textId="2120D16D"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4490E35F" w14:textId="28EC81B4"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191346F4" w14:textId="056F7DD8" w:rsidTr="007E2DA9">
        <w:tc>
          <w:tcPr>
            <w:tcW w:w="969" w:type="dxa"/>
          </w:tcPr>
          <w:p w14:paraId="57FC9BEF" w14:textId="212E0447"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SFC</w:t>
            </w:r>
          </w:p>
        </w:tc>
        <w:tc>
          <w:tcPr>
            <w:tcW w:w="1164" w:type="dxa"/>
          </w:tcPr>
          <w:p w14:paraId="10F6FC5D" w14:textId="77F15F1C"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0.0030</w:t>
            </w:r>
          </w:p>
        </w:tc>
        <w:tc>
          <w:tcPr>
            <w:tcW w:w="971" w:type="dxa"/>
          </w:tcPr>
          <w:p w14:paraId="6E3C3BC5" w14:textId="75E851E7"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0.0006</w:t>
            </w:r>
          </w:p>
        </w:tc>
        <w:tc>
          <w:tcPr>
            <w:tcW w:w="1661" w:type="dxa"/>
          </w:tcPr>
          <w:p w14:paraId="05140832" w14:textId="5BB1103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5744.35</w:t>
            </w:r>
          </w:p>
        </w:tc>
        <w:tc>
          <w:tcPr>
            <w:tcW w:w="953" w:type="dxa"/>
          </w:tcPr>
          <w:p w14:paraId="17CDF96B" w14:textId="5D7D565C"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5.3420</w:t>
            </w:r>
          </w:p>
        </w:tc>
        <w:tc>
          <w:tcPr>
            <w:tcW w:w="1139" w:type="dxa"/>
          </w:tcPr>
          <w:p w14:paraId="53E6334B" w14:textId="6CEAAA83"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213B8224" w14:textId="6AE877E9"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40225C23" w14:textId="02FC5B2D" w:rsidTr="007E2DA9">
        <w:tc>
          <w:tcPr>
            <w:tcW w:w="969" w:type="dxa"/>
          </w:tcPr>
          <w:p w14:paraId="1395CC0B" w14:textId="6B1FFB96"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VAxE</w:t>
            </w:r>
          </w:p>
        </w:tc>
        <w:tc>
          <w:tcPr>
            <w:tcW w:w="1164" w:type="dxa"/>
          </w:tcPr>
          <w:p w14:paraId="74C18DD2" w14:textId="7150A451"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6.1578</w:t>
            </w:r>
          </w:p>
        </w:tc>
        <w:tc>
          <w:tcPr>
            <w:tcW w:w="971" w:type="dxa"/>
          </w:tcPr>
          <w:p w14:paraId="406AAA99" w14:textId="390B0378"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0.6631</w:t>
            </w:r>
          </w:p>
        </w:tc>
        <w:tc>
          <w:tcPr>
            <w:tcW w:w="1661" w:type="dxa"/>
          </w:tcPr>
          <w:p w14:paraId="2D32F378" w14:textId="234F1FB4"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5171.21</w:t>
            </w:r>
          </w:p>
        </w:tc>
        <w:tc>
          <w:tcPr>
            <w:tcW w:w="953" w:type="dxa"/>
          </w:tcPr>
          <w:p w14:paraId="571F8C6B" w14:textId="188DEC5B"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9.2860</w:t>
            </w:r>
          </w:p>
        </w:tc>
        <w:tc>
          <w:tcPr>
            <w:tcW w:w="1139" w:type="dxa"/>
          </w:tcPr>
          <w:p w14:paraId="705AC0BB" w14:textId="7CC95AC1"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26427463" w14:textId="61974AE5"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52AA6BF5" w14:textId="5E77C5CB" w:rsidTr="007E2DA9">
        <w:tc>
          <w:tcPr>
            <w:tcW w:w="969" w:type="dxa"/>
          </w:tcPr>
          <w:p w14:paraId="0F37794A" w14:textId="556FDDAF"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VAT</w:t>
            </w:r>
          </w:p>
        </w:tc>
        <w:tc>
          <w:tcPr>
            <w:tcW w:w="1164" w:type="dxa"/>
          </w:tcPr>
          <w:p w14:paraId="5E34CC05" w14:textId="7052C241"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-0.1106</w:t>
            </w:r>
          </w:p>
        </w:tc>
        <w:tc>
          <w:tcPr>
            <w:tcW w:w="971" w:type="dxa"/>
          </w:tcPr>
          <w:p w14:paraId="2A83C83D" w14:textId="09F5988F"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0.0146</w:t>
            </w:r>
          </w:p>
        </w:tc>
        <w:tc>
          <w:tcPr>
            <w:tcW w:w="1661" w:type="dxa"/>
          </w:tcPr>
          <w:p w14:paraId="6FFAA422" w14:textId="1DD88E1C"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8362.58</w:t>
            </w:r>
          </w:p>
        </w:tc>
        <w:tc>
          <w:tcPr>
            <w:tcW w:w="953" w:type="dxa"/>
          </w:tcPr>
          <w:p w14:paraId="1CA59FA2" w14:textId="29CDDD98"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-7.5659</w:t>
            </w:r>
          </w:p>
        </w:tc>
        <w:tc>
          <w:tcPr>
            <w:tcW w:w="1139" w:type="dxa"/>
          </w:tcPr>
          <w:p w14:paraId="18E9CAAB" w14:textId="2AC4F755"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33EBE6B2" w14:textId="2612D0B9"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r w:rsidR="00F604E3" w14:paraId="4F4CD7B5" w14:textId="7BFE0E5B" w:rsidTr="007E2DA9">
        <w:tc>
          <w:tcPr>
            <w:tcW w:w="969" w:type="dxa"/>
          </w:tcPr>
          <w:p w14:paraId="4E25437F" w14:textId="53603D34" w:rsidR="00F604E3" w:rsidRDefault="00F604E3"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TD</w:t>
            </w:r>
          </w:p>
        </w:tc>
        <w:tc>
          <w:tcPr>
            <w:tcW w:w="1164" w:type="dxa"/>
          </w:tcPr>
          <w:p w14:paraId="069B4352" w14:textId="4C2ECFA5"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50.2522</w:t>
            </w:r>
          </w:p>
        </w:tc>
        <w:tc>
          <w:tcPr>
            <w:tcW w:w="971" w:type="dxa"/>
          </w:tcPr>
          <w:p w14:paraId="0D724EA6" w14:textId="454E38EF"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4.5207</w:t>
            </w:r>
          </w:p>
        </w:tc>
        <w:tc>
          <w:tcPr>
            <w:tcW w:w="1661" w:type="dxa"/>
          </w:tcPr>
          <w:p w14:paraId="6FD67B5A" w14:textId="670AEE3E"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4440.34</w:t>
            </w:r>
          </w:p>
        </w:tc>
        <w:tc>
          <w:tcPr>
            <w:tcW w:w="953" w:type="dxa"/>
          </w:tcPr>
          <w:p w14:paraId="753FF012" w14:textId="1EE227B9"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11.1160</w:t>
            </w:r>
          </w:p>
        </w:tc>
        <w:tc>
          <w:tcPr>
            <w:tcW w:w="1139" w:type="dxa"/>
          </w:tcPr>
          <w:p w14:paraId="30E9E477" w14:textId="5B9D2CD8"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0.000</w:t>
            </w:r>
          </w:p>
        </w:tc>
        <w:tc>
          <w:tcPr>
            <w:tcW w:w="1176" w:type="dxa"/>
          </w:tcPr>
          <w:p w14:paraId="5C79B523" w14:textId="1420AB0D" w:rsidR="00F604E3" w:rsidRDefault="00326E80" w:rsidP="00706DE2">
            <w:pPr>
              <w:widowControl/>
              <w:spacing w:line="276" w:lineRule="auto"/>
              <w:jc w:val="both"/>
              <w:rPr>
                <w:rFonts w:asciiTheme="minorHAnsi" w:hAnsiTheme="minorHAnsi" w:cstheme="minorHAnsi"/>
                <w:bCs/>
                <w:lang w:val="en-GB"/>
              </w:rPr>
            </w:pPr>
            <w:r>
              <w:rPr>
                <w:rFonts w:asciiTheme="minorHAnsi" w:hAnsiTheme="minorHAnsi" w:cstheme="minorHAnsi"/>
                <w:bCs/>
                <w:lang w:val="en-GB"/>
              </w:rPr>
              <w:t>***</w:t>
            </w:r>
          </w:p>
        </w:tc>
      </w:tr>
    </w:tbl>
    <w:p w14:paraId="69A5F1E2" w14:textId="77777777" w:rsidR="00706DE2" w:rsidRPr="00187A0D" w:rsidRDefault="00706DE2" w:rsidP="00706DE2">
      <w:pPr>
        <w:widowControl/>
        <w:spacing w:line="276" w:lineRule="auto"/>
        <w:jc w:val="both"/>
        <w:rPr>
          <w:rFonts w:asciiTheme="minorHAnsi" w:hAnsiTheme="minorHAnsi" w:cstheme="minorHAnsi"/>
          <w:bCs/>
          <w:lang w:val="en-GB"/>
        </w:rPr>
      </w:pPr>
    </w:p>
    <w:p w14:paraId="13536CAA" w14:textId="5C757E49" w:rsidR="00187A0D" w:rsidRDefault="00C80858" w:rsidP="000A2307">
      <w:pPr>
        <w:widowControl/>
        <w:spacing w:line="276" w:lineRule="auto"/>
        <w:ind w:firstLine="360"/>
        <w:jc w:val="both"/>
        <w:rPr>
          <w:rFonts w:asciiTheme="minorHAnsi" w:hAnsiTheme="minorHAnsi" w:cstheme="minorHAnsi"/>
          <w:bCs/>
          <w:lang w:val="en-GB"/>
        </w:rPr>
      </w:pPr>
      <w:r w:rsidRPr="006C59A3">
        <w:rPr>
          <w:rFonts w:asciiTheme="minorHAnsi" w:hAnsiTheme="minorHAnsi" w:cstheme="minorHAnsi"/>
          <w:bCs/>
          <w:lang w:val="en-GB"/>
        </w:rPr>
        <w:t xml:space="preserve">Beyond the confirmation of the importance of the differences between the two organization types generally, one of the most important takeaways is we </w:t>
      </w:r>
      <w:r w:rsidR="006C59A3" w:rsidRPr="006C59A3">
        <w:rPr>
          <w:rFonts w:asciiTheme="minorHAnsi" w:hAnsiTheme="minorHAnsi" w:cstheme="minorHAnsi"/>
          <w:bCs/>
          <w:lang w:val="en-GB"/>
        </w:rPr>
        <w:t xml:space="preserve">are not able to reject the possibility </w:t>
      </w:r>
      <w:r w:rsidRPr="006C59A3">
        <w:rPr>
          <w:rFonts w:asciiTheme="minorHAnsi" w:hAnsiTheme="minorHAnsi" w:cstheme="minorHAnsi"/>
          <w:bCs/>
          <w:lang w:val="en-GB"/>
        </w:rPr>
        <w:t xml:space="preserve">that the difference in means in the equity multiplier is not </w:t>
      </w:r>
      <w:r w:rsidR="006C59A3" w:rsidRPr="006C59A3">
        <w:rPr>
          <w:rFonts w:asciiTheme="minorHAnsi" w:hAnsiTheme="minorHAnsi" w:cstheme="minorHAnsi"/>
          <w:bCs/>
          <w:lang w:val="en-GB"/>
        </w:rPr>
        <w:t xml:space="preserve">zero. Since the gap in the equity multiplier appeared to have a worrying jump in liability exposure for SCs compared to PLCs, these findings ease the concern.  </w:t>
      </w:r>
      <w:r w:rsidRPr="006C59A3">
        <w:rPr>
          <w:rFonts w:asciiTheme="minorHAnsi" w:hAnsiTheme="minorHAnsi" w:cstheme="minorHAnsi"/>
          <w:bCs/>
          <w:lang w:val="en-GB"/>
        </w:rPr>
        <w:t xml:space="preserve"> </w:t>
      </w:r>
    </w:p>
    <w:p w14:paraId="58B11F0C" w14:textId="77777777" w:rsidR="00BA6817" w:rsidRDefault="00BA6817" w:rsidP="000A2307">
      <w:pPr>
        <w:widowControl/>
        <w:spacing w:line="276" w:lineRule="auto"/>
        <w:ind w:firstLine="360"/>
        <w:jc w:val="both"/>
        <w:rPr>
          <w:rFonts w:asciiTheme="minorHAnsi" w:hAnsiTheme="minorHAnsi" w:cstheme="minorHAnsi"/>
          <w:bCs/>
          <w:lang w:val="en-GB"/>
        </w:rPr>
        <w:sectPr w:rsidR="00BA6817" w:rsidSect="00567B01">
          <w:headerReference w:type="even" r:id="rId30"/>
          <w:headerReference w:type="default" r:id="rId31"/>
          <w:footerReference w:type="even" r:id="rId32"/>
          <w:footerReference w:type="default" r:id="rId33"/>
          <w:headerReference w:type="first" r:id="rId34"/>
          <w:footerReference w:type="first" r:id="rId35"/>
          <w:pgSz w:w="10773" w:h="14742"/>
          <w:pgMar w:top="1440" w:right="1440" w:bottom="1440" w:left="1440" w:header="510" w:footer="907" w:gutter="0"/>
          <w:pgNumType w:start="1"/>
          <w:cols w:space="720"/>
          <w:titlePg/>
          <w:docGrid w:linePitch="272"/>
        </w:sectPr>
      </w:pPr>
    </w:p>
    <w:p w14:paraId="08D57232" w14:textId="07F0EDA3" w:rsidR="00295D58" w:rsidRPr="007E2DA9" w:rsidRDefault="00295D58" w:rsidP="00295D58">
      <w:pPr>
        <w:autoSpaceDE w:val="0"/>
        <w:autoSpaceDN w:val="0"/>
        <w:adjustRightInd w:val="0"/>
        <w:rPr>
          <w:rFonts w:asciiTheme="minorHAnsi" w:hAnsiTheme="minorHAnsi" w:cstheme="minorHAnsi"/>
        </w:rPr>
      </w:pPr>
      <w:r w:rsidRPr="007E2DA9">
        <w:rPr>
          <w:rFonts w:asciiTheme="minorHAnsi" w:hAnsiTheme="minorHAnsi" w:cstheme="minorHAnsi"/>
        </w:rPr>
        <w:lastRenderedPageBreak/>
        <w:t xml:space="preserve">Table </w:t>
      </w:r>
      <w:r w:rsidR="00080C6C" w:rsidRPr="007E2DA9">
        <w:rPr>
          <w:rFonts w:asciiTheme="minorHAnsi" w:hAnsiTheme="minorHAnsi" w:cstheme="minorHAnsi"/>
        </w:rPr>
        <w:t>7</w:t>
      </w:r>
      <w:r w:rsidRPr="007E2DA9">
        <w:rPr>
          <w:rFonts w:asciiTheme="minorHAnsi" w:hAnsiTheme="minorHAnsi" w:cstheme="minorHAnsi"/>
        </w:rPr>
        <w:t>.</w:t>
      </w:r>
      <w:r w:rsidRPr="007E2DA9">
        <w:rPr>
          <w:rFonts w:asciiTheme="minorHAnsi" w:hAnsiTheme="minorHAnsi" w:cstheme="minorHAnsi"/>
        </w:rPr>
        <w:tab/>
        <w:t>Role of Corporate Form in Performance</w:t>
      </w:r>
    </w:p>
    <w:p w14:paraId="7F8A8BFA" w14:textId="77777777" w:rsidR="00295D58" w:rsidRPr="007E2DA9" w:rsidRDefault="00295D58" w:rsidP="00295D58">
      <w:pPr>
        <w:autoSpaceDE w:val="0"/>
        <w:autoSpaceDN w:val="0"/>
        <w:adjustRightInd w:val="0"/>
        <w:jc w:val="center"/>
        <w:rPr>
          <w:rFonts w:asciiTheme="minorHAnsi" w:hAnsiTheme="minorHAnsi" w:cstheme="minorHAnsi"/>
        </w:rPr>
      </w:pPr>
    </w:p>
    <w:tbl>
      <w:tblPr>
        <w:tblW w:w="12690" w:type="dxa"/>
        <w:jc w:val="center"/>
        <w:tblLayout w:type="fixed"/>
        <w:tblCellMar>
          <w:left w:w="75" w:type="dxa"/>
          <w:right w:w="75" w:type="dxa"/>
        </w:tblCellMar>
        <w:tblLook w:val="0000" w:firstRow="0" w:lastRow="0" w:firstColumn="0" w:lastColumn="0" w:noHBand="0" w:noVBand="0"/>
      </w:tblPr>
      <w:tblGrid>
        <w:gridCol w:w="1440"/>
        <w:gridCol w:w="1440"/>
        <w:gridCol w:w="1170"/>
        <w:gridCol w:w="1170"/>
        <w:gridCol w:w="1080"/>
        <w:gridCol w:w="1080"/>
        <w:gridCol w:w="1260"/>
        <w:gridCol w:w="1440"/>
        <w:gridCol w:w="1260"/>
        <w:gridCol w:w="1350"/>
      </w:tblGrid>
      <w:tr w:rsidR="00295D58" w:rsidRPr="007E2DA9" w14:paraId="70C6F6FE" w14:textId="77777777" w:rsidTr="007E2DA9">
        <w:trPr>
          <w:jc w:val="center"/>
        </w:trPr>
        <w:tc>
          <w:tcPr>
            <w:tcW w:w="1440" w:type="dxa"/>
            <w:tcBorders>
              <w:top w:val="single" w:sz="6" w:space="0" w:color="auto"/>
              <w:left w:val="nil"/>
              <w:bottom w:val="nil"/>
              <w:right w:val="nil"/>
            </w:tcBorders>
          </w:tcPr>
          <w:p w14:paraId="0128EF49"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single" w:sz="6" w:space="0" w:color="auto"/>
              <w:left w:val="nil"/>
              <w:bottom w:val="nil"/>
              <w:right w:val="nil"/>
            </w:tcBorders>
          </w:tcPr>
          <w:p w14:paraId="1A70619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w:t>
            </w:r>
          </w:p>
        </w:tc>
        <w:tc>
          <w:tcPr>
            <w:tcW w:w="1170" w:type="dxa"/>
            <w:tcBorders>
              <w:top w:val="single" w:sz="6" w:space="0" w:color="auto"/>
              <w:left w:val="nil"/>
              <w:bottom w:val="nil"/>
              <w:right w:val="nil"/>
            </w:tcBorders>
          </w:tcPr>
          <w:p w14:paraId="645BCB4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w:t>
            </w:r>
          </w:p>
        </w:tc>
        <w:tc>
          <w:tcPr>
            <w:tcW w:w="1170" w:type="dxa"/>
            <w:tcBorders>
              <w:top w:val="single" w:sz="6" w:space="0" w:color="auto"/>
              <w:left w:val="nil"/>
              <w:bottom w:val="nil"/>
              <w:right w:val="nil"/>
            </w:tcBorders>
          </w:tcPr>
          <w:p w14:paraId="3092FCD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w:t>
            </w:r>
          </w:p>
        </w:tc>
        <w:tc>
          <w:tcPr>
            <w:tcW w:w="1080" w:type="dxa"/>
            <w:tcBorders>
              <w:top w:val="single" w:sz="6" w:space="0" w:color="auto"/>
              <w:left w:val="nil"/>
              <w:bottom w:val="nil"/>
              <w:right w:val="nil"/>
            </w:tcBorders>
          </w:tcPr>
          <w:p w14:paraId="11FB68C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w:t>
            </w:r>
          </w:p>
        </w:tc>
        <w:tc>
          <w:tcPr>
            <w:tcW w:w="1080" w:type="dxa"/>
            <w:tcBorders>
              <w:top w:val="single" w:sz="6" w:space="0" w:color="auto"/>
              <w:left w:val="nil"/>
              <w:bottom w:val="nil"/>
              <w:right w:val="nil"/>
            </w:tcBorders>
          </w:tcPr>
          <w:p w14:paraId="74EF607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w:t>
            </w:r>
          </w:p>
        </w:tc>
        <w:tc>
          <w:tcPr>
            <w:tcW w:w="1260" w:type="dxa"/>
            <w:tcBorders>
              <w:top w:val="single" w:sz="6" w:space="0" w:color="auto"/>
              <w:left w:val="nil"/>
              <w:bottom w:val="nil"/>
              <w:right w:val="nil"/>
            </w:tcBorders>
          </w:tcPr>
          <w:p w14:paraId="1E55EFE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w:t>
            </w:r>
          </w:p>
        </w:tc>
        <w:tc>
          <w:tcPr>
            <w:tcW w:w="1440" w:type="dxa"/>
            <w:tcBorders>
              <w:top w:val="single" w:sz="6" w:space="0" w:color="auto"/>
              <w:left w:val="nil"/>
              <w:bottom w:val="nil"/>
              <w:right w:val="nil"/>
            </w:tcBorders>
          </w:tcPr>
          <w:p w14:paraId="61E1763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w:t>
            </w:r>
          </w:p>
        </w:tc>
        <w:tc>
          <w:tcPr>
            <w:tcW w:w="1260" w:type="dxa"/>
            <w:tcBorders>
              <w:top w:val="single" w:sz="6" w:space="0" w:color="auto"/>
              <w:left w:val="nil"/>
              <w:bottom w:val="nil"/>
              <w:right w:val="nil"/>
            </w:tcBorders>
          </w:tcPr>
          <w:p w14:paraId="2180FB2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(8)</w:t>
            </w:r>
          </w:p>
        </w:tc>
        <w:tc>
          <w:tcPr>
            <w:tcW w:w="1350" w:type="dxa"/>
            <w:tcBorders>
              <w:top w:val="single" w:sz="6" w:space="0" w:color="auto"/>
              <w:left w:val="nil"/>
              <w:bottom w:val="nil"/>
              <w:right w:val="nil"/>
            </w:tcBorders>
          </w:tcPr>
          <w:p w14:paraId="6C2F61C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w:t>
            </w:r>
          </w:p>
        </w:tc>
      </w:tr>
      <w:tr w:rsidR="00295D58" w:rsidRPr="007E2DA9" w14:paraId="0D321BA9" w14:textId="77777777" w:rsidTr="007E2DA9">
        <w:trPr>
          <w:jc w:val="center"/>
        </w:trPr>
        <w:tc>
          <w:tcPr>
            <w:tcW w:w="1440" w:type="dxa"/>
            <w:tcBorders>
              <w:top w:val="nil"/>
              <w:left w:val="nil"/>
              <w:bottom w:val="single" w:sz="6" w:space="0" w:color="auto"/>
              <w:right w:val="nil"/>
            </w:tcBorders>
          </w:tcPr>
          <w:p w14:paraId="1BFE571A" w14:textId="14FB0182"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VAR</w:t>
            </w:r>
          </w:p>
        </w:tc>
        <w:tc>
          <w:tcPr>
            <w:tcW w:w="1440" w:type="dxa"/>
            <w:tcBorders>
              <w:top w:val="nil"/>
              <w:left w:val="nil"/>
              <w:bottom w:val="single" w:sz="6" w:space="0" w:color="auto"/>
              <w:right w:val="nil"/>
            </w:tcBorders>
          </w:tcPr>
          <w:p w14:paraId="0760386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Current Ratio</w:t>
            </w:r>
          </w:p>
        </w:tc>
        <w:tc>
          <w:tcPr>
            <w:tcW w:w="1170" w:type="dxa"/>
            <w:tcBorders>
              <w:top w:val="nil"/>
              <w:left w:val="nil"/>
              <w:bottom w:val="single" w:sz="6" w:space="0" w:color="auto"/>
              <w:right w:val="nil"/>
            </w:tcBorders>
          </w:tcPr>
          <w:p w14:paraId="11612EA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Warranty Ratio</w:t>
            </w:r>
          </w:p>
        </w:tc>
        <w:tc>
          <w:tcPr>
            <w:tcW w:w="1170" w:type="dxa"/>
            <w:tcBorders>
              <w:top w:val="nil"/>
              <w:left w:val="nil"/>
              <w:bottom w:val="single" w:sz="6" w:space="0" w:color="auto"/>
              <w:right w:val="nil"/>
            </w:tcBorders>
          </w:tcPr>
          <w:p w14:paraId="58475E9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Equity Multiplier</w:t>
            </w:r>
          </w:p>
        </w:tc>
        <w:tc>
          <w:tcPr>
            <w:tcW w:w="1080" w:type="dxa"/>
            <w:tcBorders>
              <w:top w:val="nil"/>
              <w:left w:val="nil"/>
              <w:bottom w:val="single" w:sz="6" w:space="0" w:color="auto"/>
              <w:right w:val="nil"/>
            </w:tcBorders>
          </w:tcPr>
          <w:p w14:paraId="45056B6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ROA</w:t>
            </w:r>
          </w:p>
        </w:tc>
        <w:tc>
          <w:tcPr>
            <w:tcW w:w="1080" w:type="dxa"/>
            <w:tcBorders>
              <w:top w:val="nil"/>
              <w:left w:val="nil"/>
              <w:bottom w:val="single" w:sz="6" w:space="0" w:color="auto"/>
              <w:right w:val="nil"/>
            </w:tcBorders>
          </w:tcPr>
          <w:p w14:paraId="7BF5208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ROI</w:t>
            </w:r>
          </w:p>
        </w:tc>
        <w:tc>
          <w:tcPr>
            <w:tcW w:w="1260" w:type="dxa"/>
            <w:tcBorders>
              <w:top w:val="nil"/>
              <w:left w:val="nil"/>
              <w:bottom w:val="single" w:sz="6" w:space="0" w:color="auto"/>
              <w:right w:val="nil"/>
            </w:tcBorders>
          </w:tcPr>
          <w:p w14:paraId="05ED04E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SFC</w:t>
            </w:r>
          </w:p>
        </w:tc>
        <w:tc>
          <w:tcPr>
            <w:tcW w:w="1440" w:type="dxa"/>
            <w:tcBorders>
              <w:top w:val="nil"/>
              <w:left w:val="nil"/>
              <w:bottom w:val="single" w:sz="6" w:space="0" w:color="auto"/>
              <w:right w:val="nil"/>
            </w:tcBorders>
          </w:tcPr>
          <w:p w14:paraId="70E0E3B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Value Added xEmployee</w:t>
            </w:r>
          </w:p>
        </w:tc>
        <w:tc>
          <w:tcPr>
            <w:tcW w:w="1260" w:type="dxa"/>
            <w:tcBorders>
              <w:top w:val="nil"/>
              <w:left w:val="nil"/>
              <w:bottom w:val="single" w:sz="6" w:space="0" w:color="auto"/>
              <w:right w:val="nil"/>
            </w:tcBorders>
          </w:tcPr>
          <w:p w14:paraId="7E8C8AE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VAT</w:t>
            </w:r>
          </w:p>
        </w:tc>
        <w:tc>
          <w:tcPr>
            <w:tcW w:w="1350" w:type="dxa"/>
            <w:tcBorders>
              <w:top w:val="nil"/>
              <w:left w:val="nil"/>
              <w:bottom w:val="single" w:sz="6" w:space="0" w:color="auto"/>
              <w:right w:val="nil"/>
            </w:tcBorders>
          </w:tcPr>
          <w:p w14:paraId="70B93BA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TD</w:t>
            </w:r>
          </w:p>
        </w:tc>
      </w:tr>
      <w:tr w:rsidR="00295D58" w:rsidRPr="007E2DA9" w14:paraId="335C4078" w14:textId="77777777" w:rsidTr="007E2DA9">
        <w:trPr>
          <w:jc w:val="center"/>
        </w:trPr>
        <w:tc>
          <w:tcPr>
            <w:tcW w:w="1440" w:type="dxa"/>
            <w:tcBorders>
              <w:top w:val="nil"/>
              <w:left w:val="nil"/>
              <w:bottom w:val="nil"/>
              <w:right w:val="nil"/>
            </w:tcBorders>
          </w:tcPr>
          <w:p w14:paraId="565BD977"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1CB2977A" w14:textId="77777777" w:rsidR="00295D58" w:rsidRPr="007E2DA9" w:rsidRDefault="00295D58" w:rsidP="00400389">
            <w:pPr>
              <w:autoSpaceDE w:val="0"/>
              <w:autoSpaceDN w:val="0"/>
              <w:adjustRightInd w:val="0"/>
              <w:jc w:val="center"/>
              <w:rPr>
                <w:rFonts w:asciiTheme="minorHAnsi" w:hAnsiTheme="minorHAnsi" w:cstheme="minorHAnsi"/>
              </w:rPr>
            </w:pPr>
          </w:p>
        </w:tc>
        <w:tc>
          <w:tcPr>
            <w:tcW w:w="1170" w:type="dxa"/>
            <w:tcBorders>
              <w:top w:val="nil"/>
              <w:left w:val="nil"/>
              <w:bottom w:val="nil"/>
              <w:right w:val="nil"/>
            </w:tcBorders>
          </w:tcPr>
          <w:p w14:paraId="0A69F6B8" w14:textId="77777777" w:rsidR="00295D58" w:rsidRPr="007E2DA9" w:rsidRDefault="00295D58" w:rsidP="00400389">
            <w:pPr>
              <w:autoSpaceDE w:val="0"/>
              <w:autoSpaceDN w:val="0"/>
              <w:adjustRightInd w:val="0"/>
              <w:jc w:val="center"/>
              <w:rPr>
                <w:rFonts w:asciiTheme="minorHAnsi" w:hAnsiTheme="minorHAnsi" w:cstheme="minorHAnsi"/>
              </w:rPr>
            </w:pPr>
          </w:p>
        </w:tc>
        <w:tc>
          <w:tcPr>
            <w:tcW w:w="1170" w:type="dxa"/>
            <w:tcBorders>
              <w:top w:val="nil"/>
              <w:left w:val="nil"/>
              <w:bottom w:val="nil"/>
              <w:right w:val="nil"/>
            </w:tcBorders>
          </w:tcPr>
          <w:p w14:paraId="1E2AAAB1" w14:textId="77777777" w:rsidR="00295D58" w:rsidRPr="007E2DA9" w:rsidRDefault="00295D58" w:rsidP="00400389">
            <w:pPr>
              <w:autoSpaceDE w:val="0"/>
              <w:autoSpaceDN w:val="0"/>
              <w:adjustRightInd w:val="0"/>
              <w:jc w:val="center"/>
              <w:rPr>
                <w:rFonts w:asciiTheme="minorHAnsi" w:hAnsiTheme="minorHAnsi" w:cstheme="minorHAnsi"/>
              </w:rPr>
            </w:pPr>
          </w:p>
        </w:tc>
        <w:tc>
          <w:tcPr>
            <w:tcW w:w="1080" w:type="dxa"/>
            <w:tcBorders>
              <w:top w:val="nil"/>
              <w:left w:val="nil"/>
              <w:bottom w:val="nil"/>
              <w:right w:val="nil"/>
            </w:tcBorders>
          </w:tcPr>
          <w:p w14:paraId="65E30477" w14:textId="77777777" w:rsidR="00295D58" w:rsidRPr="007E2DA9" w:rsidRDefault="00295D58" w:rsidP="00400389">
            <w:pPr>
              <w:autoSpaceDE w:val="0"/>
              <w:autoSpaceDN w:val="0"/>
              <w:adjustRightInd w:val="0"/>
              <w:jc w:val="center"/>
              <w:rPr>
                <w:rFonts w:asciiTheme="minorHAnsi" w:hAnsiTheme="minorHAnsi" w:cstheme="minorHAnsi"/>
              </w:rPr>
            </w:pPr>
          </w:p>
        </w:tc>
        <w:tc>
          <w:tcPr>
            <w:tcW w:w="1080" w:type="dxa"/>
            <w:tcBorders>
              <w:top w:val="nil"/>
              <w:left w:val="nil"/>
              <w:bottom w:val="nil"/>
              <w:right w:val="nil"/>
            </w:tcBorders>
          </w:tcPr>
          <w:p w14:paraId="512F43F6" w14:textId="77777777" w:rsidR="00295D58" w:rsidRPr="007E2DA9" w:rsidRDefault="00295D58" w:rsidP="00400389">
            <w:pPr>
              <w:autoSpaceDE w:val="0"/>
              <w:autoSpaceDN w:val="0"/>
              <w:adjustRightInd w:val="0"/>
              <w:jc w:val="center"/>
              <w:rPr>
                <w:rFonts w:asciiTheme="minorHAnsi" w:hAnsiTheme="minorHAnsi" w:cstheme="minorHAnsi"/>
              </w:rPr>
            </w:pPr>
          </w:p>
        </w:tc>
        <w:tc>
          <w:tcPr>
            <w:tcW w:w="1260" w:type="dxa"/>
            <w:tcBorders>
              <w:top w:val="nil"/>
              <w:left w:val="nil"/>
              <w:bottom w:val="nil"/>
              <w:right w:val="nil"/>
            </w:tcBorders>
          </w:tcPr>
          <w:p w14:paraId="1D4F2270" w14:textId="77777777" w:rsidR="00295D58" w:rsidRPr="007E2DA9" w:rsidRDefault="00295D58" w:rsidP="00400389">
            <w:pPr>
              <w:autoSpaceDE w:val="0"/>
              <w:autoSpaceDN w:val="0"/>
              <w:adjustRightInd w:val="0"/>
              <w:jc w:val="center"/>
              <w:rPr>
                <w:rFonts w:asciiTheme="minorHAnsi" w:hAnsiTheme="minorHAnsi" w:cstheme="minorHAnsi"/>
              </w:rPr>
            </w:pPr>
          </w:p>
        </w:tc>
        <w:tc>
          <w:tcPr>
            <w:tcW w:w="1440" w:type="dxa"/>
            <w:tcBorders>
              <w:top w:val="nil"/>
              <w:left w:val="nil"/>
              <w:bottom w:val="nil"/>
              <w:right w:val="nil"/>
            </w:tcBorders>
          </w:tcPr>
          <w:p w14:paraId="7FE8F601" w14:textId="77777777" w:rsidR="00295D58" w:rsidRPr="007E2DA9" w:rsidRDefault="00295D58" w:rsidP="00400389">
            <w:pPr>
              <w:autoSpaceDE w:val="0"/>
              <w:autoSpaceDN w:val="0"/>
              <w:adjustRightInd w:val="0"/>
              <w:jc w:val="center"/>
              <w:rPr>
                <w:rFonts w:asciiTheme="minorHAnsi" w:hAnsiTheme="minorHAnsi" w:cstheme="minorHAnsi"/>
              </w:rPr>
            </w:pPr>
          </w:p>
        </w:tc>
        <w:tc>
          <w:tcPr>
            <w:tcW w:w="1260" w:type="dxa"/>
            <w:tcBorders>
              <w:top w:val="nil"/>
              <w:left w:val="nil"/>
              <w:bottom w:val="nil"/>
              <w:right w:val="nil"/>
            </w:tcBorders>
          </w:tcPr>
          <w:p w14:paraId="273283F8" w14:textId="77777777" w:rsidR="00295D58" w:rsidRPr="007E2DA9" w:rsidRDefault="00295D58" w:rsidP="00400389">
            <w:pPr>
              <w:autoSpaceDE w:val="0"/>
              <w:autoSpaceDN w:val="0"/>
              <w:adjustRightInd w:val="0"/>
              <w:jc w:val="center"/>
              <w:rPr>
                <w:rFonts w:asciiTheme="minorHAnsi" w:hAnsiTheme="minorHAnsi" w:cstheme="minorHAnsi"/>
              </w:rPr>
            </w:pPr>
          </w:p>
        </w:tc>
        <w:tc>
          <w:tcPr>
            <w:tcW w:w="1350" w:type="dxa"/>
            <w:tcBorders>
              <w:top w:val="nil"/>
              <w:left w:val="nil"/>
              <w:bottom w:val="nil"/>
              <w:right w:val="nil"/>
            </w:tcBorders>
          </w:tcPr>
          <w:p w14:paraId="57FD8175" w14:textId="77777777" w:rsidR="00295D58" w:rsidRPr="007E2DA9" w:rsidRDefault="00295D58" w:rsidP="00400389">
            <w:pPr>
              <w:autoSpaceDE w:val="0"/>
              <w:autoSpaceDN w:val="0"/>
              <w:adjustRightInd w:val="0"/>
              <w:jc w:val="center"/>
              <w:rPr>
                <w:rFonts w:asciiTheme="minorHAnsi" w:hAnsiTheme="minorHAnsi" w:cstheme="minorHAnsi"/>
              </w:rPr>
            </w:pPr>
          </w:p>
        </w:tc>
      </w:tr>
      <w:tr w:rsidR="00295D58" w:rsidRPr="007E2DA9" w14:paraId="02E30725" w14:textId="77777777" w:rsidTr="007E2DA9">
        <w:trPr>
          <w:jc w:val="center"/>
        </w:trPr>
        <w:tc>
          <w:tcPr>
            <w:tcW w:w="1440" w:type="dxa"/>
            <w:tcBorders>
              <w:top w:val="nil"/>
              <w:left w:val="nil"/>
              <w:bottom w:val="nil"/>
              <w:right w:val="nil"/>
            </w:tcBorders>
          </w:tcPr>
          <w:p w14:paraId="752202B3"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SocialCoop</w:t>
            </w:r>
          </w:p>
        </w:tc>
        <w:tc>
          <w:tcPr>
            <w:tcW w:w="1440" w:type="dxa"/>
            <w:tcBorders>
              <w:top w:val="nil"/>
              <w:left w:val="nil"/>
              <w:bottom w:val="nil"/>
              <w:right w:val="nil"/>
            </w:tcBorders>
          </w:tcPr>
          <w:p w14:paraId="34CE755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0.9140***</w:t>
            </w:r>
          </w:p>
        </w:tc>
        <w:tc>
          <w:tcPr>
            <w:tcW w:w="1170" w:type="dxa"/>
            <w:tcBorders>
              <w:top w:val="nil"/>
              <w:left w:val="nil"/>
              <w:bottom w:val="nil"/>
              <w:right w:val="nil"/>
            </w:tcBorders>
          </w:tcPr>
          <w:p w14:paraId="6F77EB5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2.3201***</w:t>
            </w:r>
          </w:p>
        </w:tc>
        <w:tc>
          <w:tcPr>
            <w:tcW w:w="1170" w:type="dxa"/>
            <w:tcBorders>
              <w:top w:val="nil"/>
              <w:left w:val="nil"/>
              <w:bottom w:val="nil"/>
              <w:right w:val="nil"/>
            </w:tcBorders>
          </w:tcPr>
          <w:p w14:paraId="668D0C1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4.1760</w:t>
            </w:r>
          </w:p>
        </w:tc>
        <w:tc>
          <w:tcPr>
            <w:tcW w:w="1080" w:type="dxa"/>
            <w:tcBorders>
              <w:top w:val="nil"/>
              <w:left w:val="nil"/>
              <w:bottom w:val="nil"/>
              <w:right w:val="nil"/>
            </w:tcBorders>
          </w:tcPr>
          <w:p w14:paraId="4C15253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-0.0085</w:t>
            </w:r>
          </w:p>
        </w:tc>
        <w:tc>
          <w:tcPr>
            <w:tcW w:w="1080" w:type="dxa"/>
            <w:tcBorders>
              <w:top w:val="nil"/>
              <w:left w:val="nil"/>
              <w:bottom w:val="nil"/>
              <w:right w:val="nil"/>
            </w:tcBorders>
          </w:tcPr>
          <w:p w14:paraId="6241B9E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-0.0291***</w:t>
            </w:r>
          </w:p>
        </w:tc>
        <w:tc>
          <w:tcPr>
            <w:tcW w:w="1260" w:type="dxa"/>
            <w:tcBorders>
              <w:top w:val="nil"/>
              <w:left w:val="nil"/>
              <w:bottom w:val="nil"/>
              <w:right w:val="nil"/>
            </w:tcBorders>
          </w:tcPr>
          <w:p w14:paraId="0E857D4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-0.0029**</w:t>
            </w:r>
          </w:p>
        </w:tc>
        <w:tc>
          <w:tcPr>
            <w:tcW w:w="1440" w:type="dxa"/>
            <w:tcBorders>
              <w:top w:val="nil"/>
              <w:left w:val="nil"/>
              <w:bottom w:val="nil"/>
              <w:right w:val="nil"/>
            </w:tcBorders>
          </w:tcPr>
          <w:p w14:paraId="3222F22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-5.4521***</w:t>
            </w:r>
          </w:p>
        </w:tc>
        <w:tc>
          <w:tcPr>
            <w:tcW w:w="1260" w:type="dxa"/>
            <w:tcBorders>
              <w:top w:val="nil"/>
              <w:left w:val="nil"/>
              <w:bottom w:val="nil"/>
              <w:right w:val="nil"/>
            </w:tcBorders>
          </w:tcPr>
          <w:p w14:paraId="01B02C8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0.1245***</w:t>
            </w:r>
          </w:p>
        </w:tc>
        <w:tc>
          <w:tcPr>
            <w:tcW w:w="1350" w:type="dxa"/>
            <w:tcBorders>
              <w:top w:val="nil"/>
              <w:left w:val="nil"/>
              <w:bottom w:val="nil"/>
              <w:right w:val="nil"/>
            </w:tcBorders>
          </w:tcPr>
          <w:p w14:paraId="5EA88AD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-42.7078***</w:t>
            </w:r>
          </w:p>
        </w:tc>
      </w:tr>
      <w:tr w:rsidR="00295D58" w:rsidRPr="007E2DA9" w14:paraId="6A9B086B" w14:textId="77777777" w:rsidTr="007E2DA9">
        <w:trPr>
          <w:jc w:val="center"/>
        </w:trPr>
        <w:tc>
          <w:tcPr>
            <w:tcW w:w="1440" w:type="dxa"/>
            <w:tcBorders>
              <w:top w:val="nil"/>
              <w:left w:val="nil"/>
              <w:bottom w:val="nil"/>
              <w:right w:val="nil"/>
            </w:tcBorders>
          </w:tcPr>
          <w:p w14:paraId="5A95C0ED"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3E171D9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(0.173)</w:t>
            </w:r>
          </w:p>
        </w:tc>
        <w:tc>
          <w:tcPr>
            <w:tcW w:w="1170" w:type="dxa"/>
            <w:tcBorders>
              <w:top w:val="nil"/>
              <w:left w:val="nil"/>
              <w:bottom w:val="nil"/>
              <w:right w:val="nil"/>
            </w:tcBorders>
          </w:tcPr>
          <w:p w14:paraId="17D6098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(0.796)</w:t>
            </w:r>
          </w:p>
        </w:tc>
        <w:tc>
          <w:tcPr>
            <w:tcW w:w="1170" w:type="dxa"/>
            <w:tcBorders>
              <w:top w:val="nil"/>
              <w:left w:val="nil"/>
              <w:bottom w:val="nil"/>
              <w:right w:val="nil"/>
            </w:tcBorders>
          </w:tcPr>
          <w:p w14:paraId="0937A52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(4.909)</w:t>
            </w:r>
          </w:p>
        </w:tc>
        <w:tc>
          <w:tcPr>
            <w:tcW w:w="1080" w:type="dxa"/>
            <w:tcBorders>
              <w:top w:val="nil"/>
              <w:left w:val="nil"/>
              <w:bottom w:val="nil"/>
              <w:right w:val="nil"/>
            </w:tcBorders>
          </w:tcPr>
          <w:p w14:paraId="36C7BCB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(0.006)</w:t>
            </w:r>
          </w:p>
        </w:tc>
        <w:tc>
          <w:tcPr>
            <w:tcW w:w="1080" w:type="dxa"/>
            <w:tcBorders>
              <w:top w:val="nil"/>
              <w:left w:val="nil"/>
              <w:bottom w:val="nil"/>
              <w:right w:val="nil"/>
            </w:tcBorders>
          </w:tcPr>
          <w:p w14:paraId="279F490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(0.006)</w:t>
            </w:r>
          </w:p>
        </w:tc>
        <w:tc>
          <w:tcPr>
            <w:tcW w:w="1260" w:type="dxa"/>
            <w:tcBorders>
              <w:top w:val="nil"/>
              <w:left w:val="nil"/>
              <w:bottom w:val="nil"/>
              <w:right w:val="nil"/>
            </w:tcBorders>
          </w:tcPr>
          <w:p w14:paraId="24C1E3F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3D52703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(0.926)</w:t>
            </w:r>
          </w:p>
        </w:tc>
        <w:tc>
          <w:tcPr>
            <w:tcW w:w="1260" w:type="dxa"/>
            <w:tcBorders>
              <w:top w:val="nil"/>
              <w:left w:val="nil"/>
              <w:bottom w:val="nil"/>
              <w:right w:val="nil"/>
            </w:tcBorders>
          </w:tcPr>
          <w:p w14:paraId="1EA6C0E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(0.034)</w:t>
            </w:r>
          </w:p>
        </w:tc>
        <w:tc>
          <w:tcPr>
            <w:tcW w:w="1350" w:type="dxa"/>
            <w:tcBorders>
              <w:top w:val="nil"/>
              <w:left w:val="nil"/>
              <w:bottom w:val="nil"/>
              <w:right w:val="nil"/>
            </w:tcBorders>
          </w:tcPr>
          <w:p w14:paraId="7E42FAC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(6.193)</w:t>
            </w:r>
          </w:p>
        </w:tc>
      </w:tr>
      <w:tr w:rsidR="00295D58" w:rsidRPr="007E2DA9" w14:paraId="165FAED7" w14:textId="77777777" w:rsidTr="007E2DA9">
        <w:trPr>
          <w:jc w:val="center"/>
        </w:trPr>
        <w:tc>
          <w:tcPr>
            <w:tcW w:w="1440" w:type="dxa"/>
            <w:tcBorders>
              <w:top w:val="nil"/>
              <w:left w:val="nil"/>
              <w:bottom w:val="nil"/>
              <w:right w:val="nil"/>
            </w:tcBorders>
          </w:tcPr>
          <w:p w14:paraId="589EDB31"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2.Subsector</w:t>
            </w:r>
          </w:p>
        </w:tc>
        <w:tc>
          <w:tcPr>
            <w:tcW w:w="1440" w:type="dxa"/>
            <w:tcBorders>
              <w:top w:val="nil"/>
              <w:left w:val="nil"/>
              <w:bottom w:val="nil"/>
              <w:right w:val="nil"/>
            </w:tcBorders>
          </w:tcPr>
          <w:p w14:paraId="614BDD5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-0.6556</w:t>
            </w:r>
          </w:p>
        </w:tc>
        <w:tc>
          <w:tcPr>
            <w:tcW w:w="1170" w:type="dxa"/>
            <w:tcBorders>
              <w:top w:val="nil"/>
              <w:left w:val="nil"/>
              <w:bottom w:val="nil"/>
              <w:right w:val="nil"/>
            </w:tcBorders>
          </w:tcPr>
          <w:p w14:paraId="367713B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-0.9340</w:t>
            </w:r>
          </w:p>
        </w:tc>
        <w:tc>
          <w:tcPr>
            <w:tcW w:w="1170" w:type="dxa"/>
            <w:tcBorders>
              <w:top w:val="nil"/>
              <w:left w:val="nil"/>
              <w:bottom w:val="nil"/>
              <w:right w:val="nil"/>
            </w:tcBorders>
          </w:tcPr>
          <w:p w14:paraId="113C4DC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-0.6053</w:t>
            </w:r>
          </w:p>
        </w:tc>
        <w:tc>
          <w:tcPr>
            <w:tcW w:w="1080" w:type="dxa"/>
            <w:tcBorders>
              <w:top w:val="nil"/>
              <w:left w:val="nil"/>
              <w:bottom w:val="nil"/>
              <w:right w:val="nil"/>
            </w:tcBorders>
          </w:tcPr>
          <w:p w14:paraId="51801C7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-0.0113</w:t>
            </w:r>
          </w:p>
        </w:tc>
        <w:tc>
          <w:tcPr>
            <w:tcW w:w="1080" w:type="dxa"/>
            <w:tcBorders>
              <w:top w:val="nil"/>
              <w:left w:val="nil"/>
              <w:bottom w:val="nil"/>
              <w:right w:val="nil"/>
            </w:tcBorders>
          </w:tcPr>
          <w:p w14:paraId="3AD0C6E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-0.0118</w:t>
            </w:r>
          </w:p>
        </w:tc>
        <w:tc>
          <w:tcPr>
            <w:tcW w:w="1260" w:type="dxa"/>
            <w:tcBorders>
              <w:top w:val="nil"/>
              <w:left w:val="nil"/>
              <w:bottom w:val="nil"/>
              <w:right w:val="nil"/>
            </w:tcBorders>
          </w:tcPr>
          <w:p w14:paraId="766BD5F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0.0009</w:t>
            </w:r>
          </w:p>
        </w:tc>
        <w:tc>
          <w:tcPr>
            <w:tcW w:w="1440" w:type="dxa"/>
            <w:tcBorders>
              <w:top w:val="nil"/>
              <w:left w:val="nil"/>
              <w:bottom w:val="nil"/>
              <w:right w:val="nil"/>
            </w:tcBorders>
          </w:tcPr>
          <w:p w14:paraId="21FD936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-0.2970</w:t>
            </w:r>
          </w:p>
        </w:tc>
        <w:tc>
          <w:tcPr>
            <w:tcW w:w="1260" w:type="dxa"/>
            <w:tcBorders>
              <w:top w:val="nil"/>
              <w:left w:val="nil"/>
              <w:bottom w:val="nil"/>
              <w:right w:val="nil"/>
            </w:tcBorders>
          </w:tcPr>
          <w:p w14:paraId="180D4C6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0.0987</w:t>
            </w:r>
          </w:p>
        </w:tc>
        <w:tc>
          <w:tcPr>
            <w:tcW w:w="1350" w:type="dxa"/>
            <w:tcBorders>
              <w:top w:val="nil"/>
              <w:left w:val="nil"/>
              <w:bottom w:val="nil"/>
              <w:right w:val="nil"/>
            </w:tcBorders>
          </w:tcPr>
          <w:p w14:paraId="5139182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17.0837</w:t>
            </w:r>
          </w:p>
        </w:tc>
      </w:tr>
      <w:tr w:rsidR="00295D58" w:rsidRPr="007E2DA9" w14:paraId="14D119A0" w14:textId="77777777" w:rsidTr="007E2DA9">
        <w:trPr>
          <w:jc w:val="center"/>
        </w:trPr>
        <w:tc>
          <w:tcPr>
            <w:tcW w:w="1440" w:type="dxa"/>
            <w:tcBorders>
              <w:top w:val="nil"/>
              <w:left w:val="nil"/>
              <w:bottom w:val="nil"/>
              <w:right w:val="nil"/>
            </w:tcBorders>
          </w:tcPr>
          <w:p w14:paraId="6FC32374"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C33FF9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(0.458)</w:t>
            </w:r>
          </w:p>
        </w:tc>
        <w:tc>
          <w:tcPr>
            <w:tcW w:w="1170" w:type="dxa"/>
            <w:tcBorders>
              <w:top w:val="nil"/>
              <w:left w:val="nil"/>
              <w:bottom w:val="nil"/>
              <w:right w:val="nil"/>
            </w:tcBorders>
          </w:tcPr>
          <w:p w14:paraId="61E0433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(0.792)</w:t>
            </w:r>
          </w:p>
        </w:tc>
        <w:tc>
          <w:tcPr>
            <w:tcW w:w="1170" w:type="dxa"/>
            <w:tcBorders>
              <w:top w:val="nil"/>
              <w:left w:val="nil"/>
              <w:bottom w:val="nil"/>
              <w:right w:val="nil"/>
            </w:tcBorders>
          </w:tcPr>
          <w:p w14:paraId="737F007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(4.292)</w:t>
            </w:r>
          </w:p>
        </w:tc>
        <w:tc>
          <w:tcPr>
            <w:tcW w:w="1080" w:type="dxa"/>
            <w:tcBorders>
              <w:top w:val="nil"/>
              <w:left w:val="nil"/>
              <w:bottom w:val="nil"/>
              <w:right w:val="nil"/>
            </w:tcBorders>
          </w:tcPr>
          <w:p w14:paraId="6A411E7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(0.014)</w:t>
            </w:r>
          </w:p>
        </w:tc>
        <w:tc>
          <w:tcPr>
            <w:tcW w:w="1080" w:type="dxa"/>
            <w:tcBorders>
              <w:top w:val="nil"/>
              <w:left w:val="nil"/>
              <w:bottom w:val="nil"/>
              <w:right w:val="nil"/>
            </w:tcBorders>
          </w:tcPr>
          <w:p w14:paraId="5F3A50E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(0.015)</w:t>
            </w:r>
          </w:p>
        </w:tc>
        <w:tc>
          <w:tcPr>
            <w:tcW w:w="1260" w:type="dxa"/>
            <w:tcBorders>
              <w:top w:val="nil"/>
              <w:left w:val="nil"/>
              <w:bottom w:val="nil"/>
              <w:right w:val="nil"/>
            </w:tcBorders>
          </w:tcPr>
          <w:p w14:paraId="5B3DDAE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w:t>
            </w:r>
          </w:p>
        </w:tc>
        <w:tc>
          <w:tcPr>
            <w:tcW w:w="1440" w:type="dxa"/>
            <w:tcBorders>
              <w:top w:val="nil"/>
              <w:left w:val="nil"/>
              <w:bottom w:val="nil"/>
              <w:right w:val="nil"/>
            </w:tcBorders>
          </w:tcPr>
          <w:p w14:paraId="6F03798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(2.252)</w:t>
            </w:r>
          </w:p>
        </w:tc>
        <w:tc>
          <w:tcPr>
            <w:tcW w:w="1260" w:type="dxa"/>
            <w:tcBorders>
              <w:top w:val="nil"/>
              <w:left w:val="nil"/>
              <w:bottom w:val="nil"/>
              <w:right w:val="nil"/>
            </w:tcBorders>
          </w:tcPr>
          <w:p w14:paraId="73591C6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(0.064)</w:t>
            </w:r>
          </w:p>
        </w:tc>
        <w:tc>
          <w:tcPr>
            <w:tcW w:w="1350" w:type="dxa"/>
            <w:tcBorders>
              <w:top w:val="nil"/>
              <w:left w:val="nil"/>
              <w:bottom w:val="nil"/>
              <w:right w:val="nil"/>
            </w:tcBorders>
          </w:tcPr>
          <w:p w14:paraId="3CA4AEC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(19.625)</w:t>
            </w:r>
          </w:p>
        </w:tc>
      </w:tr>
      <w:tr w:rsidR="00295D58" w:rsidRPr="007E2DA9" w14:paraId="0307E342" w14:textId="77777777" w:rsidTr="007E2DA9">
        <w:trPr>
          <w:jc w:val="center"/>
        </w:trPr>
        <w:tc>
          <w:tcPr>
            <w:tcW w:w="1440" w:type="dxa"/>
            <w:tcBorders>
              <w:top w:val="nil"/>
              <w:left w:val="nil"/>
              <w:bottom w:val="nil"/>
              <w:right w:val="nil"/>
            </w:tcBorders>
          </w:tcPr>
          <w:p w14:paraId="34D0DE1A"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3.Subsector</w:t>
            </w:r>
          </w:p>
        </w:tc>
        <w:tc>
          <w:tcPr>
            <w:tcW w:w="1440" w:type="dxa"/>
            <w:tcBorders>
              <w:top w:val="nil"/>
              <w:left w:val="nil"/>
              <w:bottom w:val="nil"/>
              <w:right w:val="nil"/>
            </w:tcBorders>
          </w:tcPr>
          <w:p w14:paraId="4BE5502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-0.6414</w:t>
            </w:r>
          </w:p>
        </w:tc>
        <w:tc>
          <w:tcPr>
            <w:tcW w:w="1170" w:type="dxa"/>
            <w:tcBorders>
              <w:top w:val="nil"/>
              <w:left w:val="nil"/>
              <w:bottom w:val="nil"/>
              <w:right w:val="nil"/>
            </w:tcBorders>
          </w:tcPr>
          <w:p w14:paraId="3740D7A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-0.0387</w:t>
            </w:r>
          </w:p>
        </w:tc>
        <w:tc>
          <w:tcPr>
            <w:tcW w:w="1170" w:type="dxa"/>
            <w:tcBorders>
              <w:top w:val="nil"/>
              <w:left w:val="nil"/>
              <w:bottom w:val="nil"/>
              <w:right w:val="nil"/>
            </w:tcBorders>
          </w:tcPr>
          <w:p w14:paraId="4D9E530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-0.6927</w:t>
            </w:r>
          </w:p>
        </w:tc>
        <w:tc>
          <w:tcPr>
            <w:tcW w:w="1080" w:type="dxa"/>
            <w:tcBorders>
              <w:top w:val="nil"/>
              <w:left w:val="nil"/>
              <w:bottom w:val="nil"/>
              <w:right w:val="nil"/>
            </w:tcBorders>
          </w:tcPr>
          <w:p w14:paraId="4DE3E4D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0.0068</w:t>
            </w:r>
          </w:p>
        </w:tc>
        <w:tc>
          <w:tcPr>
            <w:tcW w:w="1080" w:type="dxa"/>
            <w:tcBorders>
              <w:top w:val="nil"/>
              <w:left w:val="nil"/>
              <w:bottom w:val="nil"/>
              <w:right w:val="nil"/>
            </w:tcBorders>
          </w:tcPr>
          <w:p w14:paraId="3ACF203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0.0119</w:t>
            </w:r>
          </w:p>
        </w:tc>
        <w:tc>
          <w:tcPr>
            <w:tcW w:w="1260" w:type="dxa"/>
            <w:tcBorders>
              <w:top w:val="nil"/>
              <w:left w:val="nil"/>
              <w:bottom w:val="nil"/>
              <w:right w:val="nil"/>
            </w:tcBorders>
          </w:tcPr>
          <w:p w14:paraId="3714A1F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0.0029</w:t>
            </w:r>
          </w:p>
        </w:tc>
        <w:tc>
          <w:tcPr>
            <w:tcW w:w="1440" w:type="dxa"/>
            <w:tcBorders>
              <w:top w:val="nil"/>
              <w:left w:val="nil"/>
              <w:bottom w:val="nil"/>
              <w:right w:val="nil"/>
            </w:tcBorders>
          </w:tcPr>
          <w:p w14:paraId="2D9690D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3.8150*</w:t>
            </w:r>
          </w:p>
        </w:tc>
        <w:tc>
          <w:tcPr>
            <w:tcW w:w="1260" w:type="dxa"/>
            <w:tcBorders>
              <w:top w:val="nil"/>
              <w:left w:val="nil"/>
              <w:bottom w:val="nil"/>
              <w:right w:val="nil"/>
            </w:tcBorders>
          </w:tcPr>
          <w:p w14:paraId="043E871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0.0236</w:t>
            </w:r>
          </w:p>
        </w:tc>
        <w:tc>
          <w:tcPr>
            <w:tcW w:w="1350" w:type="dxa"/>
            <w:tcBorders>
              <w:top w:val="nil"/>
              <w:left w:val="nil"/>
              <w:bottom w:val="nil"/>
              <w:right w:val="nil"/>
            </w:tcBorders>
          </w:tcPr>
          <w:p w14:paraId="6DD0EC5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-4.1223</w:t>
            </w:r>
          </w:p>
        </w:tc>
      </w:tr>
      <w:tr w:rsidR="00295D58" w:rsidRPr="007E2DA9" w14:paraId="633206B3" w14:textId="77777777" w:rsidTr="007E2DA9">
        <w:trPr>
          <w:jc w:val="center"/>
        </w:trPr>
        <w:tc>
          <w:tcPr>
            <w:tcW w:w="1440" w:type="dxa"/>
            <w:tcBorders>
              <w:top w:val="nil"/>
              <w:left w:val="nil"/>
              <w:bottom w:val="nil"/>
              <w:right w:val="nil"/>
            </w:tcBorders>
          </w:tcPr>
          <w:p w14:paraId="60A6150B"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5E823E6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(0.418)</w:t>
            </w:r>
          </w:p>
        </w:tc>
        <w:tc>
          <w:tcPr>
            <w:tcW w:w="1170" w:type="dxa"/>
            <w:tcBorders>
              <w:top w:val="nil"/>
              <w:left w:val="nil"/>
              <w:bottom w:val="nil"/>
              <w:right w:val="nil"/>
            </w:tcBorders>
          </w:tcPr>
          <w:p w14:paraId="45A2075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(1.202)</w:t>
            </w:r>
          </w:p>
        </w:tc>
        <w:tc>
          <w:tcPr>
            <w:tcW w:w="1170" w:type="dxa"/>
            <w:tcBorders>
              <w:top w:val="nil"/>
              <w:left w:val="nil"/>
              <w:bottom w:val="nil"/>
              <w:right w:val="nil"/>
            </w:tcBorders>
          </w:tcPr>
          <w:p w14:paraId="74002E0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(4.175)</w:t>
            </w:r>
          </w:p>
        </w:tc>
        <w:tc>
          <w:tcPr>
            <w:tcW w:w="1080" w:type="dxa"/>
            <w:tcBorders>
              <w:top w:val="nil"/>
              <w:left w:val="nil"/>
              <w:bottom w:val="nil"/>
              <w:right w:val="nil"/>
            </w:tcBorders>
          </w:tcPr>
          <w:p w14:paraId="45F1CC4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(0.012)</w:t>
            </w:r>
          </w:p>
        </w:tc>
        <w:tc>
          <w:tcPr>
            <w:tcW w:w="1080" w:type="dxa"/>
            <w:tcBorders>
              <w:top w:val="nil"/>
              <w:left w:val="nil"/>
              <w:bottom w:val="nil"/>
              <w:right w:val="nil"/>
            </w:tcBorders>
          </w:tcPr>
          <w:p w14:paraId="6837B48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(0.013)</w:t>
            </w:r>
          </w:p>
        </w:tc>
        <w:tc>
          <w:tcPr>
            <w:tcW w:w="1260" w:type="dxa"/>
            <w:tcBorders>
              <w:top w:val="nil"/>
              <w:left w:val="nil"/>
              <w:bottom w:val="nil"/>
              <w:right w:val="nil"/>
            </w:tcBorders>
          </w:tcPr>
          <w:p w14:paraId="3C16C53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w:t>
            </w:r>
          </w:p>
        </w:tc>
        <w:tc>
          <w:tcPr>
            <w:tcW w:w="1440" w:type="dxa"/>
            <w:tcBorders>
              <w:top w:val="nil"/>
              <w:left w:val="nil"/>
              <w:bottom w:val="nil"/>
              <w:right w:val="nil"/>
            </w:tcBorders>
          </w:tcPr>
          <w:p w14:paraId="5097AA3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(2.285)</w:t>
            </w:r>
          </w:p>
        </w:tc>
        <w:tc>
          <w:tcPr>
            <w:tcW w:w="1260" w:type="dxa"/>
            <w:tcBorders>
              <w:top w:val="nil"/>
              <w:left w:val="nil"/>
              <w:bottom w:val="nil"/>
              <w:right w:val="nil"/>
            </w:tcBorders>
          </w:tcPr>
          <w:p w14:paraId="6569C96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(0.061)</w:t>
            </w:r>
          </w:p>
        </w:tc>
        <w:tc>
          <w:tcPr>
            <w:tcW w:w="1350" w:type="dxa"/>
            <w:tcBorders>
              <w:top w:val="nil"/>
              <w:left w:val="nil"/>
              <w:bottom w:val="nil"/>
              <w:right w:val="nil"/>
            </w:tcBorders>
          </w:tcPr>
          <w:p w14:paraId="26609B4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(15.223)</w:t>
            </w:r>
          </w:p>
        </w:tc>
      </w:tr>
      <w:tr w:rsidR="00295D58" w:rsidRPr="007E2DA9" w14:paraId="58A3B9F5" w14:textId="77777777" w:rsidTr="007E2DA9">
        <w:trPr>
          <w:jc w:val="center"/>
        </w:trPr>
        <w:tc>
          <w:tcPr>
            <w:tcW w:w="1440" w:type="dxa"/>
            <w:tcBorders>
              <w:top w:val="nil"/>
              <w:left w:val="nil"/>
              <w:bottom w:val="nil"/>
              <w:right w:val="nil"/>
            </w:tcBorders>
          </w:tcPr>
          <w:p w14:paraId="1137F04D"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4.Subsector</w:t>
            </w:r>
          </w:p>
        </w:tc>
        <w:tc>
          <w:tcPr>
            <w:tcW w:w="1440" w:type="dxa"/>
            <w:tcBorders>
              <w:top w:val="nil"/>
              <w:left w:val="nil"/>
              <w:bottom w:val="nil"/>
              <w:right w:val="nil"/>
            </w:tcBorders>
          </w:tcPr>
          <w:p w14:paraId="2A0A635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-1.3204***</w:t>
            </w:r>
          </w:p>
        </w:tc>
        <w:tc>
          <w:tcPr>
            <w:tcW w:w="1170" w:type="dxa"/>
            <w:tcBorders>
              <w:top w:val="nil"/>
              <w:left w:val="nil"/>
              <w:bottom w:val="nil"/>
              <w:right w:val="nil"/>
            </w:tcBorders>
          </w:tcPr>
          <w:p w14:paraId="6B9197E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-0.5878</w:t>
            </w:r>
          </w:p>
        </w:tc>
        <w:tc>
          <w:tcPr>
            <w:tcW w:w="1170" w:type="dxa"/>
            <w:tcBorders>
              <w:top w:val="nil"/>
              <w:left w:val="nil"/>
              <w:bottom w:val="nil"/>
              <w:right w:val="nil"/>
            </w:tcBorders>
          </w:tcPr>
          <w:p w14:paraId="4B7D8BE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1.6203</w:t>
            </w:r>
          </w:p>
        </w:tc>
        <w:tc>
          <w:tcPr>
            <w:tcW w:w="1080" w:type="dxa"/>
            <w:tcBorders>
              <w:top w:val="nil"/>
              <w:left w:val="nil"/>
              <w:bottom w:val="nil"/>
              <w:right w:val="nil"/>
            </w:tcBorders>
          </w:tcPr>
          <w:p w14:paraId="2A6DEBA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-0.0170*</w:t>
            </w:r>
          </w:p>
        </w:tc>
        <w:tc>
          <w:tcPr>
            <w:tcW w:w="1080" w:type="dxa"/>
            <w:tcBorders>
              <w:top w:val="nil"/>
              <w:left w:val="nil"/>
              <w:bottom w:val="nil"/>
              <w:right w:val="nil"/>
            </w:tcBorders>
          </w:tcPr>
          <w:p w14:paraId="55F51B8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-0.0150</w:t>
            </w:r>
          </w:p>
        </w:tc>
        <w:tc>
          <w:tcPr>
            <w:tcW w:w="1260" w:type="dxa"/>
            <w:tcBorders>
              <w:top w:val="nil"/>
              <w:left w:val="nil"/>
              <w:bottom w:val="nil"/>
              <w:right w:val="nil"/>
            </w:tcBorders>
          </w:tcPr>
          <w:p w14:paraId="372D47E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-0.0008</w:t>
            </w:r>
          </w:p>
        </w:tc>
        <w:tc>
          <w:tcPr>
            <w:tcW w:w="1440" w:type="dxa"/>
            <w:tcBorders>
              <w:top w:val="nil"/>
              <w:left w:val="nil"/>
              <w:bottom w:val="nil"/>
              <w:right w:val="nil"/>
            </w:tcBorders>
          </w:tcPr>
          <w:p w14:paraId="5F2B740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-8.2087***</w:t>
            </w:r>
          </w:p>
        </w:tc>
        <w:tc>
          <w:tcPr>
            <w:tcW w:w="1260" w:type="dxa"/>
            <w:tcBorders>
              <w:top w:val="nil"/>
              <w:left w:val="nil"/>
              <w:bottom w:val="nil"/>
              <w:right w:val="nil"/>
            </w:tcBorders>
          </w:tcPr>
          <w:p w14:paraId="210F22F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0.2846***</w:t>
            </w:r>
          </w:p>
        </w:tc>
        <w:tc>
          <w:tcPr>
            <w:tcW w:w="1350" w:type="dxa"/>
            <w:tcBorders>
              <w:top w:val="nil"/>
              <w:left w:val="nil"/>
              <w:bottom w:val="nil"/>
              <w:right w:val="nil"/>
            </w:tcBorders>
          </w:tcPr>
          <w:p w14:paraId="5CBCF8D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-28.1847**</w:t>
            </w:r>
          </w:p>
        </w:tc>
      </w:tr>
      <w:tr w:rsidR="00295D58" w:rsidRPr="007E2DA9" w14:paraId="064EBD1F" w14:textId="77777777" w:rsidTr="007E2DA9">
        <w:trPr>
          <w:jc w:val="center"/>
        </w:trPr>
        <w:tc>
          <w:tcPr>
            <w:tcW w:w="1440" w:type="dxa"/>
            <w:tcBorders>
              <w:top w:val="nil"/>
              <w:left w:val="nil"/>
              <w:bottom w:val="nil"/>
              <w:right w:val="nil"/>
            </w:tcBorders>
          </w:tcPr>
          <w:p w14:paraId="1C21C206"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561D27B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(0.377)</w:t>
            </w:r>
          </w:p>
        </w:tc>
        <w:tc>
          <w:tcPr>
            <w:tcW w:w="1170" w:type="dxa"/>
            <w:tcBorders>
              <w:top w:val="nil"/>
              <w:left w:val="nil"/>
              <w:bottom w:val="nil"/>
              <w:right w:val="nil"/>
            </w:tcBorders>
          </w:tcPr>
          <w:p w14:paraId="378A430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(1.152)</w:t>
            </w:r>
          </w:p>
        </w:tc>
        <w:tc>
          <w:tcPr>
            <w:tcW w:w="1170" w:type="dxa"/>
            <w:tcBorders>
              <w:top w:val="nil"/>
              <w:left w:val="nil"/>
              <w:bottom w:val="nil"/>
              <w:right w:val="nil"/>
            </w:tcBorders>
          </w:tcPr>
          <w:p w14:paraId="4E3ADE7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(5.251)</w:t>
            </w:r>
          </w:p>
        </w:tc>
        <w:tc>
          <w:tcPr>
            <w:tcW w:w="1080" w:type="dxa"/>
            <w:tcBorders>
              <w:top w:val="nil"/>
              <w:left w:val="nil"/>
              <w:bottom w:val="nil"/>
              <w:right w:val="nil"/>
            </w:tcBorders>
          </w:tcPr>
          <w:p w14:paraId="4375D43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080" w:type="dxa"/>
            <w:tcBorders>
              <w:top w:val="nil"/>
              <w:left w:val="nil"/>
              <w:bottom w:val="nil"/>
              <w:right w:val="nil"/>
            </w:tcBorders>
          </w:tcPr>
          <w:p w14:paraId="1A5B69B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w:t>
            </w:r>
          </w:p>
        </w:tc>
        <w:tc>
          <w:tcPr>
            <w:tcW w:w="1260" w:type="dxa"/>
            <w:tcBorders>
              <w:top w:val="nil"/>
              <w:left w:val="nil"/>
              <w:bottom w:val="nil"/>
              <w:right w:val="nil"/>
            </w:tcBorders>
          </w:tcPr>
          <w:p w14:paraId="3FF4927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24A39D0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(1.656)</w:t>
            </w:r>
          </w:p>
        </w:tc>
        <w:tc>
          <w:tcPr>
            <w:tcW w:w="1260" w:type="dxa"/>
            <w:tcBorders>
              <w:top w:val="nil"/>
              <w:left w:val="nil"/>
              <w:bottom w:val="nil"/>
              <w:right w:val="nil"/>
            </w:tcBorders>
          </w:tcPr>
          <w:p w14:paraId="33CCA99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(0.057)</w:t>
            </w:r>
          </w:p>
        </w:tc>
        <w:tc>
          <w:tcPr>
            <w:tcW w:w="1350" w:type="dxa"/>
            <w:tcBorders>
              <w:top w:val="nil"/>
              <w:left w:val="nil"/>
              <w:bottom w:val="nil"/>
              <w:right w:val="nil"/>
            </w:tcBorders>
          </w:tcPr>
          <w:p w14:paraId="4D9272E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(14.025)</w:t>
            </w:r>
          </w:p>
        </w:tc>
      </w:tr>
      <w:tr w:rsidR="00295D58" w:rsidRPr="007E2DA9" w14:paraId="2D5C866D" w14:textId="77777777" w:rsidTr="007E2DA9">
        <w:trPr>
          <w:jc w:val="center"/>
        </w:trPr>
        <w:tc>
          <w:tcPr>
            <w:tcW w:w="1440" w:type="dxa"/>
            <w:tcBorders>
              <w:top w:val="nil"/>
              <w:left w:val="nil"/>
              <w:bottom w:val="nil"/>
              <w:right w:val="nil"/>
            </w:tcBorders>
          </w:tcPr>
          <w:p w14:paraId="15BA0064"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5.Subsector</w:t>
            </w:r>
          </w:p>
        </w:tc>
        <w:tc>
          <w:tcPr>
            <w:tcW w:w="1440" w:type="dxa"/>
            <w:tcBorders>
              <w:top w:val="nil"/>
              <w:left w:val="nil"/>
              <w:bottom w:val="nil"/>
              <w:right w:val="nil"/>
            </w:tcBorders>
          </w:tcPr>
          <w:p w14:paraId="1BADC3A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-0.6819</w:t>
            </w:r>
          </w:p>
        </w:tc>
        <w:tc>
          <w:tcPr>
            <w:tcW w:w="1170" w:type="dxa"/>
            <w:tcBorders>
              <w:top w:val="nil"/>
              <w:left w:val="nil"/>
              <w:bottom w:val="nil"/>
              <w:right w:val="nil"/>
            </w:tcBorders>
          </w:tcPr>
          <w:p w14:paraId="7438013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2.6424</w:t>
            </w:r>
          </w:p>
        </w:tc>
        <w:tc>
          <w:tcPr>
            <w:tcW w:w="1170" w:type="dxa"/>
            <w:tcBorders>
              <w:top w:val="nil"/>
              <w:left w:val="nil"/>
              <w:bottom w:val="nil"/>
              <w:right w:val="nil"/>
            </w:tcBorders>
          </w:tcPr>
          <w:p w14:paraId="239448A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2.4274</w:t>
            </w:r>
          </w:p>
        </w:tc>
        <w:tc>
          <w:tcPr>
            <w:tcW w:w="1080" w:type="dxa"/>
            <w:tcBorders>
              <w:top w:val="nil"/>
              <w:left w:val="nil"/>
              <w:bottom w:val="nil"/>
              <w:right w:val="nil"/>
            </w:tcBorders>
          </w:tcPr>
          <w:p w14:paraId="0AB3A08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-0.0065</w:t>
            </w:r>
          </w:p>
        </w:tc>
        <w:tc>
          <w:tcPr>
            <w:tcW w:w="1080" w:type="dxa"/>
            <w:tcBorders>
              <w:top w:val="nil"/>
              <w:left w:val="nil"/>
              <w:bottom w:val="nil"/>
              <w:right w:val="nil"/>
            </w:tcBorders>
          </w:tcPr>
          <w:p w14:paraId="2821686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-0.0001</w:t>
            </w:r>
          </w:p>
        </w:tc>
        <w:tc>
          <w:tcPr>
            <w:tcW w:w="1260" w:type="dxa"/>
            <w:tcBorders>
              <w:top w:val="nil"/>
              <w:left w:val="nil"/>
              <w:bottom w:val="nil"/>
              <w:right w:val="nil"/>
            </w:tcBorders>
          </w:tcPr>
          <w:p w14:paraId="24AF14B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0.0011</w:t>
            </w:r>
          </w:p>
        </w:tc>
        <w:tc>
          <w:tcPr>
            <w:tcW w:w="1440" w:type="dxa"/>
            <w:tcBorders>
              <w:top w:val="nil"/>
              <w:left w:val="nil"/>
              <w:bottom w:val="nil"/>
              <w:right w:val="nil"/>
            </w:tcBorders>
          </w:tcPr>
          <w:p w14:paraId="6BBA1CB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-3.7936**</w:t>
            </w:r>
          </w:p>
        </w:tc>
        <w:tc>
          <w:tcPr>
            <w:tcW w:w="1260" w:type="dxa"/>
            <w:tcBorders>
              <w:top w:val="nil"/>
              <w:left w:val="nil"/>
              <w:bottom w:val="nil"/>
              <w:right w:val="nil"/>
            </w:tcBorders>
          </w:tcPr>
          <w:p w14:paraId="5DEBDAA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-0.0317</w:t>
            </w:r>
          </w:p>
        </w:tc>
        <w:tc>
          <w:tcPr>
            <w:tcW w:w="1350" w:type="dxa"/>
            <w:tcBorders>
              <w:top w:val="nil"/>
              <w:left w:val="nil"/>
              <w:bottom w:val="nil"/>
              <w:right w:val="nil"/>
            </w:tcBorders>
          </w:tcPr>
          <w:p w14:paraId="3C308B4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-14.7119</w:t>
            </w:r>
          </w:p>
        </w:tc>
      </w:tr>
      <w:tr w:rsidR="00295D58" w:rsidRPr="007E2DA9" w14:paraId="4E93F727" w14:textId="77777777" w:rsidTr="007E2DA9">
        <w:trPr>
          <w:jc w:val="center"/>
        </w:trPr>
        <w:tc>
          <w:tcPr>
            <w:tcW w:w="1440" w:type="dxa"/>
            <w:tcBorders>
              <w:top w:val="nil"/>
              <w:left w:val="nil"/>
              <w:bottom w:val="nil"/>
              <w:right w:val="nil"/>
            </w:tcBorders>
          </w:tcPr>
          <w:p w14:paraId="519DD6B1"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F422F0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(0.479)</w:t>
            </w:r>
          </w:p>
        </w:tc>
        <w:tc>
          <w:tcPr>
            <w:tcW w:w="1170" w:type="dxa"/>
            <w:tcBorders>
              <w:top w:val="nil"/>
              <w:left w:val="nil"/>
              <w:bottom w:val="nil"/>
              <w:right w:val="nil"/>
            </w:tcBorders>
          </w:tcPr>
          <w:p w14:paraId="1911DFA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(1.648)</w:t>
            </w:r>
          </w:p>
        </w:tc>
        <w:tc>
          <w:tcPr>
            <w:tcW w:w="1170" w:type="dxa"/>
            <w:tcBorders>
              <w:top w:val="nil"/>
              <w:left w:val="nil"/>
              <w:bottom w:val="nil"/>
              <w:right w:val="nil"/>
            </w:tcBorders>
          </w:tcPr>
          <w:p w14:paraId="5DBDDC8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(6.617)</w:t>
            </w:r>
          </w:p>
        </w:tc>
        <w:tc>
          <w:tcPr>
            <w:tcW w:w="1080" w:type="dxa"/>
            <w:tcBorders>
              <w:top w:val="nil"/>
              <w:left w:val="nil"/>
              <w:bottom w:val="nil"/>
              <w:right w:val="nil"/>
            </w:tcBorders>
          </w:tcPr>
          <w:p w14:paraId="57C26FE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080" w:type="dxa"/>
            <w:tcBorders>
              <w:top w:val="nil"/>
              <w:left w:val="nil"/>
              <w:bottom w:val="nil"/>
              <w:right w:val="nil"/>
            </w:tcBorders>
          </w:tcPr>
          <w:p w14:paraId="594CB01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w:t>
            </w:r>
          </w:p>
        </w:tc>
        <w:tc>
          <w:tcPr>
            <w:tcW w:w="1260" w:type="dxa"/>
            <w:tcBorders>
              <w:top w:val="nil"/>
              <w:left w:val="nil"/>
              <w:bottom w:val="nil"/>
              <w:right w:val="nil"/>
            </w:tcBorders>
          </w:tcPr>
          <w:p w14:paraId="6E0D1A4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w:t>
            </w:r>
          </w:p>
        </w:tc>
        <w:tc>
          <w:tcPr>
            <w:tcW w:w="1440" w:type="dxa"/>
            <w:tcBorders>
              <w:top w:val="nil"/>
              <w:left w:val="nil"/>
              <w:bottom w:val="nil"/>
              <w:right w:val="nil"/>
            </w:tcBorders>
          </w:tcPr>
          <w:p w14:paraId="07B61C8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(1.860)</w:t>
            </w:r>
          </w:p>
        </w:tc>
        <w:tc>
          <w:tcPr>
            <w:tcW w:w="1260" w:type="dxa"/>
            <w:tcBorders>
              <w:top w:val="nil"/>
              <w:left w:val="nil"/>
              <w:bottom w:val="nil"/>
              <w:right w:val="nil"/>
            </w:tcBorders>
          </w:tcPr>
          <w:p w14:paraId="7070BE3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(0.053)</w:t>
            </w:r>
          </w:p>
        </w:tc>
        <w:tc>
          <w:tcPr>
            <w:tcW w:w="1350" w:type="dxa"/>
            <w:tcBorders>
              <w:top w:val="nil"/>
              <w:left w:val="nil"/>
              <w:bottom w:val="nil"/>
              <w:right w:val="nil"/>
            </w:tcBorders>
          </w:tcPr>
          <w:p w14:paraId="303DD15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(12.880)</w:t>
            </w:r>
          </w:p>
        </w:tc>
      </w:tr>
      <w:tr w:rsidR="00295D58" w:rsidRPr="007E2DA9" w14:paraId="71D4DDE7" w14:textId="77777777" w:rsidTr="007E2DA9">
        <w:trPr>
          <w:jc w:val="center"/>
        </w:trPr>
        <w:tc>
          <w:tcPr>
            <w:tcW w:w="1440" w:type="dxa"/>
            <w:tcBorders>
              <w:top w:val="nil"/>
              <w:left w:val="nil"/>
              <w:bottom w:val="nil"/>
              <w:right w:val="nil"/>
            </w:tcBorders>
          </w:tcPr>
          <w:p w14:paraId="1D7D6E22"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6.Subsector</w:t>
            </w:r>
          </w:p>
        </w:tc>
        <w:tc>
          <w:tcPr>
            <w:tcW w:w="1440" w:type="dxa"/>
            <w:tcBorders>
              <w:top w:val="nil"/>
              <w:left w:val="nil"/>
              <w:bottom w:val="nil"/>
              <w:right w:val="nil"/>
            </w:tcBorders>
          </w:tcPr>
          <w:p w14:paraId="6FF6D57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-0.2765</w:t>
            </w:r>
          </w:p>
        </w:tc>
        <w:tc>
          <w:tcPr>
            <w:tcW w:w="1170" w:type="dxa"/>
            <w:tcBorders>
              <w:top w:val="nil"/>
              <w:left w:val="nil"/>
              <w:bottom w:val="nil"/>
              <w:right w:val="nil"/>
            </w:tcBorders>
          </w:tcPr>
          <w:p w14:paraId="6B67D1C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0.2389</w:t>
            </w:r>
          </w:p>
        </w:tc>
        <w:tc>
          <w:tcPr>
            <w:tcW w:w="1170" w:type="dxa"/>
            <w:tcBorders>
              <w:top w:val="nil"/>
              <w:left w:val="nil"/>
              <w:bottom w:val="nil"/>
              <w:right w:val="nil"/>
            </w:tcBorders>
          </w:tcPr>
          <w:p w14:paraId="08E89FA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-2.3523</w:t>
            </w:r>
          </w:p>
        </w:tc>
        <w:tc>
          <w:tcPr>
            <w:tcW w:w="1080" w:type="dxa"/>
            <w:tcBorders>
              <w:top w:val="nil"/>
              <w:left w:val="nil"/>
              <w:bottom w:val="nil"/>
              <w:right w:val="nil"/>
            </w:tcBorders>
          </w:tcPr>
          <w:p w14:paraId="5F42B9F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-0.0051</w:t>
            </w:r>
          </w:p>
        </w:tc>
        <w:tc>
          <w:tcPr>
            <w:tcW w:w="1080" w:type="dxa"/>
            <w:tcBorders>
              <w:top w:val="nil"/>
              <w:left w:val="nil"/>
              <w:bottom w:val="nil"/>
              <w:right w:val="nil"/>
            </w:tcBorders>
          </w:tcPr>
          <w:p w14:paraId="1DE4235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-0.0029</w:t>
            </w:r>
          </w:p>
        </w:tc>
        <w:tc>
          <w:tcPr>
            <w:tcW w:w="1260" w:type="dxa"/>
            <w:tcBorders>
              <w:top w:val="nil"/>
              <w:left w:val="nil"/>
              <w:bottom w:val="nil"/>
              <w:right w:val="nil"/>
            </w:tcBorders>
          </w:tcPr>
          <w:p w14:paraId="542BF9A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-0.0024*</w:t>
            </w:r>
          </w:p>
        </w:tc>
        <w:tc>
          <w:tcPr>
            <w:tcW w:w="1440" w:type="dxa"/>
            <w:tcBorders>
              <w:top w:val="nil"/>
              <w:left w:val="nil"/>
              <w:bottom w:val="nil"/>
              <w:right w:val="nil"/>
            </w:tcBorders>
          </w:tcPr>
          <w:p w14:paraId="36152E9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-6.9616***</w:t>
            </w:r>
          </w:p>
        </w:tc>
        <w:tc>
          <w:tcPr>
            <w:tcW w:w="1260" w:type="dxa"/>
            <w:tcBorders>
              <w:top w:val="nil"/>
              <w:left w:val="nil"/>
              <w:bottom w:val="nil"/>
              <w:right w:val="nil"/>
            </w:tcBorders>
          </w:tcPr>
          <w:p w14:paraId="65AA510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0.2058***</w:t>
            </w:r>
          </w:p>
        </w:tc>
        <w:tc>
          <w:tcPr>
            <w:tcW w:w="1350" w:type="dxa"/>
            <w:tcBorders>
              <w:top w:val="nil"/>
              <w:left w:val="nil"/>
              <w:bottom w:val="nil"/>
              <w:right w:val="nil"/>
            </w:tcBorders>
          </w:tcPr>
          <w:p w14:paraId="51F2FCB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-36.7256***</w:t>
            </w:r>
          </w:p>
        </w:tc>
      </w:tr>
      <w:tr w:rsidR="00295D58" w:rsidRPr="007E2DA9" w14:paraId="24BAE01F" w14:textId="77777777" w:rsidTr="007E2DA9">
        <w:trPr>
          <w:jc w:val="center"/>
        </w:trPr>
        <w:tc>
          <w:tcPr>
            <w:tcW w:w="1440" w:type="dxa"/>
            <w:tcBorders>
              <w:top w:val="nil"/>
              <w:left w:val="nil"/>
              <w:bottom w:val="nil"/>
              <w:right w:val="nil"/>
            </w:tcBorders>
          </w:tcPr>
          <w:p w14:paraId="0E51CB53"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72F1F1E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(0.500)</w:t>
            </w:r>
          </w:p>
        </w:tc>
        <w:tc>
          <w:tcPr>
            <w:tcW w:w="1170" w:type="dxa"/>
            <w:tcBorders>
              <w:top w:val="nil"/>
              <w:left w:val="nil"/>
              <w:bottom w:val="nil"/>
              <w:right w:val="nil"/>
            </w:tcBorders>
          </w:tcPr>
          <w:p w14:paraId="46DA71C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(1.509)</w:t>
            </w:r>
          </w:p>
        </w:tc>
        <w:tc>
          <w:tcPr>
            <w:tcW w:w="1170" w:type="dxa"/>
            <w:tcBorders>
              <w:top w:val="nil"/>
              <w:left w:val="nil"/>
              <w:bottom w:val="nil"/>
              <w:right w:val="nil"/>
            </w:tcBorders>
          </w:tcPr>
          <w:p w14:paraId="454BBC2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(4.638)</w:t>
            </w:r>
          </w:p>
        </w:tc>
        <w:tc>
          <w:tcPr>
            <w:tcW w:w="1080" w:type="dxa"/>
            <w:tcBorders>
              <w:top w:val="nil"/>
              <w:left w:val="nil"/>
              <w:bottom w:val="nil"/>
              <w:right w:val="nil"/>
            </w:tcBorders>
          </w:tcPr>
          <w:p w14:paraId="057D19D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w:t>
            </w:r>
          </w:p>
        </w:tc>
        <w:tc>
          <w:tcPr>
            <w:tcW w:w="1080" w:type="dxa"/>
            <w:tcBorders>
              <w:top w:val="nil"/>
              <w:left w:val="nil"/>
              <w:bottom w:val="nil"/>
              <w:right w:val="nil"/>
            </w:tcBorders>
          </w:tcPr>
          <w:p w14:paraId="2B558E3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260" w:type="dxa"/>
            <w:tcBorders>
              <w:top w:val="nil"/>
              <w:left w:val="nil"/>
              <w:bottom w:val="nil"/>
              <w:right w:val="nil"/>
            </w:tcBorders>
          </w:tcPr>
          <w:p w14:paraId="0C3CF16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1904C83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(1.468)</w:t>
            </w:r>
          </w:p>
        </w:tc>
        <w:tc>
          <w:tcPr>
            <w:tcW w:w="1260" w:type="dxa"/>
            <w:tcBorders>
              <w:top w:val="nil"/>
              <w:left w:val="nil"/>
              <w:bottom w:val="nil"/>
              <w:right w:val="nil"/>
            </w:tcBorders>
          </w:tcPr>
          <w:p w14:paraId="6781C5B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(0.056)</w:t>
            </w:r>
          </w:p>
        </w:tc>
        <w:tc>
          <w:tcPr>
            <w:tcW w:w="1350" w:type="dxa"/>
            <w:tcBorders>
              <w:top w:val="nil"/>
              <w:left w:val="nil"/>
              <w:bottom w:val="nil"/>
              <w:right w:val="nil"/>
            </w:tcBorders>
          </w:tcPr>
          <w:p w14:paraId="788BC2B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(11.666)</w:t>
            </w:r>
          </w:p>
        </w:tc>
      </w:tr>
      <w:tr w:rsidR="00295D58" w:rsidRPr="007E2DA9" w14:paraId="040995D5" w14:textId="77777777" w:rsidTr="007E2DA9">
        <w:trPr>
          <w:jc w:val="center"/>
        </w:trPr>
        <w:tc>
          <w:tcPr>
            <w:tcW w:w="1440" w:type="dxa"/>
            <w:tcBorders>
              <w:top w:val="nil"/>
              <w:left w:val="nil"/>
              <w:bottom w:val="nil"/>
              <w:right w:val="nil"/>
            </w:tcBorders>
          </w:tcPr>
          <w:p w14:paraId="3034CAB9"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7.Subsector</w:t>
            </w:r>
          </w:p>
        </w:tc>
        <w:tc>
          <w:tcPr>
            <w:tcW w:w="1440" w:type="dxa"/>
            <w:tcBorders>
              <w:top w:val="nil"/>
              <w:left w:val="nil"/>
              <w:bottom w:val="nil"/>
              <w:right w:val="nil"/>
            </w:tcBorders>
          </w:tcPr>
          <w:p w14:paraId="7451DD4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-0.8046*</w:t>
            </w:r>
          </w:p>
        </w:tc>
        <w:tc>
          <w:tcPr>
            <w:tcW w:w="1170" w:type="dxa"/>
            <w:tcBorders>
              <w:top w:val="nil"/>
              <w:left w:val="nil"/>
              <w:bottom w:val="nil"/>
              <w:right w:val="nil"/>
            </w:tcBorders>
          </w:tcPr>
          <w:p w14:paraId="03A3680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1.7839</w:t>
            </w:r>
          </w:p>
        </w:tc>
        <w:tc>
          <w:tcPr>
            <w:tcW w:w="1170" w:type="dxa"/>
            <w:tcBorders>
              <w:top w:val="nil"/>
              <w:left w:val="nil"/>
              <w:bottom w:val="nil"/>
              <w:right w:val="nil"/>
            </w:tcBorders>
          </w:tcPr>
          <w:p w14:paraId="2EDAB00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3.5354</w:t>
            </w:r>
          </w:p>
        </w:tc>
        <w:tc>
          <w:tcPr>
            <w:tcW w:w="1080" w:type="dxa"/>
            <w:tcBorders>
              <w:top w:val="nil"/>
              <w:left w:val="nil"/>
              <w:bottom w:val="nil"/>
              <w:right w:val="nil"/>
            </w:tcBorders>
          </w:tcPr>
          <w:p w14:paraId="169FF46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-0.0040</w:t>
            </w:r>
          </w:p>
        </w:tc>
        <w:tc>
          <w:tcPr>
            <w:tcW w:w="1080" w:type="dxa"/>
            <w:tcBorders>
              <w:top w:val="nil"/>
              <w:left w:val="nil"/>
              <w:bottom w:val="nil"/>
              <w:right w:val="nil"/>
            </w:tcBorders>
          </w:tcPr>
          <w:p w14:paraId="1170EB6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0.0004</w:t>
            </w:r>
          </w:p>
        </w:tc>
        <w:tc>
          <w:tcPr>
            <w:tcW w:w="1260" w:type="dxa"/>
            <w:tcBorders>
              <w:top w:val="nil"/>
              <w:left w:val="nil"/>
              <w:bottom w:val="nil"/>
              <w:right w:val="nil"/>
            </w:tcBorders>
          </w:tcPr>
          <w:p w14:paraId="340417F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-0.0005</w:t>
            </w:r>
          </w:p>
        </w:tc>
        <w:tc>
          <w:tcPr>
            <w:tcW w:w="1440" w:type="dxa"/>
            <w:tcBorders>
              <w:top w:val="nil"/>
              <w:left w:val="nil"/>
              <w:bottom w:val="nil"/>
              <w:right w:val="nil"/>
            </w:tcBorders>
          </w:tcPr>
          <w:p w14:paraId="1C189CD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-7.1440***</w:t>
            </w:r>
          </w:p>
        </w:tc>
        <w:tc>
          <w:tcPr>
            <w:tcW w:w="1260" w:type="dxa"/>
            <w:tcBorders>
              <w:top w:val="nil"/>
              <w:left w:val="nil"/>
              <w:bottom w:val="nil"/>
              <w:right w:val="nil"/>
            </w:tcBorders>
          </w:tcPr>
          <w:p w14:paraId="77451DA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0.2815***</w:t>
            </w:r>
          </w:p>
        </w:tc>
        <w:tc>
          <w:tcPr>
            <w:tcW w:w="1350" w:type="dxa"/>
            <w:tcBorders>
              <w:top w:val="nil"/>
              <w:left w:val="nil"/>
              <w:bottom w:val="nil"/>
              <w:right w:val="nil"/>
            </w:tcBorders>
          </w:tcPr>
          <w:p w14:paraId="3190333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-30.1862**</w:t>
            </w:r>
          </w:p>
        </w:tc>
      </w:tr>
      <w:tr w:rsidR="00295D58" w:rsidRPr="007E2DA9" w14:paraId="7CC34C36" w14:textId="77777777" w:rsidTr="007E2DA9">
        <w:trPr>
          <w:jc w:val="center"/>
        </w:trPr>
        <w:tc>
          <w:tcPr>
            <w:tcW w:w="1440" w:type="dxa"/>
            <w:tcBorders>
              <w:top w:val="nil"/>
              <w:left w:val="nil"/>
              <w:bottom w:val="nil"/>
              <w:right w:val="nil"/>
            </w:tcBorders>
          </w:tcPr>
          <w:p w14:paraId="7EC5BF7A"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034FA6E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(0.424)</w:t>
            </w:r>
          </w:p>
        </w:tc>
        <w:tc>
          <w:tcPr>
            <w:tcW w:w="1170" w:type="dxa"/>
            <w:tcBorders>
              <w:top w:val="nil"/>
              <w:left w:val="nil"/>
              <w:bottom w:val="nil"/>
              <w:right w:val="nil"/>
            </w:tcBorders>
          </w:tcPr>
          <w:p w14:paraId="21C1CD7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(1.197)</w:t>
            </w:r>
          </w:p>
        </w:tc>
        <w:tc>
          <w:tcPr>
            <w:tcW w:w="1170" w:type="dxa"/>
            <w:tcBorders>
              <w:top w:val="nil"/>
              <w:left w:val="nil"/>
              <w:bottom w:val="nil"/>
              <w:right w:val="nil"/>
            </w:tcBorders>
          </w:tcPr>
          <w:p w14:paraId="22F361B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(7.786)</w:t>
            </w:r>
          </w:p>
        </w:tc>
        <w:tc>
          <w:tcPr>
            <w:tcW w:w="1080" w:type="dxa"/>
            <w:tcBorders>
              <w:top w:val="nil"/>
              <w:left w:val="nil"/>
              <w:bottom w:val="nil"/>
              <w:right w:val="nil"/>
            </w:tcBorders>
          </w:tcPr>
          <w:p w14:paraId="6DF9598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w:t>
            </w:r>
          </w:p>
        </w:tc>
        <w:tc>
          <w:tcPr>
            <w:tcW w:w="1080" w:type="dxa"/>
            <w:tcBorders>
              <w:top w:val="nil"/>
              <w:left w:val="nil"/>
              <w:bottom w:val="nil"/>
              <w:right w:val="nil"/>
            </w:tcBorders>
          </w:tcPr>
          <w:p w14:paraId="11ECE0B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260" w:type="dxa"/>
            <w:tcBorders>
              <w:top w:val="nil"/>
              <w:left w:val="nil"/>
              <w:bottom w:val="nil"/>
              <w:right w:val="nil"/>
            </w:tcBorders>
          </w:tcPr>
          <w:p w14:paraId="4775C7B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w:t>
            </w:r>
          </w:p>
        </w:tc>
        <w:tc>
          <w:tcPr>
            <w:tcW w:w="1440" w:type="dxa"/>
            <w:tcBorders>
              <w:top w:val="nil"/>
              <w:left w:val="nil"/>
              <w:bottom w:val="nil"/>
              <w:right w:val="nil"/>
            </w:tcBorders>
          </w:tcPr>
          <w:p w14:paraId="0C7C6FC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(1.757)</w:t>
            </w:r>
          </w:p>
        </w:tc>
        <w:tc>
          <w:tcPr>
            <w:tcW w:w="1260" w:type="dxa"/>
            <w:tcBorders>
              <w:top w:val="nil"/>
              <w:left w:val="nil"/>
              <w:bottom w:val="nil"/>
              <w:right w:val="nil"/>
            </w:tcBorders>
          </w:tcPr>
          <w:p w14:paraId="1CD9287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(0.063)</w:t>
            </w:r>
          </w:p>
        </w:tc>
        <w:tc>
          <w:tcPr>
            <w:tcW w:w="1350" w:type="dxa"/>
            <w:tcBorders>
              <w:top w:val="nil"/>
              <w:left w:val="nil"/>
              <w:bottom w:val="nil"/>
              <w:right w:val="nil"/>
            </w:tcBorders>
          </w:tcPr>
          <w:p w14:paraId="51F345A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(12.913)</w:t>
            </w:r>
          </w:p>
        </w:tc>
      </w:tr>
      <w:tr w:rsidR="00295D58" w:rsidRPr="007E2DA9" w14:paraId="3C14C18A" w14:textId="77777777" w:rsidTr="007E2DA9">
        <w:trPr>
          <w:jc w:val="center"/>
        </w:trPr>
        <w:tc>
          <w:tcPr>
            <w:tcW w:w="1440" w:type="dxa"/>
            <w:tcBorders>
              <w:top w:val="nil"/>
              <w:left w:val="nil"/>
              <w:bottom w:val="nil"/>
              <w:right w:val="nil"/>
            </w:tcBorders>
          </w:tcPr>
          <w:p w14:paraId="6B4FB730"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8.Subsector</w:t>
            </w:r>
          </w:p>
        </w:tc>
        <w:tc>
          <w:tcPr>
            <w:tcW w:w="1440" w:type="dxa"/>
            <w:tcBorders>
              <w:top w:val="nil"/>
              <w:left w:val="nil"/>
              <w:bottom w:val="nil"/>
              <w:right w:val="nil"/>
            </w:tcBorders>
          </w:tcPr>
          <w:p w14:paraId="6C33AB2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-1.3246**</w:t>
            </w:r>
          </w:p>
        </w:tc>
        <w:tc>
          <w:tcPr>
            <w:tcW w:w="1170" w:type="dxa"/>
            <w:tcBorders>
              <w:top w:val="nil"/>
              <w:left w:val="nil"/>
              <w:bottom w:val="nil"/>
              <w:right w:val="nil"/>
            </w:tcBorders>
          </w:tcPr>
          <w:p w14:paraId="153963E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-0.6754</w:t>
            </w:r>
          </w:p>
        </w:tc>
        <w:tc>
          <w:tcPr>
            <w:tcW w:w="1170" w:type="dxa"/>
            <w:tcBorders>
              <w:top w:val="nil"/>
              <w:left w:val="nil"/>
              <w:bottom w:val="nil"/>
              <w:right w:val="nil"/>
            </w:tcBorders>
          </w:tcPr>
          <w:p w14:paraId="55BAC7C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19.2273</w:t>
            </w:r>
          </w:p>
        </w:tc>
        <w:tc>
          <w:tcPr>
            <w:tcW w:w="1080" w:type="dxa"/>
            <w:tcBorders>
              <w:top w:val="nil"/>
              <w:left w:val="nil"/>
              <w:bottom w:val="nil"/>
              <w:right w:val="nil"/>
            </w:tcBorders>
          </w:tcPr>
          <w:p w14:paraId="798EC08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0.0154</w:t>
            </w:r>
          </w:p>
        </w:tc>
        <w:tc>
          <w:tcPr>
            <w:tcW w:w="1080" w:type="dxa"/>
            <w:tcBorders>
              <w:top w:val="nil"/>
              <w:left w:val="nil"/>
              <w:bottom w:val="nil"/>
              <w:right w:val="nil"/>
            </w:tcBorders>
          </w:tcPr>
          <w:p w14:paraId="747C234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0.0277</w:t>
            </w:r>
          </w:p>
        </w:tc>
        <w:tc>
          <w:tcPr>
            <w:tcW w:w="1260" w:type="dxa"/>
            <w:tcBorders>
              <w:top w:val="nil"/>
              <w:left w:val="nil"/>
              <w:bottom w:val="nil"/>
              <w:right w:val="nil"/>
            </w:tcBorders>
          </w:tcPr>
          <w:p w14:paraId="5963265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0.0043</w:t>
            </w:r>
          </w:p>
        </w:tc>
        <w:tc>
          <w:tcPr>
            <w:tcW w:w="1440" w:type="dxa"/>
            <w:tcBorders>
              <w:top w:val="nil"/>
              <w:left w:val="nil"/>
              <w:bottom w:val="nil"/>
              <w:right w:val="nil"/>
            </w:tcBorders>
          </w:tcPr>
          <w:p w14:paraId="4BC31B6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-8.0208***</w:t>
            </w:r>
          </w:p>
        </w:tc>
        <w:tc>
          <w:tcPr>
            <w:tcW w:w="1260" w:type="dxa"/>
            <w:tcBorders>
              <w:top w:val="nil"/>
              <w:left w:val="nil"/>
              <w:bottom w:val="nil"/>
              <w:right w:val="nil"/>
            </w:tcBorders>
          </w:tcPr>
          <w:p w14:paraId="16FEBD3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0.2368</w:t>
            </w:r>
          </w:p>
        </w:tc>
        <w:tc>
          <w:tcPr>
            <w:tcW w:w="1350" w:type="dxa"/>
            <w:tcBorders>
              <w:top w:val="nil"/>
              <w:left w:val="nil"/>
              <w:bottom w:val="nil"/>
              <w:right w:val="nil"/>
            </w:tcBorders>
          </w:tcPr>
          <w:p w14:paraId="45ADEAC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-43.4454***</w:t>
            </w:r>
          </w:p>
        </w:tc>
      </w:tr>
      <w:tr w:rsidR="00295D58" w:rsidRPr="007E2DA9" w14:paraId="0ABDA034" w14:textId="77777777" w:rsidTr="007E2DA9">
        <w:trPr>
          <w:jc w:val="center"/>
        </w:trPr>
        <w:tc>
          <w:tcPr>
            <w:tcW w:w="1440" w:type="dxa"/>
            <w:tcBorders>
              <w:top w:val="nil"/>
              <w:left w:val="nil"/>
              <w:bottom w:val="nil"/>
              <w:right w:val="nil"/>
            </w:tcBorders>
          </w:tcPr>
          <w:p w14:paraId="03519E88"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6D3B814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(0.555)</w:t>
            </w:r>
          </w:p>
        </w:tc>
        <w:tc>
          <w:tcPr>
            <w:tcW w:w="1170" w:type="dxa"/>
            <w:tcBorders>
              <w:top w:val="nil"/>
              <w:left w:val="nil"/>
              <w:bottom w:val="nil"/>
              <w:right w:val="nil"/>
            </w:tcBorders>
          </w:tcPr>
          <w:p w14:paraId="1EDA56C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(1.380)</w:t>
            </w:r>
          </w:p>
        </w:tc>
        <w:tc>
          <w:tcPr>
            <w:tcW w:w="1170" w:type="dxa"/>
            <w:tcBorders>
              <w:top w:val="nil"/>
              <w:left w:val="nil"/>
              <w:bottom w:val="nil"/>
              <w:right w:val="nil"/>
            </w:tcBorders>
          </w:tcPr>
          <w:p w14:paraId="3940220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(13.401)</w:t>
            </w:r>
          </w:p>
        </w:tc>
        <w:tc>
          <w:tcPr>
            <w:tcW w:w="1080" w:type="dxa"/>
            <w:tcBorders>
              <w:top w:val="nil"/>
              <w:left w:val="nil"/>
              <w:bottom w:val="nil"/>
              <w:right w:val="nil"/>
            </w:tcBorders>
          </w:tcPr>
          <w:p w14:paraId="6C664B8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(0.019)</w:t>
            </w:r>
          </w:p>
        </w:tc>
        <w:tc>
          <w:tcPr>
            <w:tcW w:w="1080" w:type="dxa"/>
            <w:tcBorders>
              <w:top w:val="nil"/>
              <w:left w:val="nil"/>
              <w:bottom w:val="nil"/>
              <w:right w:val="nil"/>
            </w:tcBorders>
          </w:tcPr>
          <w:p w14:paraId="2B6D0E0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(0.021)</w:t>
            </w:r>
          </w:p>
        </w:tc>
        <w:tc>
          <w:tcPr>
            <w:tcW w:w="1260" w:type="dxa"/>
            <w:tcBorders>
              <w:top w:val="nil"/>
              <w:left w:val="nil"/>
              <w:bottom w:val="nil"/>
              <w:right w:val="nil"/>
            </w:tcBorders>
          </w:tcPr>
          <w:p w14:paraId="11BF159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(0.005)</w:t>
            </w:r>
          </w:p>
        </w:tc>
        <w:tc>
          <w:tcPr>
            <w:tcW w:w="1440" w:type="dxa"/>
            <w:tcBorders>
              <w:top w:val="nil"/>
              <w:left w:val="nil"/>
              <w:bottom w:val="nil"/>
              <w:right w:val="nil"/>
            </w:tcBorders>
          </w:tcPr>
          <w:p w14:paraId="6AAC9B9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(2.842)</w:t>
            </w:r>
          </w:p>
        </w:tc>
        <w:tc>
          <w:tcPr>
            <w:tcW w:w="1260" w:type="dxa"/>
            <w:tcBorders>
              <w:top w:val="nil"/>
              <w:left w:val="nil"/>
              <w:bottom w:val="nil"/>
              <w:right w:val="nil"/>
            </w:tcBorders>
          </w:tcPr>
          <w:p w14:paraId="7ADA109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(0.183)</w:t>
            </w:r>
          </w:p>
        </w:tc>
        <w:tc>
          <w:tcPr>
            <w:tcW w:w="1350" w:type="dxa"/>
            <w:tcBorders>
              <w:top w:val="nil"/>
              <w:left w:val="nil"/>
              <w:bottom w:val="nil"/>
              <w:right w:val="nil"/>
            </w:tcBorders>
          </w:tcPr>
          <w:p w14:paraId="1ABAC8F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(14.266)</w:t>
            </w:r>
          </w:p>
        </w:tc>
      </w:tr>
      <w:tr w:rsidR="00295D58" w:rsidRPr="007E2DA9" w14:paraId="1E780031" w14:textId="77777777" w:rsidTr="007E2DA9">
        <w:trPr>
          <w:jc w:val="center"/>
        </w:trPr>
        <w:tc>
          <w:tcPr>
            <w:tcW w:w="1440" w:type="dxa"/>
            <w:tcBorders>
              <w:top w:val="nil"/>
              <w:left w:val="nil"/>
              <w:bottom w:val="nil"/>
              <w:right w:val="nil"/>
            </w:tcBorders>
          </w:tcPr>
          <w:p w14:paraId="27B79BE5"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9.Subsector</w:t>
            </w:r>
          </w:p>
        </w:tc>
        <w:tc>
          <w:tcPr>
            <w:tcW w:w="1440" w:type="dxa"/>
            <w:tcBorders>
              <w:top w:val="nil"/>
              <w:left w:val="nil"/>
              <w:bottom w:val="nil"/>
              <w:right w:val="nil"/>
            </w:tcBorders>
          </w:tcPr>
          <w:p w14:paraId="49E4721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-0.7525*</w:t>
            </w:r>
          </w:p>
        </w:tc>
        <w:tc>
          <w:tcPr>
            <w:tcW w:w="1170" w:type="dxa"/>
            <w:tcBorders>
              <w:top w:val="nil"/>
              <w:left w:val="nil"/>
              <w:bottom w:val="nil"/>
              <w:right w:val="nil"/>
            </w:tcBorders>
          </w:tcPr>
          <w:p w14:paraId="5BF9A44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0.9394</w:t>
            </w:r>
          </w:p>
        </w:tc>
        <w:tc>
          <w:tcPr>
            <w:tcW w:w="1170" w:type="dxa"/>
            <w:tcBorders>
              <w:top w:val="nil"/>
              <w:left w:val="nil"/>
              <w:bottom w:val="nil"/>
              <w:right w:val="nil"/>
            </w:tcBorders>
          </w:tcPr>
          <w:p w14:paraId="13206CB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2.8630</w:t>
            </w:r>
          </w:p>
        </w:tc>
        <w:tc>
          <w:tcPr>
            <w:tcW w:w="1080" w:type="dxa"/>
            <w:tcBorders>
              <w:top w:val="nil"/>
              <w:left w:val="nil"/>
              <w:bottom w:val="nil"/>
              <w:right w:val="nil"/>
            </w:tcBorders>
          </w:tcPr>
          <w:p w14:paraId="5DF8A84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-0.0104</w:t>
            </w:r>
          </w:p>
        </w:tc>
        <w:tc>
          <w:tcPr>
            <w:tcW w:w="1080" w:type="dxa"/>
            <w:tcBorders>
              <w:top w:val="nil"/>
              <w:left w:val="nil"/>
              <w:bottom w:val="nil"/>
              <w:right w:val="nil"/>
            </w:tcBorders>
          </w:tcPr>
          <w:p w14:paraId="275BFA1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-0.0105</w:t>
            </w:r>
          </w:p>
        </w:tc>
        <w:tc>
          <w:tcPr>
            <w:tcW w:w="1260" w:type="dxa"/>
            <w:tcBorders>
              <w:top w:val="nil"/>
              <w:left w:val="nil"/>
              <w:bottom w:val="nil"/>
              <w:right w:val="nil"/>
            </w:tcBorders>
          </w:tcPr>
          <w:p w14:paraId="0E971A5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-0.0026*</w:t>
            </w:r>
          </w:p>
        </w:tc>
        <w:tc>
          <w:tcPr>
            <w:tcW w:w="1440" w:type="dxa"/>
            <w:tcBorders>
              <w:top w:val="nil"/>
              <w:left w:val="nil"/>
              <w:bottom w:val="nil"/>
              <w:right w:val="nil"/>
            </w:tcBorders>
          </w:tcPr>
          <w:p w14:paraId="55D9E2A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-16.4249***</w:t>
            </w:r>
          </w:p>
        </w:tc>
        <w:tc>
          <w:tcPr>
            <w:tcW w:w="1260" w:type="dxa"/>
            <w:tcBorders>
              <w:top w:val="nil"/>
              <w:left w:val="nil"/>
              <w:bottom w:val="nil"/>
              <w:right w:val="nil"/>
            </w:tcBorders>
          </w:tcPr>
          <w:p w14:paraId="22D90E3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0.4099***</w:t>
            </w:r>
          </w:p>
        </w:tc>
        <w:tc>
          <w:tcPr>
            <w:tcW w:w="1350" w:type="dxa"/>
            <w:tcBorders>
              <w:top w:val="nil"/>
              <w:left w:val="nil"/>
              <w:bottom w:val="nil"/>
              <w:right w:val="nil"/>
            </w:tcBorders>
          </w:tcPr>
          <w:p w14:paraId="7C031CE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-72.8488***</w:t>
            </w:r>
          </w:p>
        </w:tc>
      </w:tr>
      <w:tr w:rsidR="00295D58" w:rsidRPr="007E2DA9" w14:paraId="10211151" w14:textId="77777777" w:rsidTr="007E2DA9">
        <w:trPr>
          <w:jc w:val="center"/>
        </w:trPr>
        <w:tc>
          <w:tcPr>
            <w:tcW w:w="1440" w:type="dxa"/>
            <w:tcBorders>
              <w:top w:val="nil"/>
              <w:left w:val="nil"/>
              <w:bottom w:val="nil"/>
              <w:right w:val="nil"/>
            </w:tcBorders>
          </w:tcPr>
          <w:p w14:paraId="7CAC1577"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70C062E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(0.395)</w:t>
            </w:r>
          </w:p>
        </w:tc>
        <w:tc>
          <w:tcPr>
            <w:tcW w:w="1170" w:type="dxa"/>
            <w:tcBorders>
              <w:top w:val="nil"/>
              <w:left w:val="nil"/>
              <w:bottom w:val="nil"/>
              <w:right w:val="nil"/>
            </w:tcBorders>
          </w:tcPr>
          <w:p w14:paraId="1F9E13E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(1.167)</w:t>
            </w:r>
          </w:p>
        </w:tc>
        <w:tc>
          <w:tcPr>
            <w:tcW w:w="1170" w:type="dxa"/>
            <w:tcBorders>
              <w:top w:val="nil"/>
              <w:left w:val="nil"/>
              <w:bottom w:val="nil"/>
              <w:right w:val="nil"/>
            </w:tcBorders>
          </w:tcPr>
          <w:p w14:paraId="0E6E476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(5.266)</w:t>
            </w:r>
          </w:p>
        </w:tc>
        <w:tc>
          <w:tcPr>
            <w:tcW w:w="1080" w:type="dxa"/>
            <w:tcBorders>
              <w:top w:val="nil"/>
              <w:left w:val="nil"/>
              <w:bottom w:val="nil"/>
              <w:right w:val="nil"/>
            </w:tcBorders>
          </w:tcPr>
          <w:p w14:paraId="37B5328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080" w:type="dxa"/>
            <w:tcBorders>
              <w:top w:val="nil"/>
              <w:left w:val="nil"/>
              <w:bottom w:val="nil"/>
              <w:right w:val="nil"/>
            </w:tcBorders>
          </w:tcPr>
          <w:p w14:paraId="3D5F1F4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w:t>
            </w:r>
          </w:p>
        </w:tc>
        <w:tc>
          <w:tcPr>
            <w:tcW w:w="1260" w:type="dxa"/>
            <w:tcBorders>
              <w:top w:val="nil"/>
              <w:left w:val="nil"/>
              <w:bottom w:val="nil"/>
              <w:right w:val="nil"/>
            </w:tcBorders>
          </w:tcPr>
          <w:p w14:paraId="0540E62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25C93DF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(1.464)</w:t>
            </w:r>
          </w:p>
        </w:tc>
        <w:tc>
          <w:tcPr>
            <w:tcW w:w="1260" w:type="dxa"/>
            <w:tcBorders>
              <w:top w:val="nil"/>
              <w:left w:val="nil"/>
              <w:bottom w:val="nil"/>
              <w:right w:val="nil"/>
            </w:tcBorders>
          </w:tcPr>
          <w:p w14:paraId="345A9BC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(0.053)</w:t>
            </w:r>
          </w:p>
        </w:tc>
        <w:tc>
          <w:tcPr>
            <w:tcW w:w="1350" w:type="dxa"/>
            <w:tcBorders>
              <w:top w:val="nil"/>
              <w:left w:val="nil"/>
              <w:bottom w:val="nil"/>
              <w:right w:val="nil"/>
            </w:tcBorders>
          </w:tcPr>
          <w:p w14:paraId="1317B90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(12.732)</w:t>
            </w:r>
          </w:p>
        </w:tc>
      </w:tr>
      <w:tr w:rsidR="00295D58" w:rsidRPr="007E2DA9" w14:paraId="69ED3567" w14:textId="77777777" w:rsidTr="007E2DA9">
        <w:trPr>
          <w:jc w:val="center"/>
        </w:trPr>
        <w:tc>
          <w:tcPr>
            <w:tcW w:w="1440" w:type="dxa"/>
            <w:tcBorders>
              <w:top w:val="nil"/>
              <w:left w:val="nil"/>
              <w:bottom w:val="nil"/>
              <w:right w:val="nil"/>
            </w:tcBorders>
          </w:tcPr>
          <w:p w14:paraId="5FA1FB82"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10.Subsector</w:t>
            </w:r>
          </w:p>
        </w:tc>
        <w:tc>
          <w:tcPr>
            <w:tcW w:w="1440" w:type="dxa"/>
            <w:tcBorders>
              <w:top w:val="nil"/>
              <w:left w:val="nil"/>
              <w:bottom w:val="nil"/>
              <w:right w:val="nil"/>
            </w:tcBorders>
          </w:tcPr>
          <w:p w14:paraId="643A951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-0.6497</w:t>
            </w:r>
          </w:p>
        </w:tc>
        <w:tc>
          <w:tcPr>
            <w:tcW w:w="1170" w:type="dxa"/>
            <w:tcBorders>
              <w:top w:val="nil"/>
              <w:left w:val="nil"/>
              <w:bottom w:val="nil"/>
              <w:right w:val="nil"/>
            </w:tcBorders>
          </w:tcPr>
          <w:p w14:paraId="3675D47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1.6826</w:t>
            </w:r>
          </w:p>
        </w:tc>
        <w:tc>
          <w:tcPr>
            <w:tcW w:w="1170" w:type="dxa"/>
            <w:tcBorders>
              <w:top w:val="nil"/>
              <w:left w:val="nil"/>
              <w:bottom w:val="nil"/>
              <w:right w:val="nil"/>
            </w:tcBorders>
          </w:tcPr>
          <w:p w14:paraId="6165B06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0.1691</w:t>
            </w:r>
          </w:p>
        </w:tc>
        <w:tc>
          <w:tcPr>
            <w:tcW w:w="1080" w:type="dxa"/>
            <w:tcBorders>
              <w:top w:val="nil"/>
              <w:left w:val="nil"/>
              <w:bottom w:val="nil"/>
              <w:right w:val="nil"/>
            </w:tcBorders>
          </w:tcPr>
          <w:p w14:paraId="152D35F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0.0045</w:t>
            </w:r>
          </w:p>
        </w:tc>
        <w:tc>
          <w:tcPr>
            <w:tcW w:w="1080" w:type="dxa"/>
            <w:tcBorders>
              <w:top w:val="nil"/>
              <w:left w:val="nil"/>
              <w:bottom w:val="nil"/>
              <w:right w:val="nil"/>
            </w:tcBorders>
          </w:tcPr>
          <w:p w14:paraId="027BF05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0.0076</w:t>
            </w:r>
          </w:p>
        </w:tc>
        <w:tc>
          <w:tcPr>
            <w:tcW w:w="1260" w:type="dxa"/>
            <w:tcBorders>
              <w:top w:val="nil"/>
              <w:left w:val="nil"/>
              <w:bottom w:val="nil"/>
              <w:right w:val="nil"/>
            </w:tcBorders>
          </w:tcPr>
          <w:p w14:paraId="67C0088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-0.0005</w:t>
            </w:r>
          </w:p>
        </w:tc>
        <w:tc>
          <w:tcPr>
            <w:tcW w:w="1440" w:type="dxa"/>
            <w:tcBorders>
              <w:top w:val="nil"/>
              <w:left w:val="nil"/>
              <w:bottom w:val="nil"/>
              <w:right w:val="nil"/>
            </w:tcBorders>
          </w:tcPr>
          <w:p w14:paraId="4D1320F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-5.7103***</w:t>
            </w:r>
          </w:p>
        </w:tc>
        <w:tc>
          <w:tcPr>
            <w:tcW w:w="1260" w:type="dxa"/>
            <w:tcBorders>
              <w:top w:val="nil"/>
              <w:left w:val="nil"/>
              <w:bottom w:val="nil"/>
              <w:right w:val="nil"/>
            </w:tcBorders>
          </w:tcPr>
          <w:p w14:paraId="71E4AE5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0.1136**</w:t>
            </w:r>
          </w:p>
        </w:tc>
        <w:tc>
          <w:tcPr>
            <w:tcW w:w="1350" w:type="dxa"/>
            <w:tcBorders>
              <w:top w:val="nil"/>
              <w:left w:val="nil"/>
              <w:bottom w:val="nil"/>
              <w:right w:val="nil"/>
            </w:tcBorders>
          </w:tcPr>
          <w:p w14:paraId="6D01678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-23.2715*</w:t>
            </w:r>
          </w:p>
        </w:tc>
      </w:tr>
      <w:tr w:rsidR="00295D58" w:rsidRPr="007E2DA9" w14:paraId="6C6C7D51" w14:textId="77777777" w:rsidTr="007E2DA9">
        <w:trPr>
          <w:jc w:val="center"/>
        </w:trPr>
        <w:tc>
          <w:tcPr>
            <w:tcW w:w="1440" w:type="dxa"/>
            <w:tcBorders>
              <w:top w:val="nil"/>
              <w:left w:val="nil"/>
              <w:bottom w:val="nil"/>
              <w:right w:val="nil"/>
            </w:tcBorders>
          </w:tcPr>
          <w:p w14:paraId="4C269366"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7EF187D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(0.451)</w:t>
            </w:r>
          </w:p>
        </w:tc>
        <w:tc>
          <w:tcPr>
            <w:tcW w:w="1170" w:type="dxa"/>
            <w:tcBorders>
              <w:top w:val="nil"/>
              <w:left w:val="nil"/>
              <w:bottom w:val="nil"/>
              <w:right w:val="nil"/>
            </w:tcBorders>
          </w:tcPr>
          <w:p w14:paraId="12F64B5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(1.188)</w:t>
            </w:r>
          </w:p>
        </w:tc>
        <w:tc>
          <w:tcPr>
            <w:tcW w:w="1170" w:type="dxa"/>
            <w:tcBorders>
              <w:top w:val="nil"/>
              <w:left w:val="nil"/>
              <w:bottom w:val="nil"/>
              <w:right w:val="nil"/>
            </w:tcBorders>
          </w:tcPr>
          <w:p w14:paraId="0DB5B7B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(5.276)</w:t>
            </w:r>
          </w:p>
        </w:tc>
        <w:tc>
          <w:tcPr>
            <w:tcW w:w="1080" w:type="dxa"/>
            <w:tcBorders>
              <w:top w:val="nil"/>
              <w:left w:val="nil"/>
              <w:bottom w:val="nil"/>
              <w:right w:val="nil"/>
            </w:tcBorders>
          </w:tcPr>
          <w:p w14:paraId="0F553F7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w:t>
            </w:r>
          </w:p>
        </w:tc>
        <w:tc>
          <w:tcPr>
            <w:tcW w:w="1080" w:type="dxa"/>
            <w:tcBorders>
              <w:top w:val="nil"/>
              <w:left w:val="nil"/>
              <w:bottom w:val="nil"/>
              <w:right w:val="nil"/>
            </w:tcBorders>
          </w:tcPr>
          <w:p w14:paraId="5470B89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260" w:type="dxa"/>
            <w:tcBorders>
              <w:top w:val="nil"/>
              <w:left w:val="nil"/>
              <w:bottom w:val="nil"/>
              <w:right w:val="nil"/>
            </w:tcBorders>
          </w:tcPr>
          <w:p w14:paraId="03660BB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w:t>
            </w:r>
          </w:p>
        </w:tc>
        <w:tc>
          <w:tcPr>
            <w:tcW w:w="1440" w:type="dxa"/>
            <w:tcBorders>
              <w:top w:val="nil"/>
              <w:left w:val="nil"/>
              <w:bottom w:val="nil"/>
              <w:right w:val="nil"/>
            </w:tcBorders>
          </w:tcPr>
          <w:p w14:paraId="7CDD22C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(1.733)</w:t>
            </w:r>
          </w:p>
        </w:tc>
        <w:tc>
          <w:tcPr>
            <w:tcW w:w="1260" w:type="dxa"/>
            <w:tcBorders>
              <w:top w:val="nil"/>
              <w:left w:val="nil"/>
              <w:bottom w:val="nil"/>
              <w:right w:val="nil"/>
            </w:tcBorders>
          </w:tcPr>
          <w:p w14:paraId="4A8D2E2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(0.055)</w:t>
            </w:r>
          </w:p>
        </w:tc>
        <w:tc>
          <w:tcPr>
            <w:tcW w:w="1350" w:type="dxa"/>
            <w:tcBorders>
              <w:top w:val="nil"/>
              <w:left w:val="nil"/>
              <w:bottom w:val="nil"/>
              <w:right w:val="nil"/>
            </w:tcBorders>
          </w:tcPr>
          <w:p w14:paraId="2531393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(12.688)</w:t>
            </w:r>
          </w:p>
        </w:tc>
      </w:tr>
      <w:tr w:rsidR="00295D58" w:rsidRPr="007E2DA9" w14:paraId="44442AB6" w14:textId="77777777" w:rsidTr="007E2DA9">
        <w:trPr>
          <w:jc w:val="center"/>
        </w:trPr>
        <w:tc>
          <w:tcPr>
            <w:tcW w:w="1440" w:type="dxa"/>
            <w:tcBorders>
              <w:top w:val="nil"/>
              <w:left w:val="nil"/>
              <w:bottom w:val="nil"/>
              <w:right w:val="nil"/>
            </w:tcBorders>
          </w:tcPr>
          <w:p w14:paraId="19108F2E"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year</w:t>
            </w:r>
          </w:p>
        </w:tc>
        <w:tc>
          <w:tcPr>
            <w:tcW w:w="1440" w:type="dxa"/>
            <w:tcBorders>
              <w:top w:val="nil"/>
              <w:left w:val="nil"/>
              <w:bottom w:val="nil"/>
              <w:right w:val="nil"/>
            </w:tcBorders>
          </w:tcPr>
          <w:p w14:paraId="2B5189D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0.0922*</w:t>
            </w:r>
          </w:p>
        </w:tc>
        <w:tc>
          <w:tcPr>
            <w:tcW w:w="1170" w:type="dxa"/>
            <w:tcBorders>
              <w:top w:val="nil"/>
              <w:left w:val="nil"/>
              <w:bottom w:val="nil"/>
              <w:right w:val="nil"/>
            </w:tcBorders>
          </w:tcPr>
          <w:p w14:paraId="7221C46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0.2021</w:t>
            </w:r>
          </w:p>
        </w:tc>
        <w:tc>
          <w:tcPr>
            <w:tcW w:w="1170" w:type="dxa"/>
            <w:tcBorders>
              <w:top w:val="nil"/>
              <w:left w:val="nil"/>
              <w:bottom w:val="nil"/>
              <w:right w:val="nil"/>
            </w:tcBorders>
          </w:tcPr>
          <w:p w14:paraId="1479D38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-0.8108</w:t>
            </w:r>
          </w:p>
        </w:tc>
        <w:tc>
          <w:tcPr>
            <w:tcW w:w="1080" w:type="dxa"/>
            <w:tcBorders>
              <w:top w:val="nil"/>
              <w:left w:val="nil"/>
              <w:bottom w:val="nil"/>
              <w:right w:val="nil"/>
            </w:tcBorders>
          </w:tcPr>
          <w:p w14:paraId="20B4CFF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-0.0021</w:t>
            </w:r>
          </w:p>
        </w:tc>
        <w:tc>
          <w:tcPr>
            <w:tcW w:w="1080" w:type="dxa"/>
            <w:tcBorders>
              <w:top w:val="nil"/>
              <w:left w:val="nil"/>
              <w:bottom w:val="nil"/>
              <w:right w:val="nil"/>
            </w:tcBorders>
          </w:tcPr>
          <w:p w14:paraId="539AFC1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-0.0037**</w:t>
            </w:r>
          </w:p>
        </w:tc>
        <w:tc>
          <w:tcPr>
            <w:tcW w:w="1260" w:type="dxa"/>
            <w:tcBorders>
              <w:top w:val="nil"/>
              <w:left w:val="nil"/>
              <w:bottom w:val="nil"/>
              <w:right w:val="nil"/>
            </w:tcBorders>
          </w:tcPr>
          <w:p w14:paraId="7BC6C60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-0.0002</w:t>
            </w:r>
          </w:p>
        </w:tc>
        <w:tc>
          <w:tcPr>
            <w:tcW w:w="1440" w:type="dxa"/>
            <w:tcBorders>
              <w:top w:val="nil"/>
              <w:left w:val="nil"/>
              <w:bottom w:val="nil"/>
              <w:right w:val="nil"/>
            </w:tcBorders>
          </w:tcPr>
          <w:p w14:paraId="13A76D5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-0.7863***</w:t>
            </w:r>
          </w:p>
        </w:tc>
        <w:tc>
          <w:tcPr>
            <w:tcW w:w="1260" w:type="dxa"/>
            <w:tcBorders>
              <w:top w:val="nil"/>
              <w:left w:val="nil"/>
              <w:bottom w:val="nil"/>
              <w:right w:val="nil"/>
            </w:tcBorders>
          </w:tcPr>
          <w:p w14:paraId="191B171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-0.0286***</w:t>
            </w:r>
          </w:p>
        </w:tc>
        <w:tc>
          <w:tcPr>
            <w:tcW w:w="1350" w:type="dxa"/>
            <w:tcBorders>
              <w:top w:val="nil"/>
              <w:left w:val="nil"/>
              <w:bottom w:val="nil"/>
              <w:right w:val="nil"/>
            </w:tcBorders>
          </w:tcPr>
          <w:p w14:paraId="3F51E82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-4.3411**</w:t>
            </w:r>
          </w:p>
        </w:tc>
      </w:tr>
      <w:tr w:rsidR="00295D58" w:rsidRPr="007E2DA9" w14:paraId="1532F3DE" w14:textId="77777777" w:rsidTr="007E2DA9">
        <w:trPr>
          <w:jc w:val="center"/>
        </w:trPr>
        <w:tc>
          <w:tcPr>
            <w:tcW w:w="1440" w:type="dxa"/>
            <w:tcBorders>
              <w:top w:val="nil"/>
              <w:left w:val="nil"/>
              <w:bottom w:val="nil"/>
              <w:right w:val="nil"/>
            </w:tcBorders>
          </w:tcPr>
          <w:p w14:paraId="06275C57"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F0E2F6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(0.051)</w:t>
            </w:r>
          </w:p>
        </w:tc>
        <w:tc>
          <w:tcPr>
            <w:tcW w:w="1170" w:type="dxa"/>
            <w:tcBorders>
              <w:top w:val="nil"/>
              <w:left w:val="nil"/>
              <w:bottom w:val="nil"/>
              <w:right w:val="nil"/>
            </w:tcBorders>
          </w:tcPr>
          <w:p w14:paraId="4E3C517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(0.194)</w:t>
            </w:r>
          </w:p>
        </w:tc>
        <w:tc>
          <w:tcPr>
            <w:tcW w:w="1170" w:type="dxa"/>
            <w:tcBorders>
              <w:top w:val="nil"/>
              <w:left w:val="nil"/>
              <w:bottom w:val="nil"/>
              <w:right w:val="nil"/>
            </w:tcBorders>
          </w:tcPr>
          <w:p w14:paraId="7B0D0E2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(1.177)</w:t>
            </w:r>
          </w:p>
        </w:tc>
        <w:tc>
          <w:tcPr>
            <w:tcW w:w="1080" w:type="dxa"/>
            <w:tcBorders>
              <w:top w:val="nil"/>
              <w:left w:val="nil"/>
              <w:bottom w:val="nil"/>
              <w:right w:val="nil"/>
            </w:tcBorders>
          </w:tcPr>
          <w:p w14:paraId="3EE5C20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w:t>
            </w:r>
          </w:p>
        </w:tc>
        <w:tc>
          <w:tcPr>
            <w:tcW w:w="1080" w:type="dxa"/>
            <w:tcBorders>
              <w:top w:val="nil"/>
              <w:left w:val="nil"/>
              <w:bottom w:val="nil"/>
              <w:right w:val="nil"/>
            </w:tcBorders>
          </w:tcPr>
          <w:p w14:paraId="0F51F6D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w:t>
            </w:r>
          </w:p>
        </w:tc>
        <w:tc>
          <w:tcPr>
            <w:tcW w:w="1260" w:type="dxa"/>
            <w:tcBorders>
              <w:top w:val="nil"/>
              <w:left w:val="nil"/>
              <w:bottom w:val="nil"/>
              <w:right w:val="nil"/>
            </w:tcBorders>
          </w:tcPr>
          <w:p w14:paraId="56775D9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440" w:type="dxa"/>
            <w:tcBorders>
              <w:top w:val="nil"/>
              <w:left w:val="nil"/>
              <w:bottom w:val="nil"/>
              <w:right w:val="nil"/>
            </w:tcBorders>
          </w:tcPr>
          <w:p w14:paraId="3C4E284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(0.276)</w:t>
            </w:r>
          </w:p>
        </w:tc>
        <w:tc>
          <w:tcPr>
            <w:tcW w:w="1260" w:type="dxa"/>
            <w:tcBorders>
              <w:top w:val="nil"/>
              <w:left w:val="nil"/>
              <w:bottom w:val="nil"/>
              <w:right w:val="nil"/>
            </w:tcBorders>
          </w:tcPr>
          <w:p w14:paraId="1D6BC4A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(0.004)</w:t>
            </w:r>
          </w:p>
        </w:tc>
        <w:tc>
          <w:tcPr>
            <w:tcW w:w="1350" w:type="dxa"/>
            <w:tcBorders>
              <w:top w:val="nil"/>
              <w:left w:val="nil"/>
              <w:bottom w:val="nil"/>
              <w:right w:val="nil"/>
            </w:tcBorders>
          </w:tcPr>
          <w:p w14:paraId="4A64B9A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(1.742)</w:t>
            </w:r>
          </w:p>
        </w:tc>
      </w:tr>
      <w:tr w:rsidR="00295D58" w:rsidRPr="007E2DA9" w14:paraId="514BD8AB" w14:textId="77777777" w:rsidTr="007E2DA9">
        <w:trPr>
          <w:jc w:val="center"/>
        </w:trPr>
        <w:tc>
          <w:tcPr>
            <w:tcW w:w="1440" w:type="dxa"/>
            <w:tcBorders>
              <w:top w:val="nil"/>
              <w:left w:val="nil"/>
              <w:bottom w:val="nil"/>
              <w:right w:val="nil"/>
            </w:tcBorders>
          </w:tcPr>
          <w:p w14:paraId="5EC247F7"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Roma</w:t>
            </w:r>
          </w:p>
        </w:tc>
        <w:tc>
          <w:tcPr>
            <w:tcW w:w="1440" w:type="dxa"/>
            <w:tcBorders>
              <w:top w:val="nil"/>
              <w:left w:val="nil"/>
              <w:bottom w:val="nil"/>
              <w:right w:val="nil"/>
            </w:tcBorders>
          </w:tcPr>
          <w:p w14:paraId="5E4FB10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0.2190</w:t>
            </w:r>
          </w:p>
        </w:tc>
        <w:tc>
          <w:tcPr>
            <w:tcW w:w="1170" w:type="dxa"/>
            <w:tcBorders>
              <w:top w:val="nil"/>
              <w:left w:val="nil"/>
              <w:bottom w:val="nil"/>
              <w:right w:val="nil"/>
            </w:tcBorders>
          </w:tcPr>
          <w:p w14:paraId="32478C1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1.2151</w:t>
            </w:r>
          </w:p>
        </w:tc>
        <w:tc>
          <w:tcPr>
            <w:tcW w:w="1170" w:type="dxa"/>
            <w:tcBorders>
              <w:top w:val="nil"/>
              <w:left w:val="nil"/>
              <w:bottom w:val="nil"/>
              <w:right w:val="nil"/>
            </w:tcBorders>
          </w:tcPr>
          <w:p w14:paraId="7DD66F2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3.0722</w:t>
            </w:r>
          </w:p>
        </w:tc>
        <w:tc>
          <w:tcPr>
            <w:tcW w:w="1080" w:type="dxa"/>
            <w:tcBorders>
              <w:top w:val="nil"/>
              <w:left w:val="nil"/>
              <w:bottom w:val="nil"/>
              <w:right w:val="nil"/>
            </w:tcBorders>
          </w:tcPr>
          <w:p w14:paraId="2672FD5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0.0043</w:t>
            </w:r>
          </w:p>
        </w:tc>
        <w:tc>
          <w:tcPr>
            <w:tcW w:w="1080" w:type="dxa"/>
            <w:tcBorders>
              <w:top w:val="nil"/>
              <w:left w:val="nil"/>
              <w:bottom w:val="nil"/>
              <w:right w:val="nil"/>
            </w:tcBorders>
          </w:tcPr>
          <w:p w14:paraId="246EBCA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0.0090</w:t>
            </w:r>
          </w:p>
        </w:tc>
        <w:tc>
          <w:tcPr>
            <w:tcW w:w="1260" w:type="dxa"/>
            <w:tcBorders>
              <w:top w:val="nil"/>
              <w:left w:val="nil"/>
              <w:bottom w:val="nil"/>
              <w:right w:val="nil"/>
            </w:tcBorders>
          </w:tcPr>
          <w:p w14:paraId="4748A47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-0.0018**</w:t>
            </w:r>
          </w:p>
        </w:tc>
        <w:tc>
          <w:tcPr>
            <w:tcW w:w="1440" w:type="dxa"/>
            <w:tcBorders>
              <w:top w:val="nil"/>
              <w:left w:val="nil"/>
              <w:bottom w:val="nil"/>
              <w:right w:val="nil"/>
            </w:tcBorders>
          </w:tcPr>
          <w:p w14:paraId="48DA59D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-0.8118</w:t>
            </w:r>
          </w:p>
        </w:tc>
        <w:tc>
          <w:tcPr>
            <w:tcW w:w="1260" w:type="dxa"/>
            <w:tcBorders>
              <w:top w:val="nil"/>
              <w:left w:val="nil"/>
              <w:bottom w:val="nil"/>
              <w:right w:val="nil"/>
            </w:tcBorders>
          </w:tcPr>
          <w:p w14:paraId="7BB5B3E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-0.0421</w:t>
            </w:r>
          </w:p>
        </w:tc>
        <w:tc>
          <w:tcPr>
            <w:tcW w:w="1350" w:type="dxa"/>
            <w:tcBorders>
              <w:top w:val="nil"/>
              <w:left w:val="nil"/>
              <w:bottom w:val="nil"/>
              <w:right w:val="nil"/>
            </w:tcBorders>
          </w:tcPr>
          <w:p w14:paraId="04C33EC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-13.3472**</w:t>
            </w:r>
          </w:p>
        </w:tc>
      </w:tr>
      <w:tr w:rsidR="00295D58" w:rsidRPr="007E2DA9" w14:paraId="65657399" w14:textId="77777777" w:rsidTr="007E2DA9">
        <w:trPr>
          <w:jc w:val="center"/>
        </w:trPr>
        <w:tc>
          <w:tcPr>
            <w:tcW w:w="1440" w:type="dxa"/>
            <w:tcBorders>
              <w:top w:val="nil"/>
              <w:left w:val="nil"/>
              <w:bottom w:val="nil"/>
              <w:right w:val="nil"/>
            </w:tcBorders>
          </w:tcPr>
          <w:p w14:paraId="65C3EE70"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89F221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(0.144)</w:t>
            </w:r>
          </w:p>
        </w:tc>
        <w:tc>
          <w:tcPr>
            <w:tcW w:w="1170" w:type="dxa"/>
            <w:tcBorders>
              <w:top w:val="nil"/>
              <w:left w:val="nil"/>
              <w:bottom w:val="nil"/>
              <w:right w:val="nil"/>
            </w:tcBorders>
          </w:tcPr>
          <w:p w14:paraId="7BECB42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(1.084)</w:t>
            </w:r>
          </w:p>
        </w:tc>
        <w:tc>
          <w:tcPr>
            <w:tcW w:w="1170" w:type="dxa"/>
            <w:tcBorders>
              <w:top w:val="nil"/>
              <w:left w:val="nil"/>
              <w:bottom w:val="nil"/>
              <w:right w:val="nil"/>
            </w:tcBorders>
          </w:tcPr>
          <w:p w14:paraId="42C86BE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(4.769)</w:t>
            </w:r>
          </w:p>
        </w:tc>
        <w:tc>
          <w:tcPr>
            <w:tcW w:w="1080" w:type="dxa"/>
            <w:tcBorders>
              <w:top w:val="nil"/>
              <w:left w:val="nil"/>
              <w:bottom w:val="nil"/>
              <w:right w:val="nil"/>
            </w:tcBorders>
          </w:tcPr>
          <w:p w14:paraId="1DDF484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w:t>
            </w:r>
          </w:p>
        </w:tc>
        <w:tc>
          <w:tcPr>
            <w:tcW w:w="1080" w:type="dxa"/>
            <w:tcBorders>
              <w:top w:val="nil"/>
              <w:left w:val="nil"/>
              <w:bottom w:val="nil"/>
              <w:right w:val="nil"/>
            </w:tcBorders>
          </w:tcPr>
          <w:p w14:paraId="19E4350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260" w:type="dxa"/>
            <w:tcBorders>
              <w:top w:val="nil"/>
              <w:left w:val="nil"/>
              <w:bottom w:val="nil"/>
              <w:right w:val="nil"/>
            </w:tcBorders>
          </w:tcPr>
          <w:p w14:paraId="62D2ABE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4719816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(0.981)</w:t>
            </w:r>
          </w:p>
        </w:tc>
        <w:tc>
          <w:tcPr>
            <w:tcW w:w="1260" w:type="dxa"/>
            <w:tcBorders>
              <w:top w:val="nil"/>
              <w:left w:val="nil"/>
              <w:bottom w:val="nil"/>
              <w:right w:val="nil"/>
            </w:tcBorders>
          </w:tcPr>
          <w:p w14:paraId="3886270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(0.038)</w:t>
            </w:r>
          </w:p>
        </w:tc>
        <w:tc>
          <w:tcPr>
            <w:tcW w:w="1350" w:type="dxa"/>
            <w:tcBorders>
              <w:top w:val="nil"/>
              <w:left w:val="nil"/>
              <w:bottom w:val="nil"/>
              <w:right w:val="nil"/>
            </w:tcBorders>
          </w:tcPr>
          <w:p w14:paraId="0D93425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(6.791)</w:t>
            </w:r>
          </w:p>
        </w:tc>
      </w:tr>
      <w:tr w:rsidR="00295D58" w:rsidRPr="007E2DA9" w14:paraId="0E85AAA4" w14:textId="77777777" w:rsidTr="007E2DA9">
        <w:trPr>
          <w:jc w:val="center"/>
        </w:trPr>
        <w:tc>
          <w:tcPr>
            <w:tcW w:w="1440" w:type="dxa"/>
            <w:tcBorders>
              <w:top w:val="nil"/>
              <w:left w:val="nil"/>
              <w:bottom w:val="nil"/>
              <w:right w:val="nil"/>
            </w:tcBorders>
          </w:tcPr>
          <w:p w14:paraId="0010ACEC"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Napoli</w:t>
            </w:r>
          </w:p>
        </w:tc>
        <w:tc>
          <w:tcPr>
            <w:tcW w:w="1440" w:type="dxa"/>
            <w:tcBorders>
              <w:top w:val="nil"/>
              <w:left w:val="nil"/>
              <w:bottom w:val="nil"/>
              <w:right w:val="nil"/>
            </w:tcBorders>
          </w:tcPr>
          <w:p w14:paraId="1AC6824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1.0015*</w:t>
            </w:r>
          </w:p>
        </w:tc>
        <w:tc>
          <w:tcPr>
            <w:tcW w:w="1170" w:type="dxa"/>
            <w:tcBorders>
              <w:top w:val="nil"/>
              <w:left w:val="nil"/>
              <w:bottom w:val="nil"/>
              <w:right w:val="nil"/>
            </w:tcBorders>
          </w:tcPr>
          <w:p w14:paraId="4C80752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4.0925**</w:t>
            </w:r>
          </w:p>
        </w:tc>
        <w:tc>
          <w:tcPr>
            <w:tcW w:w="1170" w:type="dxa"/>
            <w:tcBorders>
              <w:top w:val="nil"/>
              <w:left w:val="nil"/>
              <w:bottom w:val="nil"/>
              <w:right w:val="nil"/>
            </w:tcBorders>
          </w:tcPr>
          <w:p w14:paraId="771BF3D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-5.8556</w:t>
            </w:r>
          </w:p>
        </w:tc>
        <w:tc>
          <w:tcPr>
            <w:tcW w:w="1080" w:type="dxa"/>
            <w:tcBorders>
              <w:top w:val="nil"/>
              <w:left w:val="nil"/>
              <w:bottom w:val="nil"/>
              <w:right w:val="nil"/>
            </w:tcBorders>
          </w:tcPr>
          <w:p w14:paraId="0667988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0.0238***</w:t>
            </w:r>
          </w:p>
        </w:tc>
        <w:tc>
          <w:tcPr>
            <w:tcW w:w="1080" w:type="dxa"/>
            <w:tcBorders>
              <w:top w:val="nil"/>
              <w:left w:val="nil"/>
              <w:bottom w:val="nil"/>
              <w:right w:val="nil"/>
            </w:tcBorders>
          </w:tcPr>
          <w:p w14:paraId="4F52C60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0.0286***</w:t>
            </w:r>
          </w:p>
        </w:tc>
        <w:tc>
          <w:tcPr>
            <w:tcW w:w="1260" w:type="dxa"/>
            <w:tcBorders>
              <w:top w:val="nil"/>
              <w:left w:val="nil"/>
              <w:bottom w:val="nil"/>
              <w:right w:val="nil"/>
            </w:tcBorders>
          </w:tcPr>
          <w:p w14:paraId="3583349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0.0003</w:t>
            </w:r>
          </w:p>
        </w:tc>
        <w:tc>
          <w:tcPr>
            <w:tcW w:w="1440" w:type="dxa"/>
            <w:tcBorders>
              <w:top w:val="nil"/>
              <w:left w:val="nil"/>
              <w:bottom w:val="nil"/>
              <w:right w:val="nil"/>
            </w:tcBorders>
          </w:tcPr>
          <w:p w14:paraId="0584392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-3.4384</w:t>
            </w:r>
          </w:p>
        </w:tc>
        <w:tc>
          <w:tcPr>
            <w:tcW w:w="1260" w:type="dxa"/>
            <w:tcBorders>
              <w:top w:val="nil"/>
              <w:left w:val="nil"/>
              <w:bottom w:val="nil"/>
              <w:right w:val="nil"/>
            </w:tcBorders>
          </w:tcPr>
          <w:p w14:paraId="3C905F0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-0.2139***</w:t>
            </w:r>
          </w:p>
        </w:tc>
        <w:tc>
          <w:tcPr>
            <w:tcW w:w="1350" w:type="dxa"/>
            <w:tcBorders>
              <w:top w:val="nil"/>
              <w:left w:val="nil"/>
              <w:bottom w:val="nil"/>
              <w:right w:val="nil"/>
            </w:tcBorders>
          </w:tcPr>
          <w:p w14:paraId="099AB10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-1.3330</w:t>
            </w:r>
          </w:p>
        </w:tc>
      </w:tr>
      <w:tr w:rsidR="00295D58" w:rsidRPr="007E2DA9" w14:paraId="35251F6D" w14:textId="77777777" w:rsidTr="007E2DA9">
        <w:trPr>
          <w:jc w:val="center"/>
        </w:trPr>
        <w:tc>
          <w:tcPr>
            <w:tcW w:w="1440" w:type="dxa"/>
            <w:tcBorders>
              <w:top w:val="nil"/>
              <w:left w:val="nil"/>
              <w:bottom w:val="nil"/>
              <w:right w:val="nil"/>
            </w:tcBorders>
          </w:tcPr>
          <w:p w14:paraId="38F0144B"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6D475C5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(0.589)</w:t>
            </w:r>
          </w:p>
        </w:tc>
        <w:tc>
          <w:tcPr>
            <w:tcW w:w="1170" w:type="dxa"/>
            <w:tcBorders>
              <w:top w:val="nil"/>
              <w:left w:val="nil"/>
              <w:bottom w:val="nil"/>
              <w:right w:val="nil"/>
            </w:tcBorders>
          </w:tcPr>
          <w:p w14:paraId="65AF0A7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(1.834)</w:t>
            </w:r>
          </w:p>
        </w:tc>
        <w:tc>
          <w:tcPr>
            <w:tcW w:w="1170" w:type="dxa"/>
            <w:tcBorders>
              <w:top w:val="nil"/>
              <w:left w:val="nil"/>
              <w:bottom w:val="nil"/>
              <w:right w:val="nil"/>
            </w:tcBorders>
          </w:tcPr>
          <w:p w14:paraId="0731575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(4.636)</w:t>
            </w:r>
          </w:p>
        </w:tc>
        <w:tc>
          <w:tcPr>
            <w:tcW w:w="1080" w:type="dxa"/>
            <w:tcBorders>
              <w:top w:val="nil"/>
              <w:left w:val="nil"/>
              <w:bottom w:val="nil"/>
              <w:right w:val="nil"/>
            </w:tcBorders>
          </w:tcPr>
          <w:p w14:paraId="0AF1665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080" w:type="dxa"/>
            <w:tcBorders>
              <w:top w:val="nil"/>
              <w:left w:val="nil"/>
              <w:bottom w:val="nil"/>
              <w:right w:val="nil"/>
            </w:tcBorders>
          </w:tcPr>
          <w:p w14:paraId="69F03CD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260" w:type="dxa"/>
            <w:tcBorders>
              <w:top w:val="nil"/>
              <w:left w:val="nil"/>
              <w:bottom w:val="nil"/>
              <w:right w:val="nil"/>
            </w:tcBorders>
          </w:tcPr>
          <w:p w14:paraId="405A31F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5F3C676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(2.557)</w:t>
            </w:r>
          </w:p>
        </w:tc>
        <w:tc>
          <w:tcPr>
            <w:tcW w:w="1260" w:type="dxa"/>
            <w:tcBorders>
              <w:top w:val="nil"/>
              <w:left w:val="nil"/>
              <w:bottom w:val="nil"/>
              <w:right w:val="nil"/>
            </w:tcBorders>
          </w:tcPr>
          <w:p w14:paraId="2B572ED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(0.045)</w:t>
            </w:r>
          </w:p>
        </w:tc>
        <w:tc>
          <w:tcPr>
            <w:tcW w:w="1350" w:type="dxa"/>
            <w:tcBorders>
              <w:top w:val="nil"/>
              <w:left w:val="nil"/>
              <w:bottom w:val="nil"/>
              <w:right w:val="nil"/>
            </w:tcBorders>
          </w:tcPr>
          <w:p w14:paraId="4AAB9FF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(8.472)</w:t>
            </w:r>
          </w:p>
        </w:tc>
      </w:tr>
      <w:tr w:rsidR="00295D58" w:rsidRPr="007E2DA9" w14:paraId="395BF05D" w14:textId="77777777" w:rsidTr="007E2DA9">
        <w:trPr>
          <w:jc w:val="center"/>
        </w:trPr>
        <w:tc>
          <w:tcPr>
            <w:tcW w:w="1440" w:type="dxa"/>
            <w:tcBorders>
              <w:top w:val="nil"/>
              <w:left w:val="nil"/>
              <w:bottom w:val="nil"/>
              <w:right w:val="nil"/>
            </w:tcBorders>
          </w:tcPr>
          <w:p w14:paraId="6C3357C3"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Milano</w:t>
            </w:r>
          </w:p>
        </w:tc>
        <w:tc>
          <w:tcPr>
            <w:tcW w:w="1440" w:type="dxa"/>
            <w:tcBorders>
              <w:top w:val="nil"/>
              <w:left w:val="nil"/>
              <w:bottom w:val="nil"/>
              <w:right w:val="nil"/>
            </w:tcBorders>
          </w:tcPr>
          <w:p w14:paraId="08BAB26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-0.3175*</w:t>
            </w:r>
          </w:p>
        </w:tc>
        <w:tc>
          <w:tcPr>
            <w:tcW w:w="1170" w:type="dxa"/>
            <w:tcBorders>
              <w:top w:val="nil"/>
              <w:left w:val="nil"/>
              <w:bottom w:val="nil"/>
              <w:right w:val="nil"/>
            </w:tcBorders>
          </w:tcPr>
          <w:p w14:paraId="7D5AD5E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-1.5637</w:t>
            </w:r>
          </w:p>
        </w:tc>
        <w:tc>
          <w:tcPr>
            <w:tcW w:w="1170" w:type="dxa"/>
            <w:tcBorders>
              <w:top w:val="nil"/>
              <w:left w:val="nil"/>
              <w:bottom w:val="nil"/>
              <w:right w:val="nil"/>
            </w:tcBorders>
          </w:tcPr>
          <w:p w14:paraId="20CC2F5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9.8936</w:t>
            </w:r>
          </w:p>
        </w:tc>
        <w:tc>
          <w:tcPr>
            <w:tcW w:w="1080" w:type="dxa"/>
            <w:tcBorders>
              <w:top w:val="nil"/>
              <w:left w:val="nil"/>
              <w:bottom w:val="nil"/>
              <w:right w:val="nil"/>
            </w:tcBorders>
          </w:tcPr>
          <w:p w14:paraId="544120B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-0.0167</w:t>
            </w:r>
          </w:p>
        </w:tc>
        <w:tc>
          <w:tcPr>
            <w:tcW w:w="1080" w:type="dxa"/>
            <w:tcBorders>
              <w:top w:val="nil"/>
              <w:left w:val="nil"/>
              <w:bottom w:val="nil"/>
              <w:right w:val="nil"/>
            </w:tcBorders>
          </w:tcPr>
          <w:p w14:paraId="61907C2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-0.0174</w:t>
            </w:r>
          </w:p>
        </w:tc>
        <w:tc>
          <w:tcPr>
            <w:tcW w:w="1260" w:type="dxa"/>
            <w:tcBorders>
              <w:top w:val="nil"/>
              <w:left w:val="nil"/>
              <w:bottom w:val="nil"/>
              <w:right w:val="nil"/>
            </w:tcBorders>
          </w:tcPr>
          <w:p w14:paraId="7EF780B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0.0004</w:t>
            </w:r>
          </w:p>
        </w:tc>
        <w:tc>
          <w:tcPr>
            <w:tcW w:w="1440" w:type="dxa"/>
            <w:tcBorders>
              <w:top w:val="nil"/>
              <w:left w:val="nil"/>
              <w:bottom w:val="nil"/>
              <w:right w:val="nil"/>
            </w:tcBorders>
          </w:tcPr>
          <w:p w14:paraId="7811CE2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9.9489***</w:t>
            </w:r>
          </w:p>
        </w:tc>
        <w:tc>
          <w:tcPr>
            <w:tcW w:w="1260" w:type="dxa"/>
            <w:tcBorders>
              <w:top w:val="nil"/>
              <w:left w:val="nil"/>
              <w:bottom w:val="nil"/>
              <w:right w:val="nil"/>
            </w:tcBorders>
          </w:tcPr>
          <w:p w14:paraId="5E1FDBE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-0.1043**</w:t>
            </w:r>
          </w:p>
        </w:tc>
        <w:tc>
          <w:tcPr>
            <w:tcW w:w="1350" w:type="dxa"/>
            <w:tcBorders>
              <w:top w:val="nil"/>
              <w:left w:val="nil"/>
              <w:bottom w:val="nil"/>
              <w:right w:val="nil"/>
            </w:tcBorders>
          </w:tcPr>
          <w:p w14:paraId="07433BD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42.4800*</w:t>
            </w:r>
          </w:p>
        </w:tc>
      </w:tr>
      <w:tr w:rsidR="00295D58" w:rsidRPr="007E2DA9" w14:paraId="5B7A631B" w14:textId="77777777" w:rsidTr="007E2DA9">
        <w:trPr>
          <w:jc w:val="center"/>
        </w:trPr>
        <w:tc>
          <w:tcPr>
            <w:tcW w:w="1440" w:type="dxa"/>
            <w:tcBorders>
              <w:top w:val="nil"/>
              <w:left w:val="nil"/>
              <w:bottom w:val="nil"/>
              <w:right w:val="nil"/>
            </w:tcBorders>
          </w:tcPr>
          <w:p w14:paraId="1720F548"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666E884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(0.164)</w:t>
            </w:r>
          </w:p>
        </w:tc>
        <w:tc>
          <w:tcPr>
            <w:tcW w:w="1170" w:type="dxa"/>
            <w:tcBorders>
              <w:top w:val="nil"/>
              <w:left w:val="nil"/>
              <w:bottom w:val="nil"/>
              <w:right w:val="nil"/>
            </w:tcBorders>
          </w:tcPr>
          <w:p w14:paraId="396FADD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(1.813)</w:t>
            </w:r>
          </w:p>
        </w:tc>
        <w:tc>
          <w:tcPr>
            <w:tcW w:w="1170" w:type="dxa"/>
            <w:tcBorders>
              <w:top w:val="nil"/>
              <w:left w:val="nil"/>
              <w:bottom w:val="nil"/>
              <w:right w:val="nil"/>
            </w:tcBorders>
          </w:tcPr>
          <w:p w14:paraId="0C6CEFF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(7.138)</w:t>
            </w:r>
          </w:p>
        </w:tc>
        <w:tc>
          <w:tcPr>
            <w:tcW w:w="1080" w:type="dxa"/>
            <w:tcBorders>
              <w:top w:val="nil"/>
              <w:left w:val="nil"/>
              <w:bottom w:val="nil"/>
              <w:right w:val="nil"/>
            </w:tcBorders>
          </w:tcPr>
          <w:p w14:paraId="4A3EAEE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(0.015)</w:t>
            </w:r>
          </w:p>
        </w:tc>
        <w:tc>
          <w:tcPr>
            <w:tcW w:w="1080" w:type="dxa"/>
            <w:tcBorders>
              <w:top w:val="nil"/>
              <w:left w:val="nil"/>
              <w:bottom w:val="nil"/>
              <w:right w:val="nil"/>
            </w:tcBorders>
          </w:tcPr>
          <w:p w14:paraId="61C9658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(0.016)</w:t>
            </w:r>
          </w:p>
        </w:tc>
        <w:tc>
          <w:tcPr>
            <w:tcW w:w="1260" w:type="dxa"/>
            <w:tcBorders>
              <w:top w:val="nil"/>
              <w:left w:val="nil"/>
              <w:bottom w:val="nil"/>
              <w:right w:val="nil"/>
            </w:tcBorders>
          </w:tcPr>
          <w:p w14:paraId="0649DFE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5B1FD9F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(3.802)</w:t>
            </w:r>
          </w:p>
        </w:tc>
        <w:tc>
          <w:tcPr>
            <w:tcW w:w="1260" w:type="dxa"/>
            <w:tcBorders>
              <w:top w:val="nil"/>
              <w:left w:val="nil"/>
              <w:bottom w:val="nil"/>
              <w:right w:val="nil"/>
            </w:tcBorders>
          </w:tcPr>
          <w:p w14:paraId="6FFAB1C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(0.046)</w:t>
            </w:r>
          </w:p>
        </w:tc>
        <w:tc>
          <w:tcPr>
            <w:tcW w:w="1350" w:type="dxa"/>
            <w:tcBorders>
              <w:top w:val="nil"/>
              <w:left w:val="nil"/>
              <w:bottom w:val="nil"/>
              <w:right w:val="nil"/>
            </w:tcBorders>
          </w:tcPr>
          <w:p w14:paraId="7F82E43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(23.182)</w:t>
            </w:r>
          </w:p>
        </w:tc>
      </w:tr>
      <w:tr w:rsidR="00295D58" w:rsidRPr="007E2DA9" w14:paraId="6F5F4373" w14:textId="77777777" w:rsidTr="007E2DA9">
        <w:trPr>
          <w:jc w:val="center"/>
        </w:trPr>
        <w:tc>
          <w:tcPr>
            <w:tcW w:w="1440" w:type="dxa"/>
            <w:tcBorders>
              <w:top w:val="nil"/>
              <w:left w:val="nil"/>
              <w:bottom w:val="nil"/>
              <w:right w:val="nil"/>
            </w:tcBorders>
          </w:tcPr>
          <w:p w14:paraId="0138DB27"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Genova</w:t>
            </w:r>
          </w:p>
        </w:tc>
        <w:tc>
          <w:tcPr>
            <w:tcW w:w="1440" w:type="dxa"/>
            <w:tcBorders>
              <w:top w:val="nil"/>
              <w:left w:val="nil"/>
              <w:bottom w:val="nil"/>
              <w:right w:val="nil"/>
            </w:tcBorders>
          </w:tcPr>
          <w:p w14:paraId="7D3C208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-0.0782</w:t>
            </w:r>
          </w:p>
        </w:tc>
        <w:tc>
          <w:tcPr>
            <w:tcW w:w="1170" w:type="dxa"/>
            <w:tcBorders>
              <w:top w:val="nil"/>
              <w:left w:val="nil"/>
              <w:bottom w:val="nil"/>
              <w:right w:val="nil"/>
            </w:tcBorders>
          </w:tcPr>
          <w:p w14:paraId="06BA136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0.0083</w:t>
            </w:r>
          </w:p>
        </w:tc>
        <w:tc>
          <w:tcPr>
            <w:tcW w:w="1170" w:type="dxa"/>
            <w:tcBorders>
              <w:top w:val="nil"/>
              <w:left w:val="nil"/>
              <w:bottom w:val="nil"/>
              <w:right w:val="nil"/>
            </w:tcBorders>
          </w:tcPr>
          <w:p w14:paraId="2B87026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10.9455</w:t>
            </w:r>
          </w:p>
        </w:tc>
        <w:tc>
          <w:tcPr>
            <w:tcW w:w="1080" w:type="dxa"/>
            <w:tcBorders>
              <w:top w:val="nil"/>
              <w:left w:val="nil"/>
              <w:bottom w:val="nil"/>
              <w:right w:val="nil"/>
            </w:tcBorders>
          </w:tcPr>
          <w:p w14:paraId="7573F4C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-0.0141</w:t>
            </w:r>
          </w:p>
        </w:tc>
        <w:tc>
          <w:tcPr>
            <w:tcW w:w="1080" w:type="dxa"/>
            <w:tcBorders>
              <w:top w:val="nil"/>
              <w:left w:val="nil"/>
              <w:bottom w:val="nil"/>
              <w:right w:val="nil"/>
            </w:tcBorders>
          </w:tcPr>
          <w:p w14:paraId="7C83059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-0.0139</w:t>
            </w:r>
          </w:p>
        </w:tc>
        <w:tc>
          <w:tcPr>
            <w:tcW w:w="1260" w:type="dxa"/>
            <w:tcBorders>
              <w:top w:val="nil"/>
              <w:left w:val="nil"/>
              <w:bottom w:val="nil"/>
              <w:right w:val="nil"/>
            </w:tcBorders>
          </w:tcPr>
          <w:p w14:paraId="497B00D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-0.0038***</w:t>
            </w:r>
          </w:p>
        </w:tc>
        <w:tc>
          <w:tcPr>
            <w:tcW w:w="1440" w:type="dxa"/>
            <w:tcBorders>
              <w:top w:val="nil"/>
              <w:left w:val="nil"/>
              <w:bottom w:val="nil"/>
              <w:right w:val="nil"/>
            </w:tcBorders>
          </w:tcPr>
          <w:p w14:paraId="0EDD44B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3.2247</w:t>
            </w:r>
          </w:p>
        </w:tc>
        <w:tc>
          <w:tcPr>
            <w:tcW w:w="1260" w:type="dxa"/>
            <w:tcBorders>
              <w:top w:val="nil"/>
              <w:left w:val="nil"/>
              <w:bottom w:val="nil"/>
              <w:right w:val="nil"/>
            </w:tcBorders>
          </w:tcPr>
          <w:p w14:paraId="59A1712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0.2828**</w:t>
            </w:r>
          </w:p>
        </w:tc>
        <w:tc>
          <w:tcPr>
            <w:tcW w:w="1350" w:type="dxa"/>
            <w:tcBorders>
              <w:top w:val="nil"/>
              <w:left w:val="nil"/>
              <w:bottom w:val="nil"/>
              <w:right w:val="nil"/>
            </w:tcBorders>
          </w:tcPr>
          <w:p w14:paraId="217DBA4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3.2660</w:t>
            </w:r>
          </w:p>
        </w:tc>
      </w:tr>
      <w:tr w:rsidR="00295D58" w:rsidRPr="007E2DA9" w14:paraId="3FA4B2D7" w14:textId="77777777" w:rsidTr="007E2DA9">
        <w:trPr>
          <w:jc w:val="center"/>
        </w:trPr>
        <w:tc>
          <w:tcPr>
            <w:tcW w:w="1440" w:type="dxa"/>
            <w:tcBorders>
              <w:top w:val="nil"/>
              <w:left w:val="nil"/>
              <w:bottom w:val="nil"/>
              <w:right w:val="nil"/>
            </w:tcBorders>
          </w:tcPr>
          <w:p w14:paraId="34AB8BF0"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3424451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(0.271)</w:t>
            </w:r>
          </w:p>
        </w:tc>
        <w:tc>
          <w:tcPr>
            <w:tcW w:w="1170" w:type="dxa"/>
            <w:tcBorders>
              <w:top w:val="nil"/>
              <w:left w:val="nil"/>
              <w:bottom w:val="nil"/>
              <w:right w:val="nil"/>
            </w:tcBorders>
          </w:tcPr>
          <w:p w14:paraId="6E7B411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(1.834)</w:t>
            </w:r>
          </w:p>
        </w:tc>
        <w:tc>
          <w:tcPr>
            <w:tcW w:w="1170" w:type="dxa"/>
            <w:tcBorders>
              <w:top w:val="nil"/>
              <w:left w:val="nil"/>
              <w:bottom w:val="nil"/>
              <w:right w:val="nil"/>
            </w:tcBorders>
          </w:tcPr>
          <w:p w14:paraId="097D295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(12.066)</w:t>
            </w:r>
          </w:p>
        </w:tc>
        <w:tc>
          <w:tcPr>
            <w:tcW w:w="1080" w:type="dxa"/>
            <w:tcBorders>
              <w:top w:val="nil"/>
              <w:left w:val="nil"/>
              <w:bottom w:val="nil"/>
              <w:right w:val="nil"/>
            </w:tcBorders>
          </w:tcPr>
          <w:p w14:paraId="21A7863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(0.011)</w:t>
            </w:r>
          </w:p>
        </w:tc>
        <w:tc>
          <w:tcPr>
            <w:tcW w:w="1080" w:type="dxa"/>
            <w:tcBorders>
              <w:top w:val="nil"/>
              <w:left w:val="nil"/>
              <w:bottom w:val="nil"/>
              <w:right w:val="nil"/>
            </w:tcBorders>
          </w:tcPr>
          <w:p w14:paraId="32D4816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(0.012)</w:t>
            </w:r>
          </w:p>
        </w:tc>
        <w:tc>
          <w:tcPr>
            <w:tcW w:w="1260" w:type="dxa"/>
            <w:tcBorders>
              <w:top w:val="nil"/>
              <w:left w:val="nil"/>
              <w:bottom w:val="nil"/>
              <w:right w:val="nil"/>
            </w:tcBorders>
          </w:tcPr>
          <w:p w14:paraId="1D75710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3D7E429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(3.154)</w:t>
            </w:r>
          </w:p>
        </w:tc>
        <w:tc>
          <w:tcPr>
            <w:tcW w:w="1260" w:type="dxa"/>
            <w:tcBorders>
              <w:top w:val="nil"/>
              <w:left w:val="nil"/>
              <w:bottom w:val="nil"/>
              <w:right w:val="nil"/>
            </w:tcBorders>
          </w:tcPr>
          <w:p w14:paraId="2FCD1F9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(0.112)</w:t>
            </w:r>
          </w:p>
        </w:tc>
        <w:tc>
          <w:tcPr>
            <w:tcW w:w="1350" w:type="dxa"/>
            <w:tcBorders>
              <w:top w:val="nil"/>
              <w:left w:val="nil"/>
              <w:bottom w:val="nil"/>
              <w:right w:val="nil"/>
            </w:tcBorders>
          </w:tcPr>
          <w:p w14:paraId="6B41353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(22.406)</w:t>
            </w:r>
          </w:p>
        </w:tc>
      </w:tr>
      <w:tr w:rsidR="00295D58" w:rsidRPr="007E2DA9" w14:paraId="6637DBDA" w14:textId="77777777" w:rsidTr="007E2DA9">
        <w:trPr>
          <w:jc w:val="center"/>
        </w:trPr>
        <w:tc>
          <w:tcPr>
            <w:tcW w:w="1440" w:type="dxa"/>
            <w:tcBorders>
              <w:top w:val="nil"/>
              <w:left w:val="nil"/>
              <w:bottom w:val="nil"/>
              <w:right w:val="nil"/>
            </w:tcBorders>
          </w:tcPr>
          <w:p w14:paraId="2C6DACCF"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Catania</w:t>
            </w:r>
          </w:p>
        </w:tc>
        <w:tc>
          <w:tcPr>
            <w:tcW w:w="1440" w:type="dxa"/>
            <w:tcBorders>
              <w:top w:val="nil"/>
              <w:left w:val="nil"/>
              <w:bottom w:val="nil"/>
              <w:right w:val="nil"/>
            </w:tcBorders>
          </w:tcPr>
          <w:p w14:paraId="068B5EB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-0.2822</w:t>
            </w:r>
          </w:p>
        </w:tc>
        <w:tc>
          <w:tcPr>
            <w:tcW w:w="1170" w:type="dxa"/>
            <w:tcBorders>
              <w:top w:val="nil"/>
              <w:left w:val="nil"/>
              <w:bottom w:val="nil"/>
              <w:right w:val="nil"/>
            </w:tcBorders>
          </w:tcPr>
          <w:p w14:paraId="2BBD39F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1.9574</w:t>
            </w:r>
          </w:p>
        </w:tc>
        <w:tc>
          <w:tcPr>
            <w:tcW w:w="1170" w:type="dxa"/>
            <w:tcBorders>
              <w:top w:val="nil"/>
              <w:left w:val="nil"/>
              <w:bottom w:val="nil"/>
              <w:right w:val="nil"/>
            </w:tcBorders>
          </w:tcPr>
          <w:p w14:paraId="1565AE5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-3.0882</w:t>
            </w:r>
          </w:p>
        </w:tc>
        <w:tc>
          <w:tcPr>
            <w:tcW w:w="1080" w:type="dxa"/>
            <w:tcBorders>
              <w:top w:val="nil"/>
              <w:left w:val="nil"/>
              <w:bottom w:val="nil"/>
              <w:right w:val="nil"/>
            </w:tcBorders>
          </w:tcPr>
          <w:p w14:paraId="78DF2CB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-0.0020</w:t>
            </w:r>
          </w:p>
        </w:tc>
        <w:tc>
          <w:tcPr>
            <w:tcW w:w="1080" w:type="dxa"/>
            <w:tcBorders>
              <w:top w:val="nil"/>
              <w:left w:val="nil"/>
              <w:bottom w:val="nil"/>
              <w:right w:val="nil"/>
            </w:tcBorders>
          </w:tcPr>
          <w:p w14:paraId="24C3E0F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-0.0035</w:t>
            </w:r>
          </w:p>
        </w:tc>
        <w:tc>
          <w:tcPr>
            <w:tcW w:w="1260" w:type="dxa"/>
            <w:tcBorders>
              <w:top w:val="nil"/>
              <w:left w:val="nil"/>
              <w:bottom w:val="nil"/>
              <w:right w:val="nil"/>
            </w:tcBorders>
          </w:tcPr>
          <w:p w14:paraId="099963A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-0.0005</w:t>
            </w:r>
          </w:p>
        </w:tc>
        <w:tc>
          <w:tcPr>
            <w:tcW w:w="1440" w:type="dxa"/>
            <w:tcBorders>
              <w:top w:val="nil"/>
              <w:left w:val="nil"/>
              <w:bottom w:val="nil"/>
              <w:right w:val="nil"/>
            </w:tcBorders>
          </w:tcPr>
          <w:p w14:paraId="5C91D3C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-7.3657***</w:t>
            </w:r>
          </w:p>
        </w:tc>
        <w:tc>
          <w:tcPr>
            <w:tcW w:w="1260" w:type="dxa"/>
            <w:tcBorders>
              <w:top w:val="nil"/>
              <w:left w:val="nil"/>
              <w:bottom w:val="nil"/>
              <w:right w:val="nil"/>
            </w:tcBorders>
          </w:tcPr>
          <w:p w14:paraId="6176D47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0.0950</w:t>
            </w:r>
          </w:p>
        </w:tc>
        <w:tc>
          <w:tcPr>
            <w:tcW w:w="1350" w:type="dxa"/>
            <w:tcBorders>
              <w:top w:val="nil"/>
              <w:left w:val="nil"/>
              <w:bottom w:val="nil"/>
              <w:right w:val="nil"/>
            </w:tcBorders>
          </w:tcPr>
          <w:p w14:paraId="26C171C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-34.3359***</w:t>
            </w:r>
          </w:p>
        </w:tc>
      </w:tr>
      <w:tr w:rsidR="00295D58" w:rsidRPr="007E2DA9" w14:paraId="44C5AF52" w14:textId="77777777" w:rsidTr="007E2DA9">
        <w:trPr>
          <w:jc w:val="center"/>
        </w:trPr>
        <w:tc>
          <w:tcPr>
            <w:tcW w:w="1440" w:type="dxa"/>
            <w:tcBorders>
              <w:top w:val="nil"/>
              <w:left w:val="nil"/>
              <w:bottom w:val="nil"/>
              <w:right w:val="nil"/>
            </w:tcBorders>
          </w:tcPr>
          <w:p w14:paraId="07FA293E"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30CEA5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(0.188)</w:t>
            </w:r>
          </w:p>
        </w:tc>
        <w:tc>
          <w:tcPr>
            <w:tcW w:w="1170" w:type="dxa"/>
            <w:tcBorders>
              <w:top w:val="nil"/>
              <w:left w:val="nil"/>
              <w:bottom w:val="nil"/>
              <w:right w:val="nil"/>
            </w:tcBorders>
          </w:tcPr>
          <w:p w14:paraId="4186FC0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(2.149)</w:t>
            </w:r>
          </w:p>
        </w:tc>
        <w:tc>
          <w:tcPr>
            <w:tcW w:w="1170" w:type="dxa"/>
            <w:tcBorders>
              <w:top w:val="nil"/>
              <w:left w:val="nil"/>
              <w:bottom w:val="nil"/>
              <w:right w:val="nil"/>
            </w:tcBorders>
          </w:tcPr>
          <w:p w14:paraId="727E512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(6.084)</w:t>
            </w:r>
          </w:p>
        </w:tc>
        <w:tc>
          <w:tcPr>
            <w:tcW w:w="1080" w:type="dxa"/>
            <w:tcBorders>
              <w:top w:val="nil"/>
              <w:left w:val="nil"/>
              <w:bottom w:val="nil"/>
              <w:right w:val="nil"/>
            </w:tcBorders>
          </w:tcPr>
          <w:p w14:paraId="72FC5E7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(0.012)</w:t>
            </w:r>
          </w:p>
        </w:tc>
        <w:tc>
          <w:tcPr>
            <w:tcW w:w="1080" w:type="dxa"/>
            <w:tcBorders>
              <w:top w:val="nil"/>
              <w:left w:val="nil"/>
              <w:bottom w:val="nil"/>
              <w:right w:val="nil"/>
            </w:tcBorders>
          </w:tcPr>
          <w:p w14:paraId="56C1140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(0.013)</w:t>
            </w:r>
          </w:p>
        </w:tc>
        <w:tc>
          <w:tcPr>
            <w:tcW w:w="1260" w:type="dxa"/>
            <w:tcBorders>
              <w:top w:val="nil"/>
              <w:left w:val="nil"/>
              <w:bottom w:val="nil"/>
              <w:right w:val="nil"/>
            </w:tcBorders>
          </w:tcPr>
          <w:p w14:paraId="482978A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440" w:type="dxa"/>
            <w:tcBorders>
              <w:top w:val="nil"/>
              <w:left w:val="nil"/>
              <w:bottom w:val="nil"/>
              <w:right w:val="nil"/>
            </w:tcBorders>
          </w:tcPr>
          <w:p w14:paraId="7A06760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(1.247)</w:t>
            </w:r>
          </w:p>
        </w:tc>
        <w:tc>
          <w:tcPr>
            <w:tcW w:w="1260" w:type="dxa"/>
            <w:tcBorders>
              <w:top w:val="nil"/>
              <w:left w:val="nil"/>
              <w:bottom w:val="nil"/>
              <w:right w:val="nil"/>
            </w:tcBorders>
          </w:tcPr>
          <w:p w14:paraId="64EB092A"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(0.069)</w:t>
            </w:r>
          </w:p>
        </w:tc>
        <w:tc>
          <w:tcPr>
            <w:tcW w:w="1350" w:type="dxa"/>
            <w:tcBorders>
              <w:top w:val="nil"/>
              <w:left w:val="nil"/>
              <w:bottom w:val="nil"/>
              <w:right w:val="nil"/>
            </w:tcBorders>
          </w:tcPr>
          <w:p w14:paraId="27CB7EA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(7.044)</w:t>
            </w:r>
          </w:p>
        </w:tc>
      </w:tr>
      <w:tr w:rsidR="00295D58" w:rsidRPr="007E2DA9" w14:paraId="4BFA8C11" w14:textId="77777777" w:rsidTr="007E2DA9">
        <w:trPr>
          <w:jc w:val="center"/>
        </w:trPr>
        <w:tc>
          <w:tcPr>
            <w:tcW w:w="1440" w:type="dxa"/>
            <w:tcBorders>
              <w:top w:val="nil"/>
              <w:left w:val="nil"/>
              <w:bottom w:val="nil"/>
              <w:right w:val="nil"/>
            </w:tcBorders>
          </w:tcPr>
          <w:p w14:paraId="6EE3A58B"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Constant</w:t>
            </w:r>
          </w:p>
        </w:tc>
        <w:tc>
          <w:tcPr>
            <w:tcW w:w="1440" w:type="dxa"/>
            <w:tcBorders>
              <w:top w:val="nil"/>
              <w:left w:val="nil"/>
              <w:bottom w:val="nil"/>
              <w:right w:val="nil"/>
            </w:tcBorders>
          </w:tcPr>
          <w:p w14:paraId="2E52ADA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-183.4458*</w:t>
            </w:r>
          </w:p>
        </w:tc>
        <w:tc>
          <w:tcPr>
            <w:tcW w:w="1170" w:type="dxa"/>
            <w:tcBorders>
              <w:top w:val="nil"/>
              <w:left w:val="nil"/>
              <w:bottom w:val="nil"/>
              <w:right w:val="nil"/>
            </w:tcBorders>
          </w:tcPr>
          <w:p w14:paraId="34DC7F5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-405.8956</w:t>
            </w:r>
          </w:p>
        </w:tc>
        <w:tc>
          <w:tcPr>
            <w:tcW w:w="1170" w:type="dxa"/>
            <w:tcBorders>
              <w:top w:val="nil"/>
              <w:left w:val="nil"/>
              <w:bottom w:val="nil"/>
              <w:right w:val="nil"/>
            </w:tcBorders>
          </w:tcPr>
          <w:p w14:paraId="0A0EE64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1,644.9776</w:t>
            </w:r>
          </w:p>
        </w:tc>
        <w:tc>
          <w:tcPr>
            <w:tcW w:w="1080" w:type="dxa"/>
            <w:tcBorders>
              <w:top w:val="nil"/>
              <w:left w:val="nil"/>
              <w:bottom w:val="nil"/>
              <w:right w:val="nil"/>
            </w:tcBorders>
          </w:tcPr>
          <w:p w14:paraId="78A432C9"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4.1605</w:t>
            </w:r>
          </w:p>
        </w:tc>
        <w:tc>
          <w:tcPr>
            <w:tcW w:w="1080" w:type="dxa"/>
            <w:tcBorders>
              <w:top w:val="nil"/>
              <w:left w:val="nil"/>
              <w:bottom w:val="nil"/>
              <w:right w:val="nil"/>
            </w:tcBorders>
          </w:tcPr>
          <w:p w14:paraId="4E3D4DC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7.4800**</w:t>
            </w:r>
          </w:p>
        </w:tc>
        <w:tc>
          <w:tcPr>
            <w:tcW w:w="1260" w:type="dxa"/>
            <w:tcBorders>
              <w:top w:val="nil"/>
              <w:left w:val="nil"/>
              <w:bottom w:val="nil"/>
              <w:right w:val="nil"/>
            </w:tcBorders>
          </w:tcPr>
          <w:p w14:paraId="20DE397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0.4656</w:t>
            </w:r>
          </w:p>
        </w:tc>
        <w:tc>
          <w:tcPr>
            <w:tcW w:w="1440" w:type="dxa"/>
            <w:tcBorders>
              <w:top w:val="nil"/>
              <w:left w:val="nil"/>
              <w:bottom w:val="nil"/>
              <w:right w:val="nil"/>
            </w:tcBorders>
          </w:tcPr>
          <w:p w14:paraId="08505AF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1,623.4707***</w:t>
            </w:r>
          </w:p>
        </w:tc>
        <w:tc>
          <w:tcPr>
            <w:tcW w:w="1260" w:type="dxa"/>
            <w:tcBorders>
              <w:top w:val="nil"/>
              <w:left w:val="nil"/>
              <w:bottom w:val="nil"/>
              <w:right w:val="nil"/>
            </w:tcBorders>
          </w:tcPr>
          <w:p w14:paraId="0DBE4E1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58.4834***</w:t>
            </w:r>
          </w:p>
        </w:tc>
        <w:tc>
          <w:tcPr>
            <w:tcW w:w="1350" w:type="dxa"/>
            <w:tcBorders>
              <w:top w:val="nil"/>
              <w:left w:val="nil"/>
              <w:bottom w:val="nil"/>
              <w:right w:val="nil"/>
            </w:tcBorders>
          </w:tcPr>
          <w:p w14:paraId="58C656B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8,883.7904**</w:t>
            </w:r>
          </w:p>
        </w:tc>
      </w:tr>
      <w:tr w:rsidR="00295D58" w:rsidRPr="007E2DA9" w14:paraId="29D9160C" w14:textId="77777777" w:rsidTr="007E2DA9">
        <w:trPr>
          <w:jc w:val="center"/>
        </w:trPr>
        <w:tc>
          <w:tcPr>
            <w:tcW w:w="1440" w:type="dxa"/>
            <w:tcBorders>
              <w:top w:val="nil"/>
              <w:left w:val="nil"/>
              <w:bottom w:val="nil"/>
              <w:right w:val="nil"/>
            </w:tcBorders>
          </w:tcPr>
          <w:p w14:paraId="65DC483B"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4ECBFA6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(102.298)</w:t>
            </w:r>
          </w:p>
        </w:tc>
        <w:tc>
          <w:tcPr>
            <w:tcW w:w="1170" w:type="dxa"/>
            <w:tcBorders>
              <w:top w:val="nil"/>
              <w:left w:val="nil"/>
              <w:bottom w:val="nil"/>
              <w:right w:val="nil"/>
            </w:tcBorders>
          </w:tcPr>
          <w:p w14:paraId="0251AAF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(392.407)</w:t>
            </w:r>
          </w:p>
        </w:tc>
        <w:tc>
          <w:tcPr>
            <w:tcW w:w="1170" w:type="dxa"/>
            <w:tcBorders>
              <w:top w:val="nil"/>
              <w:left w:val="nil"/>
              <w:bottom w:val="nil"/>
              <w:right w:val="nil"/>
            </w:tcBorders>
          </w:tcPr>
          <w:p w14:paraId="1217A68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(2,376.290)</w:t>
            </w:r>
          </w:p>
        </w:tc>
        <w:tc>
          <w:tcPr>
            <w:tcW w:w="1080" w:type="dxa"/>
            <w:tcBorders>
              <w:top w:val="nil"/>
              <w:left w:val="nil"/>
              <w:bottom w:val="nil"/>
              <w:right w:val="nil"/>
            </w:tcBorders>
          </w:tcPr>
          <w:p w14:paraId="305BA39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(3.143)</w:t>
            </w:r>
          </w:p>
        </w:tc>
        <w:tc>
          <w:tcPr>
            <w:tcW w:w="1080" w:type="dxa"/>
            <w:tcBorders>
              <w:top w:val="nil"/>
              <w:left w:val="nil"/>
              <w:bottom w:val="nil"/>
              <w:right w:val="nil"/>
            </w:tcBorders>
          </w:tcPr>
          <w:p w14:paraId="469FCAF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(3.271)</w:t>
            </w:r>
          </w:p>
        </w:tc>
        <w:tc>
          <w:tcPr>
            <w:tcW w:w="1260" w:type="dxa"/>
            <w:tcBorders>
              <w:top w:val="nil"/>
              <w:left w:val="nil"/>
              <w:bottom w:val="nil"/>
              <w:right w:val="nil"/>
            </w:tcBorders>
          </w:tcPr>
          <w:p w14:paraId="7B397FC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(0.336)</w:t>
            </w:r>
          </w:p>
        </w:tc>
        <w:tc>
          <w:tcPr>
            <w:tcW w:w="1440" w:type="dxa"/>
            <w:tcBorders>
              <w:top w:val="nil"/>
              <w:left w:val="nil"/>
              <w:bottom w:val="nil"/>
              <w:right w:val="nil"/>
            </w:tcBorders>
          </w:tcPr>
          <w:p w14:paraId="67E6E0C8"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(557.737)</w:t>
            </w:r>
          </w:p>
        </w:tc>
        <w:tc>
          <w:tcPr>
            <w:tcW w:w="1260" w:type="dxa"/>
            <w:tcBorders>
              <w:top w:val="nil"/>
              <w:left w:val="nil"/>
              <w:bottom w:val="nil"/>
              <w:right w:val="nil"/>
            </w:tcBorders>
          </w:tcPr>
          <w:p w14:paraId="1F4A589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(7.834)</w:t>
            </w:r>
          </w:p>
        </w:tc>
        <w:tc>
          <w:tcPr>
            <w:tcW w:w="1350" w:type="dxa"/>
            <w:tcBorders>
              <w:top w:val="nil"/>
              <w:left w:val="nil"/>
              <w:bottom w:val="nil"/>
              <w:right w:val="nil"/>
            </w:tcBorders>
          </w:tcPr>
          <w:p w14:paraId="0234421D"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(3,522.408)</w:t>
            </w:r>
          </w:p>
        </w:tc>
      </w:tr>
      <w:tr w:rsidR="00295D58" w:rsidRPr="007E2DA9" w14:paraId="67CD4DF1" w14:textId="77777777" w:rsidTr="007E2DA9">
        <w:trPr>
          <w:jc w:val="center"/>
        </w:trPr>
        <w:tc>
          <w:tcPr>
            <w:tcW w:w="1440" w:type="dxa"/>
            <w:tcBorders>
              <w:top w:val="nil"/>
              <w:left w:val="nil"/>
              <w:bottom w:val="nil"/>
              <w:right w:val="nil"/>
            </w:tcBorders>
          </w:tcPr>
          <w:p w14:paraId="082F9718" w14:textId="77777777" w:rsidR="00295D58" w:rsidRPr="007E2DA9" w:rsidRDefault="00295D58" w:rsidP="00400389">
            <w:pPr>
              <w:autoSpaceDE w:val="0"/>
              <w:autoSpaceDN w:val="0"/>
              <w:adjustRightInd w:val="0"/>
              <w:rPr>
                <w:rFonts w:asciiTheme="minorHAnsi" w:hAnsiTheme="minorHAnsi" w:cstheme="minorHAnsi"/>
              </w:rPr>
            </w:pPr>
          </w:p>
        </w:tc>
        <w:tc>
          <w:tcPr>
            <w:tcW w:w="1440" w:type="dxa"/>
            <w:tcBorders>
              <w:top w:val="nil"/>
              <w:left w:val="nil"/>
              <w:bottom w:val="nil"/>
              <w:right w:val="nil"/>
            </w:tcBorders>
          </w:tcPr>
          <w:p w14:paraId="24C417D6" w14:textId="77777777" w:rsidR="00295D58" w:rsidRPr="007E2DA9" w:rsidRDefault="00295D58" w:rsidP="00400389">
            <w:pPr>
              <w:autoSpaceDE w:val="0"/>
              <w:autoSpaceDN w:val="0"/>
              <w:adjustRightInd w:val="0"/>
              <w:jc w:val="center"/>
              <w:rPr>
                <w:rFonts w:asciiTheme="minorHAnsi" w:hAnsiTheme="minorHAnsi" w:cstheme="minorHAnsi"/>
              </w:rPr>
            </w:pPr>
          </w:p>
        </w:tc>
        <w:tc>
          <w:tcPr>
            <w:tcW w:w="1170" w:type="dxa"/>
            <w:tcBorders>
              <w:top w:val="nil"/>
              <w:left w:val="nil"/>
              <w:bottom w:val="nil"/>
              <w:right w:val="nil"/>
            </w:tcBorders>
          </w:tcPr>
          <w:p w14:paraId="11D3355A" w14:textId="77777777" w:rsidR="00295D58" w:rsidRPr="007E2DA9" w:rsidRDefault="00295D58" w:rsidP="00400389">
            <w:pPr>
              <w:autoSpaceDE w:val="0"/>
              <w:autoSpaceDN w:val="0"/>
              <w:adjustRightInd w:val="0"/>
              <w:jc w:val="center"/>
              <w:rPr>
                <w:rFonts w:asciiTheme="minorHAnsi" w:hAnsiTheme="minorHAnsi" w:cstheme="minorHAnsi"/>
              </w:rPr>
            </w:pPr>
          </w:p>
        </w:tc>
        <w:tc>
          <w:tcPr>
            <w:tcW w:w="1170" w:type="dxa"/>
            <w:tcBorders>
              <w:top w:val="nil"/>
              <w:left w:val="nil"/>
              <w:bottom w:val="nil"/>
              <w:right w:val="nil"/>
            </w:tcBorders>
          </w:tcPr>
          <w:p w14:paraId="6EB2718B" w14:textId="77777777" w:rsidR="00295D58" w:rsidRPr="007E2DA9" w:rsidRDefault="00295D58" w:rsidP="00400389">
            <w:pPr>
              <w:autoSpaceDE w:val="0"/>
              <w:autoSpaceDN w:val="0"/>
              <w:adjustRightInd w:val="0"/>
              <w:jc w:val="center"/>
              <w:rPr>
                <w:rFonts w:asciiTheme="minorHAnsi" w:hAnsiTheme="minorHAnsi" w:cstheme="minorHAnsi"/>
              </w:rPr>
            </w:pPr>
          </w:p>
        </w:tc>
        <w:tc>
          <w:tcPr>
            <w:tcW w:w="1080" w:type="dxa"/>
            <w:tcBorders>
              <w:top w:val="nil"/>
              <w:left w:val="nil"/>
              <w:bottom w:val="nil"/>
              <w:right w:val="nil"/>
            </w:tcBorders>
          </w:tcPr>
          <w:p w14:paraId="4EBAD602" w14:textId="77777777" w:rsidR="00295D58" w:rsidRPr="007E2DA9" w:rsidRDefault="00295D58" w:rsidP="00400389">
            <w:pPr>
              <w:autoSpaceDE w:val="0"/>
              <w:autoSpaceDN w:val="0"/>
              <w:adjustRightInd w:val="0"/>
              <w:jc w:val="center"/>
              <w:rPr>
                <w:rFonts w:asciiTheme="minorHAnsi" w:hAnsiTheme="minorHAnsi" w:cstheme="minorHAnsi"/>
              </w:rPr>
            </w:pPr>
          </w:p>
        </w:tc>
        <w:tc>
          <w:tcPr>
            <w:tcW w:w="1080" w:type="dxa"/>
            <w:tcBorders>
              <w:top w:val="nil"/>
              <w:left w:val="nil"/>
              <w:bottom w:val="nil"/>
              <w:right w:val="nil"/>
            </w:tcBorders>
          </w:tcPr>
          <w:p w14:paraId="70B0F5F2" w14:textId="77777777" w:rsidR="00295D58" w:rsidRPr="007E2DA9" w:rsidRDefault="00295D58" w:rsidP="00400389">
            <w:pPr>
              <w:autoSpaceDE w:val="0"/>
              <w:autoSpaceDN w:val="0"/>
              <w:adjustRightInd w:val="0"/>
              <w:jc w:val="center"/>
              <w:rPr>
                <w:rFonts w:asciiTheme="minorHAnsi" w:hAnsiTheme="minorHAnsi" w:cstheme="minorHAnsi"/>
              </w:rPr>
            </w:pPr>
          </w:p>
        </w:tc>
        <w:tc>
          <w:tcPr>
            <w:tcW w:w="1260" w:type="dxa"/>
            <w:tcBorders>
              <w:top w:val="nil"/>
              <w:left w:val="nil"/>
              <w:bottom w:val="nil"/>
              <w:right w:val="nil"/>
            </w:tcBorders>
          </w:tcPr>
          <w:p w14:paraId="4FD84258" w14:textId="77777777" w:rsidR="00295D58" w:rsidRPr="007E2DA9" w:rsidRDefault="00295D58" w:rsidP="00400389">
            <w:pPr>
              <w:autoSpaceDE w:val="0"/>
              <w:autoSpaceDN w:val="0"/>
              <w:adjustRightInd w:val="0"/>
              <w:jc w:val="center"/>
              <w:rPr>
                <w:rFonts w:asciiTheme="minorHAnsi" w:hAnsiTheme="minorHAnsi" w:cstheme="minorHAnsi"/>
              </w:rPr>
            </w:pPr>
          </w:p>
        </w:tc>
        <w:tc>
          <w:tcPr>
            <w:tcW w:w="1440" w:type="dxa"/>
            <w:tcBorders>
              <w:top w:val="nil"/>
              <w:left w:val="nil"/>
              <w:bottom w:val="nil"/>
              <w:right w:val="nil"/>
            </w:tcBorders>
          </w:tcPr>
          <w:p w14:paraId="36760682" w14:textId="77777777" w:rsidR="00295D58" w:rsidRPr="007E2DA9" w:rsidRDefault="00295D58" w:rsidP="00400389">
            <w:pPr>
              <w:autoSpaceDE w:val="0"/>
              <w:autoSpaceDN w:val="0"/>
              <w:adjustRightInd w:val="0"/>
              <w:jc w:val="center"/>
              <w:rPr>
                <w:rFonts w:asciiTheme="minorHAnsi" w:hAnsiTheme="minorHAnsi" w:cstheme="minorHAnsi"/>
              </w:rPr>
            </w:pPr>
          </w:p>
        </w:tc>
        <w:tc>
          <w:tcPr>
            <w:tcW w:w="1260" w:type="dxa"/>
            <w:tcBorders>
              <w:top w:val="nil"/>
              <w:left w:val="nil"/>
              <w:bottom w:val="nil"/>
              <w:right w:val="nil"/>
            </w:tcBorders>
          </w:tcPr>
          <w:p w14:paraId="68E46937" w14:textId="77777777" w:rsidR="00295D58" w:rsidRPr="007E2DA9" w:rsidRDefault="00295D58" w:rsidP="00400389">
            <w:pPr>
              <w:autoSpaceDE w:val="0"/>
              <w:autoSpaceDN w:val="0"/>
              <w:adjustRightInd w:val="0"/>
              <w:jc w:val="center"/>
              <w:rPr>
                <w:rFonts w:asciiTheme="minorHAnsi" w:hAnsiTheme="minorHAnsi" w:cstheme="minorHAnsi"/>
              </w:rPr>
            </w:pPr>
          </w:p>
        </w:tc>
        <w:tc>
          <w:tcPr>
            <w:tcW w:w="1350" w:type="dxa"/>
            <w:tcBorders>
              <w:top w:val="nil"/>
              <w:left w:val="nil"/>
              <w:bottom w:val="nil"/>
              <w:right w:val="nil"/>
            </w:tcBorders>
          </w:tcPr>
          <w:p w14:paraId="1DA54178" w14:textId="77777777" w:rsidR="00295D58" w:rsidRPr="007E2DA9" w:rsidRDefault="00295D58" w:rsidP="00400389">
            <w:pPr>
              <w:autoSpaceDE w:val="0"/>
              <w:autoSpaceDN w:val="0"/>
              <w:adjustRightInd w:val="0"/>
              <w:jc w:val="center"/>
              <w:rPr>
                <w:rFonts w:asciiTheme="minorHAnsi" w:hAnsiTheme="minorHAnsi" w:cstheme="minorHAnsi"/>
              </w:rPr>
            </w:pPr>
          </w:p>
        </w:tc>
      </w:tr>
      <w:tr w:rsidR="00295D58" w:rsidRPr="007E2DA9" w14:paraId="7BC7D2D8" w14:textId="77777777" w:rsidTr="007E2DA9">
        <w:trPr>
          <w:jc w:val="center"/>
        </w:trPr>
        <w:tc>
          <w:tcPr>
            <w:tcW w:w="1440" w:type="dxa"/>
            <w:tcBorders>
              <w:top w:val="nil"/>
              <w:left w:val="nil"/>
              <w:bottom w:val="nil"/>
              <w:right w:val="nil"/>
            </w:tcBorders>
          </w:tcPr>
          <w:p w14:paraId="4A33FCFA"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Observations</w:t>
            </w:r>
          </w:p>
        </w:tc>
        <w:tc>
          <w:tcPr>
            <w:tcW w:w="1440" w:type="dxa"/>
            <w:tcBorders>
              <w:top w:val="nil"/>
              <w:left w:val="nil"/>
              <w:bottom w:val="nil"/>
              <w:right w:val="nil"/>
            </w:tcBorders>
          </w:tcPr>
          <w:p w14:paraId="477CE84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170" w:type="dxa"/>
            <w:tcBorders>
              <w:top w:val="nil"/>
              <w:left w:val="nil"/>
              <w:bottom w:val="nil"/>
              <w:right w:val="nil"/>
            </w:tcBorders>
          </w:tcPr>
          <w:p w14:paraId="1DE79D0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170" w:type="dxa"/>
            <w:tcBorders>
              <w:top w:val="nil"/>
              <w:left w:val="nil"/>
              <w:bottom w:val="nil"/>
              <w:right w:val="nil"/>
            </w:tcBorders>
          </w:tcPr>
          <w:p w14:paraId="597FAF9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080" w:type="dxa"/>
            <w:tcBorders>
              <w:top w:val="nil"/>
              <w:left w:val="nil"/>
              <w:bottom w:val="nil"/>
              <w:right w:val="nil"/>
            </w:tcBorders>
          </w:tcPr>
          <w:p w14:paraId="1281225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080" w:type="dxa"/>
            <w:tcBorders>
              <w:top w:val="nil"/>
              <w:left w:val="nil"/>
              <w:bottom w:val="nil"/>
              <w:right w:val="nil"/>
            </w:tcBorders>
          </w:tcPr>
          <w:p w14:paraId="7F0ED9D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260" w:type="dxa"/>
            <w:tcBorders>
              <w:top w:val="nil"/>
              <w:left w:val="nil"/>
              <w:bottom w:val="nil"/>
              <w:right w:val="nil"/>
            </w:tcBorders>
          </w:tcPr>
          <w:p w14:paraId="77C8DBF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440" w:type="dxa"/>
            <w:tcBorders>
              <w:top w:val="nil"/>
              <w:left w:val="nil"/>
              <w:bottom w:val="nil"/>
              <w:right w:val="nil"/>
            </w:tcBorders>
          </w:tcPr>
          <w:p w14:paraId="6FAB3CC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260" w:type="dxa"/>
            <w:tcBorders>
              <w:top w:val="nil"/>
              <w:left w:val="nil"/>
              <w:bottom w:val="nil"/>
              <w:right w:val="nil"/>
            </w:tcBorders>
          </w:tcPr>
          <w:p w14:paraId="1747014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c>
          <w:tcPr>
            <w:tcW w:w="1350" w:type="dxa"/>
            <w:tcBorders>
              <w:top w:val="nil"/>
              <w:left w:val="nil"/>
              <w:bottom w:val="nil"/>
              <w:right w:val="nil"/>
            </w:tcBorders>
          </w:tcPr>
          <w:p w14:paraId="1A098F3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9,780</w:t>
            </w:r>
          </w:p>
        </w:tc>
      </w:tr>
      <w:tr w:rsidR="00295D58" w:rsidRPr="007E2DA9" w14:paraId="16DD9E2E" w14:textId="77777777" w:rsidTr="007E2DA9">
        <w:tblPrEx>
          <w:tblBorders>
            <w:bottom w:val="single" w:sz="6" w:space="0" w:color="auto"/>
          </w:tblBorders>
        </w:tblPrEx>
        <w:trPr>
          <w:jc w:val="center"/>
        </w:trPr>
        <w:tc>
          <w:tcPr>
            <w:tcW w:w="1440" w:type="dxa"/>
            <w:tcBorders>
              <w:top w:val="nil"/>
              <w:left w:val="nil"/>
              <w:bottom w:val="nil"/>
              <w:right w:val="nil"/>
            </w:tcBorders>
          </w:tcPr>
          <w:p w14:paraId="3BF0AC91"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R-squared</w:t>
            </w:r>
          </w:p>
        </w:tc>
        <w:tc>
          <w:tcPr>
            <w:tcW w:w="1440" w:type="dxa"/>
            <w:tcBorders>
              <w:top w:val="nil"/>
              <w:left w:val="nil"/>
              <w:bottom w:val="nil"/>
              <w:right w:val="nil"/>
            </w:tcBorders>
          </w:tcPr>
          <w:p w14:paraId="1B19198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0.019</w:t>
            </w:r>
          </w:p>
        </w:tc>
        <w:tc>
          <w:tcPr>
            <w:tcW w:w="1170" w:type="dxa"/>
            <w:tcBorders>
              <w:top w:val="nil"/>
              <w:left w:val="nil"/>
              <w:bottom w:val="nil"/>
              <w:right w:val="nil"/>
            </w:tcBorders>
          </w:tcPr>
          <w:p w14:paraId="2CF45A1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0.010</w:t>
            </w:r>
          </w:p>
        </w:tc>
        <w:tc>
          <w:tcPr>
            <w:tcW w:w="1170" w:type="dxa"/>
            <w:tcBorders>
              <w:top w:val="nil"/>
              <w:left w:val="nil"/>
              <w:bottom w:val="nil"/>
              <w:right w:val="nil"/>
            </w:tcBorders>
          </w:tcPr>
          <w:p w14:paraId="35319B65"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0.001</w:t>
            </w:r>
          </w:p>
        </w:tc>
        <w:tc>
          <w:tcPr>
            <w:tcW w:w="1080" w:type="dxa"/>
            <w:tcBorders>
              <w:top w:val="nil"/>
              <w:left w:val="nil"/>
              <w:bottom w:val="nil"/>
              <w:right w:val="nil"/>
            </w:tcBorders>
          </w:tcPr>
          <w:p w14:paraId="4B234683"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0.003</w:t>
            </w:r>
          </w:p>
        </w:tc>
        <w:tc>
          <w:tcPr>
            <w:tcW w:w="1080" w:type="dxa"/>
            <w:tcBorders>
              <w:top w:val="nil"/>
              <w:left w:val="nil"/>
              <w:bottom w:val="nil"/>
              <w:right w:val="nil"/>
            </w:tcBorders>
          </w:tcPr>
          <w:p w14:paraId="2354DABF"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0.006</w:t>
            </w:r>
          </w:p>
        </w:tc>
        <w:tc>
          <w:tcPr>
            <w:tcW w:w="1260" w:type="dxa"/>
            <w:tcBorders>
              <w:top w:val="nil"/>
              <w:left w:val="nil"/>
              <w:bottom w:val="nil"/>
              <w:right w:val="nil"/>
            </w:tcBorders>
          </w:tcPr>
          <w:p w14:paraId="09588BF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0.009</w:t>
            </w:r>
          </w:p>
        </w:tc>
        <w:tc>
          <w:tcPr>
            <w:tcW w:w="1440" w:type="dxa"/>
            <w:tcBorders>
              <w:top w:val="nil"/>
              <w:left w:val="nil"/>
              <w:bottom w:val="nil"/>
              <w:right w:val="nil"/>
            </w:tcBorders>
          </w:tcPr>
          <w:p w14:paraId="24FEF7AC"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0.053</w:t>
            </w:r>
          </w:p>
        </w:tc>
        <w:tc>
          <w:tcPr>
            <w:tcW w:w="1260" w:type="dxa"/>
            <w:tcBorders>
              <w:top w:val="nil"/>
              <w:left w:val="nil"/>
              <w:bottom w:val="nil"/>
              <w:right w:val="nil"/>
            </w:tcBorders>
          </w:tcPr>
          <w:p w14:paraId="64705301"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0.053</w:t>
            </w:r>
          </w:p>
        </w:tc>
        <w:tc>
          <w:tcPr>
            <w:tcW w:w="1350" w:type="dxa"/>
            <w:tcBorders>
              <w:top w:val="nil"/>
              <w:left w:val="nil"/>
              <w:bottom w:val="nil"/>
              <w:right w:val="nil"/>
            </w:tcBorders>
          </w:tcPr>
          <w:p w14:paraId="442D3F2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0.038</w:t>
            </w:r>
          </w:p>
        </w:tc>
      </w:tr>
      <w:tr w:rsidR="00295D58" w:rsidRPr="007E2DA9" w14:paraId="5DE58B5C" w14:textId="77777777" w:rsidTr="007E2DA9">
        <w:tblPrEx>
          <w:tblBorders>
            <w:bottom w:val="single" w:sz="6" w:space="0" w:color="auto"/>
          </w:tblBorders>
        </w:tblPrEx>
        <w:trPr>
          <w:jc w:val="center"/>
        </w:trPr>
        <w:tc>
          <w:tcPr>
            <w:tcW w:w="1440" w:type="dxa"/>
            <w:tcBorders>
              <w:top w:val="nil"/>
              <w:left w:val="nil"/>
              <w:bottom w:val="single" w:sz="6" w:space="0" w:color="auto"/>
              <w:right w:val="nil"/>
            </w:tcBorders>
          </w:tcPr>
          <w:p w14:paraId="4F0A15B7" w14:textId="77777777" w:rsidR="00295D58" w:rsidRPr="007E2DA9" w:rsidRDefault="00295D58" w:rsidP="00400389">
            <w:pPr>
              <w:autoSpaceDE w:val="0"/>
              <w:autoSpaceDN w:val="0"/>
              <w:adjustRightInd w:val="0"/>
              <w:rPr>
                <w:rFonts w:asciiTheme="minorHAnsi" w:hAnsiTheme="minorHAnsi" w:cstheme="minorHAnsi"/>
              </w:rPr>
            </w:pPr>
            <w:r w:rsidRPr="007E2DA9">
              <w:rPr>
                <w:rFonts w:asciiTheme="minorHAnsi" w:hAnsiTheme="minorHAnsi" w:cstheme="minorHAnsi"/>
              </w:rPr>
              <w:t>Prob &gt; F</w:t>
            </w:r>
          </w:p>
        </w:tc>
        <w:tc>
          <w:tcPr>
            <w:tcW w:w="1440" w:type="dxa"/>
            <w:tcBorders>
              <w:top w:val="nil"/>
              <w:left w:val="nil"/>
              <w:bottom w:val="single" w:sz="6" w:space="0" w:color="auto"/>
              <w:right w:val="nil"/>
            </w:tcBorders>
          </w:tcPr>
          <w:p w14:paraId="50EFE08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170" w:type="dxa"/>
            <w:tcBorders>
              <w:top w:val="nil"/>
              <w:left w:val="nil"/>
              <w:bottom w:val="single" w:sz="6" w:space="0" w:color="auto"/>
              <w:right w:val="nil"/>
            </w:tcBorders>
          </w:tcPr>
          <w:p w14:paraId="1D84723B"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170" w:type="dxa"/>
            <w:tcBorders>
              <w:top w:val="nil"/>
              <w:left w:val="nil"/>
              <w:bottom w:val="single" w:sz="6" w:space="0" w:color="auto"/>
              <w:right w:val="nil"/>
            </w:tcBorders>
          </w:tcPr>
          <w:p w14:paraId="7D1F123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0.174</w:t>
            </w:r>
          </w:p>
        </w:tc>
        <w:tc>
          <w:tcPr>
            <w:tcW w:w="1080" w:type="dxa"/>
            <w:tcBorders>
              <w:top w:val="nil"/>
              <w:left w:val="nil"/>
              <w:bottom w:val="single" w:sz="6" w:space="0" w:color="auto"/>
              <w:right w:val="nil"/>
            </w:tcBorders>
          </w:tcPr>
          <w:p w14:paraId="2C0A4DC0"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0.041</w:t>
            </w:r>
          </w:p>
        </w:tc>
        <w:tc>
          <w:tcPr>
            <w:tcW w:w="1080" w:type="dxa"/>
            <w:tcBorders>
              <w:top w:val="nil"/>
              <w:left w:val="nil"/>
              <w:bottom w:val="single" w:sz="6" w:space="0" w:color="auto"/>
              <w:right w:val="nil"/>
            </w:tcBorders>
          </w:tcPr>
          <w:p w14:paraId="22559824"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260" w:type="dxa"/>
            <w:tcBorders>
              <w:top w:val="nil"/>
              <w:left w:val="nil"/>
              <w:bottom w:val="single" w:sz="6" w:space="0" w:color="auto"/>
              <w:right w:val="nil"/>
            </w:tcBorders>
          </w:tcPr>
          <w:p w14:paraId="48BA6B4E"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440" w:type="dxa"/>
            <w:tcBorders>
              <w:top w:val="nil"/>
              <w:left w:val="nil"/>
              <w:bottom w:val="single" w:sz="6" w:space="0" w:color="auto"/>
              <w:right w:val="nil"/>
            </w:tcBorders>
          </w:tcPr>
          <w:p w14:paraId="32B35B17"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260" w:type="dxa"/>
            <w:tcBorders>
              <w:top w:val="nil"/>
              <w:left w:val="nil"/>
              <w:bottom w:val="single" w:sz="6" w:space="0" w:color="auto"/>
              <w:right w:val="nil"/>
            </w:tcBorders>
          </w:tcPr>
          <w:p w14:paraId="25BA4D56"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c>
          <w:tcPr>
            <w:tcW w:w="1350" w:type="dxa"/>
            <w:tcBorders>
              <w:top w:val="nil"/>
              <w:left w:val="nil"/>
              <w:bottom w:val="single" w:sz="6" w:space="0" w:color="auto"/>
              <w:right w:val="nil"/>
            </w:tcBorders>
          </w:tcPr>
          <w:p w14:paraId="773596C2" w14:textId="77777777" w:rsidR="00295D58" w:rsidRPr="007E2DA9" w:rsidRDefault="00295D58" w:rsidP="00400389">
            <w:pPr>
              <w:autoSpaceDE w:val="0"/>
              <w:autoSpaceDN w:val="0"/>
              <w:adjustRightInd w:val="0"/>
              <w:jc w:val="center"/>
              <w:rPr>
                <w:rFonts w:asciiTheme="minorHAnsi" w:hAnsiTheme="minorHAnsi" w:cstheme="minorHAnsi"/>
              </w:rPr>
            </w:pPr>
            <w:r w:rsidRPr="007E2DA9">
              <w:rPr>
                <w:rFonts w:asciiTheme="minorHAnsi" w:hAnsiTheme="minorHAnsi" w:cstheme="minorHAnsi"/>
              </w:rPr>
              <w:t>0.000</w:t>
            </w:r>
          </w:p>
        </w:tc>
      </w:tr>
    </w:tbl>
    <w:p w14:paraId="4A201E11" w14:textId="77777777" w:rsidR="00295D58" w:rsidRPr="007E2DA9" w:rsidRDefault="00295D58" w:rsidP="00295D58">
      <w:pPr>
        <w:autoSpaceDE w:val="0"/>
        <w:autoSpaceDN w:val="0"/>
        <w:adjustRightInd w:val="0"/>
        <w:jc w:val="center"/>
        <w:rPr>
          <w:rFonts w:asciiTheme="minorHAnsi" w:hAnsiTheme="minorHAnsi" w:cstheme="minorHAnsi"/>
        </w:rPr>
      </w:pPr>
      <w:r w:rsidRPr="007E2DA9">
        <w:rPr>
          <w:rFonts w:asciiTheme="minorHAnsi" w:hAnsiTheme="minorHAnsi" w:cstheme="minorHAnsi"/>
        </w:rPr>
        <w:t>Robust standard errors in parentheses</w:t>
      </w:r>
    </w:p>
    <w:p w14:paraId="4D2E3D41" w14:textId="77777777" w:rsidR="00295D58" w:rsidRPr="007E2DA9" w:rsidRDefault="00295D58" w:rsidP="00295D58">
      <w:pPr>
        <w:autoSpaceDE w:val="0"/>
        <w:autoSpaceDN w:val="0"/>
        <w:adjustRightInd w:val="0"/>
        <w:jc w:val="center"/>
        <w:rPr>
          <w:rFonts w:asciiTheme="minorHAnsi" w:hAnsiTheme="minorHAnsi" w:cstheme="minorHAnsi"/>
        </w:rPr>
      </w:pPr>
      <w:r w:rsidRPr="007E2DA9">
        <w:rPr>
          <w:rFonts w:asciiTheme="minorHAnsi" w:hAnsiTheme="minorHAnsi" w:cstheme="minorHAnsi"/>
        </w:rPr>
        <w:t>*** p&lt;0.01, ** p&lt;0.05, * p&lt;0.1</w:t>
      </w:r>
    </w:p>
    <w:p w14:paraId="2FBA04B6" w14:textId="77777777" w:rsidR="00295D58" w:rsidRDefault="00295D58" w:rsidP="000A2307">
      <w:pPr>
        <w:widowControl/>
        <w:spacing w:line="276" w:lineRule="auto"/>
        <w:ind w:firstLine="360"/>
        <w:jc w:val="both"/>
        <w:rPr>
          <w:rFonts w:asciiTheme="minorHAnsi" w:hAnsiTheme="minorHAnsi" w:cstheme="minorHAnsi"/>
          <w:bCs/>
          <w:lang w:val="en-GB"/>
        </w:rPr>
        <w:sectPr w:rsidR="00295D58" w:rsidSect="00295D58">
          <w:pgSz w:w="14742" w:h="10773" w:orient="landscape"/>
          <w:pgMar w:top="1440" w:right="1440" w:bottom="1440" w:left="1440" w:header="510" w:footer="907" w:gutter="0"/>
          <w:pgNumType w:start="1"/>
          <w:cols w:space="720"/>
          <w:titlePg/>
          <w:docGrid w:linePitch="272"/>
        </w:sectPr>
      </w:pPr>
    </w:p>
    <w:p w14:paraId="3C73F8B0" w14:textId="77777777" w:rsidR="007E2DA9" w:rsidRDefault="007E2DA9" w:rsidP="007E2DA9">
      <w:pPr>
        <w:widowControl/>
        <w:spacing w:line="276" w:lineRule="auto"/>
        <w:ind w:firstLine="360"/>
        <w:jc w:val="both"/>
        <w:rPr>
          <w:rFonts w:asciiTheme="minorHAnsi" w:hAnsiTheme="minorHAnsi" w:cstheme="minorHAnsi"/>
          <w:bCs/>
          <w:lang w:val="en-GB"/>
        </w:rPr>
      </w:pPr>
      <w:r>
        <w:rPr>
          <w:rFonts w:asciiTheme="minorHAnsi" w:hAnsiTheme="minorHAnsi" w:cstheme="minorHAnsi"/>
          <w:bCs/>
          <w:lang w:val="en-GB"/>
        </w:rPr>
        <w:lastRenderedPageBreak/>
        <w:t>Now that we have confirmation of a difference between the two corporate forms for seven of nine of the indicators, we further press into the impact of each factor via OLS regression analysis. Since the creation of “kitchen sink” regression with all indicators would introduce issues with endogeneity in the financial variables, we instead use each of the nine indicators as a dependent variable. The primary independent variable is the corporate form, with subsector, location, and year included as control variables. As expected from the t-tests, the models for the Equity Multiplier and, to a lesser extent, ROA should be interpreted with caution due to the insignificant p-value for the regressions. Each regression clusters the errors on the level of the organization, and the base category for the subsector is ATECO code 870000.</w:t>
      </w:r>
    </w:p>
    <w:p w14:paraId="48185C31" w14:textId="77777777" w:rsidR="007E2DA9" w:rsidRDefault="007E2DA9" w:rsidP="007E2DA9">
      <w:pPr>
        <w:widowControl/>
        <w:spacing w:line="276" w:lineRule="auto"/>
        <w:ind w:firstLine="360"/>
        <w:jc w:val="both"/>
        <w:rPr>
          <w:rFonts w:asciiTheme="minorHAnsi" w:hAnsiTheme="minorHAnsi" w:cstheme="minorHAnsi"/>
          <w:bCs/>
          <w:lang w:val="en-GB"/>
        </w:rPr>
      </w:pPr>
      <w:r>
        <w:rPr>
          <w:rFonts w:asciiTheme="minorHAnsi" w:hAnsiTheme="minorHAnsi" w:cstheme="minorHAnsi"/>
          <w:bCs/>
          <w:lang w:val="en-GB"/>
        </w:rPr>
        <w:t>As seen in Table 7, being a social cooperative has an impact on most of the indicators even with other factors taken into account. For example, being a SC compared to a PLC provides a boost to your Current Ratio, Warranty Ratio, and Value Added per dollar of Total Assets. There is a slight penalty to being a SC in terms of ROI and SFC, plus the larger numbers of employees means that the social indicators which ask about the value added per employee will be negatively impacted. However, all social indicators are strongly influenced by the subsectors, which suggests that capital intensiveness is likely tied to the subsector and business model. Organizations in Naples also fared particularly well on the financial and economic ratios, which warrants future research.</w:t>
      </w:r>
    </w:p>
    <w:p w14:paraId="69959EFC" w14:textId="77777777" w:rsidR="007E2DA9" w:rsidRDefault="007E2DA9" w:rsidP="007E2DA9">
      <w:pPr>
        <w:widowControl/>
        <w:spacing w:line="276" w:lineRule="auto"/>
        <w:ind w:firstLine="360"/>
        <w:jc w:val="both"/>
        <w:rPr>
          <w:rFonts w:asciiTheme="minorHAnsi" w:hAnsiTheme="minorHAnsi" w:cstheme="minorHAnsi"/>
          <w:bCs/>
          <w:lang w:val="en-GB"/>
        </w:rPr>
      </w:pPr>
    </w:p>
    <w:p w14:paraId="2C012BEC" w14:textId="77777777" w:rsidR="007E2DA9" w:rsidRDefault="007E2DA9" w:rsidP="007E2DA9">
      <w:pPr>
        <w:widowControl/>
        <w:spacing w:line="276" w:lineRule="auto"/>
        <w:ind w:firstLine="360"/>
        <w:jc w:val="both"/>
        <w:rPr>
          <w:rFonts w:asciiTheme="minorHAnsi" w:hAnsiTheme="minorHAnsi" w:cstheme="minorHAnsi"/>
          <w:bCs/>
          <w:lang w:val="en-GB"/>
        </w:rPr>
      </w:pPr>
    </w:p>
    <w:p w14:paraId="43FED8AC" w14:textId="77777777" w:rsidR="007E2DA9" w:rsidRPr="00D45D75" w:rsidRDefault="007E2DA9" w:rsidP="007E2DA9">
      <w:pPr>
        <w:widowControl/>
        <w:spacing w:after="120" w:line="276" w:lineRule="auto"/>
        <w:jc w:val="both"/>
        <w:rPr>
          <w:rFonts w:asciiTheme="minorHAnsi" w:hAnsiTheme="minorHAnsi" w:cstheme="minorHAnsi"/>
          <w:b/>
        </w:rPr>
      </w:pPr>
      <w:r>
        <w:rPr>
          <w:rFonts w:asciiTheme="minorHAnsi" w:hAnsiTheme="minorHAnsi" w:cstheme="minorHAnsi"/>
          <w:b/>
        </w:rPr>
        <w:t>7</w:t>
      </w:r>
      <w:r w:rsidRPr="00D45D75">
        <w:rPr>
          <w:rFonts w:asciiTheme="minorHAnsi" w:hAnsiTheme="minorHAnsi" w:cstheme="minorHAnsi"/>
          <w:b/>
        </w:rPr>
        <w:t>.</w:t>
      </w:r>
      <w:r w:rsidRPr="00D45D75">
        <w:rPr>
          <w:rFonts w:asciiTheme="minorHAnsi" w:hAnsiTheme="minorHAnsi" w:cstheme="minorHAnsi"/>
          <w:b/>
        </w:rPr>
        <w:tab/>
        <w:t>Conclusions</w:t>
      </w:r>
    </w:p>
    <w:p w14:paraId="22CB1375" w14:textId="77777777" w:rsidR="007E2DA9" w:rsidRPr="007063A8" w:rsidRDefault="007E2DA9" w:rsidP="007E2DA9">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Considering the results of the comparative analysis on the SCs and PLCs data, it can be considered correct to apply an approach also focused on the social dimension; in fact, SCs play a decidedly more relevant role in terms of the creation of well-being for the widest audience of all stakeholders. Moreover, SCs having a higher value added also entails having a more positive role in terms of distributing this value. This means turning over greater wealth and well-being to more stakeholders, ranging from employees</w:t>
      </w:r>
      <w:r>
        <w:rPr>
          <w:rFonts w:asciiTheme="minorHAnsi" w:hAnsiTheme="minorHAnsi" w:cstheme="minorHAnsi"/>
          <w:lang w:val="en-GB"/>
        </w:rPr>
        <w:t xml:space="preserve"> (where SCs are larger employers)</w:t>
      </w:r>
      <w:r w:rsidRPr="007063A8">
        <w:rPr>
          <w:rFonts w:asciiTheme="minorHAnsi" w:hAnsiTheme="minorHAnsi" w:cstheme="minorHAnsi"/>
          <w:lang w:val="en-GB"/>
        </w:rPr>
        <w:t xml:space="preserve"> to beneficiaries of social assistance and to the entire socio-economic system to which they belong.</w:t>
      </w:r>
    </w:p>
    <w:p w14:paraId="05AC4231" w14:textId="5D4C0A26" w:rsidR="007E2DA9" w:rsidRDefault="007E2DA9" w:rsidP="007E2DA9">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We found that the monetary measure of the value added created and the relativized measure of the return rate of total assets in terms of value added show a clear superiority in the social dimension of the SC model. Though labour productivity is lower, this is influenced by the different configuration of labour in the two categories of companies, and it is largely counterbalanced by the ability shown by these companies to generate and enhance labour, thus responding to the social role they have to play.</w:t>
      </w:r>
    </w:p>
    <w:p w14:paraId="1B049950" w14:textId="1E322B1A" w:rsidR="007B0E9B" w:rsidRPr="007063A8" w:rsidRDefault="00CA24C0" w:rsidP="000A2307">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t>In terms of policy, a</w:t>
      </w:r>
      <w:r w:rsidR="007549BF" w:rsidRPr="007063A8">
        <w:rPr>
          <w:rFonts w:asciiTheme="minorHAnsi" w:hAnsiTheme="minorHAnsi" w:cstheme="minorHAnsi"/>
          <w:lang w:val="en-GB"/>
        </w:rPr>
        <w:t xml:space="preserve"> SC deserves consensus, support and funding not so much if it is </w:t>
      </w:r>
      <w:r w:rsidRPr="007063A8">
        <w:rPr>
          <w:rFonts w:asciiTheme="minorHAnsi" w:hAnsiTheme="minorHAnsi" w:cstheme="minorHAnsi"/>
          <w:lang w:val="en-GB"/>
        </w:rPr>
        <w:t xml:space="preserve">most </w:t>
      </w:r>
      <w:r w:rsidR="007549BF" w:rsidRPr="007063A8">
        <w:rPr>
          <w:rFonts w:asciiTheme="minorHAnsi" w:hAnsiTheme="minorHAnsi" w:cstheme="minorHAnsi"/>
          <w:lang w:val="en-GB"/>
        </w:rPr>
        <w:t xml:space="preserve">profitable, but if it shows an overall positive impact on the socio-economic context through the </w:t>
      </w:r>
      <w:r w:rsidRPr="007063A8">
        <w:rPr>
          <w:rFonts w:asciiTheme="minorHAnsi" w:hAnsiTheme="minorHAnsi" w:cstheme="minorHAnsi"/>
          <w:lang w:val="en-GB"/>
        </w:rPr>
        <w:t xml:space="preserve">production methods and </w:t>
      </w:r>
      <w:r w:rsidR="007549BF" w:rsidRPr="007063A8">
        <w:rPr>
          <w:rFonts w:asciiTheme="minorHAnsi" w:hAnsiTheme="minorHAnsi" w:cstheme="minorHAnsi"/>
          <w:lang w:val="en-GB"/>
        </w:rPr>
        <w:t xml:space="preserve">quality of the services it provides. </w:t>
      </w:r>
      <w:r w:rsidR="007B0E9B" w:rsidRPr="007063A8">
        <w:rPr>
          <w:rFonts w:asciiTheme="minorHAnsi" w:hAnsiTheme="minorHAnsi" w:cstheme="minorHAnsi"/>
          <w:lang w:val="en-GB"/>
        </w:rPr>
        <w:t>Moreover, data relating to the year 2020 show a higher level of resilience in SCs compared with PLCs and the results of the different ratios in 2021 demonstrate a more effective and stronger response of SCs in terms of recovery following the pandemic crisis with respect to the PLCs benchmark.</w:t>
      </w:r>
    </w:p>
    <w:p w14:paraId="27FE8CD4" w14:textId="716BD1B1" w:rsidR="007549BF" w:rsidRPr="003B374E" w:rsidRDefault="007549BF" w:rsidP="003B374E">
      <w:pPr>
        <w:widowControl/>
        <w:spacing w:line="276" w:lineRule="auto"/>
        <w:ind w:firstLine="360"/>
        <w:jc w:val="both"/>
        <w:rPr>
          <w:rFonts w:asciiTheme="minorHAnsi" w:hAnsiTheme="minorHAnsi" w:cstheme="minorHAnsi"/>
          <w:lang w:val="en-GB"/>
        </w:rPr>
      </w:pPr>
      <w:r w:rsidRPr="007063A8">
        <w:rPr>
          <w:rFonts w:asciiTheme="minorHAnsi" w:hAnsiTheme="minorHAnsi" w:cstheme="minorHAnsi"/>
          <w:lang w:val="en-GB"/>
        </w:rPr>
        <w:lastRenderedPageBreak/>
        <w:t>A limitation of this work consists in having con</w:t>
      </w:r>
      <w:r w:rsidR="00051760" w:rsidRPr="007063A8">
        <w:rPr>
          <w:rFonts w:asciiTheme="minorHAnsi" w:hAnsiTheme="minorHAnsi" w:cstheme="minorHAnsi"/>
          <w:lang w:val="en-GB"/>
        </w:rPr>
        <w:t>sidered only the data up to 2021</w:t>
      </w:r>
      <w:r w:rsidRPr="007063A8">
        <w:rPr>
          <w:rFonts w:asciiTheme="minorHAnsi" w:hAnsiTheme="minorHAnsi" w:cstheme="minorHAnsi"/>
          <w:lang w:val="en-GB"/>
        </w:rPr>
        <w:t xml:space="preserve"> (the most recent year with wide availability of financial statements on the AIDA database)</w:t>
      </w:r>
      <w:r w:rsidR="00CA24C0" w:rsidRPr="007063A8">
        <w:rPr>
          <w:rFonts w:asciiTheme="minorHAnsi" w:hAnsiTheme="minorHAnsi" w:cstheme="minorHAnsi"/>
          <w:lang w:val="en-GB"/>
        </w:rPr>
        <w:t>;</w:t>
      </w:r>
      <w:r w:rsidRPr="007063A8">
        <w:rPr>
          <w:rFonts w:asciiTheme="minorHAnsi" w:hAnsiTheme="minorHAnsi" w:cstheme="minorHAnsi"/>
          <w:lang w:val="en-GB"/>
        </w:rPr>
        <w:t xml:space="preserve"> while it would have been interesting to verify what h</w:t>
      </w:r>
      <w:r w:rsidR="00051760" w:rsidRPr="007063A8">
        <w:rPr>
          <w:rFonts w:asciiTheme="minorHAnsi" w:hAnsiTheme="minorHAnsi" w:cstheme="minorHAnsi"/>
          <w:lang w:val="en-GB"/>
        </w:rPr>
        <w:t>appened in 2022</w:t>
      </w:r>
      <w:r w:rsidR="00CA24C0" w:rsidRPr="007063A8">
        <w:rPr>
          <w:rFonts w:asciiTheme="minorHAnsi" w:hAnsiTheme="minorHAnsi" w:cstheme="minorHAnsi"/>
          <w:lang w:val="en-GB"/>
        </w:rPr>
        <w:t xml:space="preserve"> to give a more complete picture of post-pandemic</w:t>
      </w:r>
      <w:r w:rsidRPr="007063A8">
        <w:rPr>
          <w:rFonts w:asciiTheme="minorHAnsi" w:hAnsiTheme="minorHAnsi" w:cstheme="minorHAnsi"/>
          <w:lang w:val="en-GB"/>
        </w:rPr>
        <w:t>, this also represents an opportunity for future research</w:t>
      </w:r>
      <w:r w:rsidR="007B0E9B" w:rsidRPr="007063A8">
        <w:rPr>
          <w:rFonts w:asciiTheme="minorHAnsi" w:hAnsiTheme="minorHAnsi" w:cstheme="minorHAnsi"/>
          <w:lang w:val="en-GB"/>
        </w:rPr>
        <w:t>.</w:t>
      </w:r>
      <w:r w:rsidR="00CA24C0" w:rsidRPr="007063A8">
        <w:rPr>
          <w:rFonts w:asciiTheme="minorHAnsi" w:hAnsiTheme="minorHAnsi" w:cstheme="minorHAnsi"/>
          <w:lang w:val="en-GB"/>
        </w:rPr>
        <w:t xml:space="preserve"> </w:t>
      </w:r>
      <w:r w:rsidRPr="007063A8">
        <w:rPr>
          <w:rFonts w:asciiTheme="minorHAnsi" w:hAnsiTheme="minorHAnsi" w:cstheme="minorHAnsi"/>
          <w:lang w:val="en-GB"/>
        </w:rPr>
        <w:t xml:space="preserve">Another limitation lies in not having investigated the issues related to the distribution of value added among the various categories of stakeholders. </w:t>
      </w:r>
      <w:r w:rsidR="00CA24C0" w:rsidRPr="007063A8">
        <w:rPr>
          <w:rFonts w:asciiTheme="minorHAnsi" w:hAnsiTheme="minorHAnsi" w:cstheme="minorHAnsi"/>
          <w:lang w:val="en-GB"/>
        </w:rPr>
        <w:t xml:space="preserve">We do not know which parties received what proportion of the value added, as this would likely require qualitative work. </w:t>
      </w:r>
      <w:r w:rsidRPr="007063A8">
        <w:rPr>
          <w:rFonts w:asciiTheme="minorHAnsi" w:hAnsiTheme="minorHAnsi" w:cstheme="minorHAnsi"/>
          <w:lang w:val="en-GB"/>
        </w:rPr>
        <w:t>Even in this case, however, the limit could be a starting point for future research focusing on the different strategies in the distribution of the value added created.</w:t>
      </w:r>
    </w:p>
    <w:p w14:paraId="6B6D72AF" w14:textId="6DC9CA89" w:rsidR="0004116C" w:rsidRPr="007063A8" w:rsidRDefault="003B374E" w:rsidP="00D45D75">
      <w:pPr>
        <w:keepNext/>
        <w:widowControl/>
        <w:pBdr>
          <w:top w:val="nil"/>
          <w:left w:val="nil"/>
          <w:bottom w:val="nil"/>
          <w:right w:val="nil"/>
          <w:between w:val="nil"/>
        </w:pBdr>
        <w:spacing w:before="480" w:after="200" w:line="276" w:lineRule="auto"/>
        <w:rPr>
          <w:rFonts w:asciiTheme="minorHAnsi" w:eastAsia="Calibri" w:hAnsiTheme="minorHAnsi" w:cstheme="minorHAnsi"/>
          <w:b/>
          <w:color w:val="000000"/>
          <w:lang w:val="it-IT"/>
        </w:rPr>
      </w:pPr>
      <w:r>
        <w:rPr>
          <w:rFonts w:asciiTheme="minorHAnsi" w:eastAsia="Calibri" w:hAnsiTheme="minorHAnsi" w:cstheme="minorHAnsi"/>
          <w:b/>
          <w:color w:val="000000"/>
          <w:lang w:val="it-IT"/>
        </w:rPr>
        <w:t>R</w:t>
      </w:r>
      <w:r w:rsidR="0070259D" w:rsidRPr="007063A8">
        <w:rPr>
          <w:rFonts w:asciiTheme="minorHAnsi" w:eastAsia="Calibri" w:hAnsiTheme="minorHAnsi" w:cstheme="minorHAnsi"/>
          <w:b/>
          <w:color w:val="000000"/>
          <w:lang w:val="it-IT"/>
        </w:rPr>
        <w:t>eferences</w:t>
      </w:r>
    </w:p>
    <w:p w14:paraId="60D5A353" w14:textId="6F33D719" w:rsidR="00F51590" w:rsidRPr="007063A8" w:rsidRDefault="00F51590"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lang w:val="it-IT"/>
        </w:rPr>
        <w:t xml:space="preserve">Arena, M., Azzone, G., Bengo, I., 2015. </w:t>
      </w:r>
      <w:r w:rsidRPr="007063A8">
        <w:rPr>
          <w:rFonts w:asciiTheme="minorHAnsi" w:hAnsiTheme="minorHAnsi" w:cstheme="minorHAnsi"/>
        </w:rPr>
        <w:t xml:space="preserve">Performance Measurement for Social Enterprises. VOLUNTAS: International Journal of Voluntary and Nonprofit Organizations 26, </w:t>
      </w:r>
      <w:r w:rsidR="3955010E" w:rsidRPr="007063A8">
        <w:rPr>
          <w:rFonts w:asciiTheme="minorHAnsi" w:hAnsiTheme="minorHAnsi" w:cstheme="minorHAnsi"/>
        </w:rPr>
        <w:t xml:space="preserve">p. </w:t>
      </w:r>
      <w:r w:rsidRPr="007063A8">
        <w:rPr>
          <w:rFonts w:asciiTheme="minorHAnsi" w:hAnsiTheme="minorHAnsi" w:cstheme="minorHAnsi"/>
        </w:rPr>
        <w:t xml:space="preserve">649. </w:t>
      </w:r>
    </w:p>
    <w:p w14:paraId="7EE79BD0" w14:textId="5EBB80DA" w:rsidR="00F51590" w:rsidRPr="007063A8" w:rsidRDefault="00F51590"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Bacq</w:t>
      </w:r>
      <w:r w:rsidR="4B1F8F9C" w:rsidRPr="007063A8">
        <w:rPr>
          <w:rFonts w:asciiTheme="minorHAnsi" w:hAnsiTheme="minorHAnsi" w:cstheme="minorHAnsi"/>
        </w:rPr>
        <w:t>,</w:t>
      </w:r>
      <w:r w:rsidRPr="007063A8">
        <w:rPr>
          <w:rFonts w:asciiTheme="minorHAnsi" w:hAnsiTheme="minorHAnsi" w:cstheme="minorHAnsi"/>
        </w:rPr>
        <w:t xml:space="preserve"> S</w:t>
      </w:r>
      <w:r w:rsidR="443F6E62" w:rsidRPr="007063A8">
        <w:rPr>
          <w:rFonts w:asciiTheme="minorHAnsi" w:hAnsiTheme="minorHAnsi" w:cstheme="minorHAnsi"/>
        </w:rPr>
        <w:t>.</w:t>
      </w:r>
      <w:r w:rsidRPr="007063A8">
        <w:rPr>
          <w:rFonts w:asciiTheme="minorHAnsi" w:hAnsiTheme="minorHAnsi" w:cstheme="minorHAnsi"/>
        </w:rPr>
        <w:t>, Lumpkin G</w:t>
      </w:r>
      <w:r w:rsidR="315DF581" w:rsidRPr="007063A8">
        <w:rPr>
          <w:rFonts w:asciiTheme="minorHAnsi" w:hAnsiTheme="minorHAnsi" w:cstheme="minorHAnsi"/>
        </w:rPr>
        <w:t xml:space="preserve">. </w:t>
      </w:r>
      <w:r w:rsidRPr="007063A8">
        <w:rPr>
          <w:rFonts w:asciiTheme="minorHAnsi" w:hAnsiTheme="minorHAnsi" w:cstheme="minorHAnsi"/>
        </w:rPr>
        <w:t>T., 2020. Social Entrepreneurship and COVID‐19. Journal of Management Studies</w:t>
      </w:r>
      <w:r w:rsidR="0004297E" w:rsidRPr="007063A8">
        <w:rPr>
          <w:rFonts w:asciiTheme="minorHAnsi" w:hAnsiTheme="minorHAnsi" w:cstheme="minorHAnsi"/>
        </w:rPr>
        <w:t xml:space="preserve"> 58</w:t>
      </w:r>
      <w:r w:rsidR="0004297E" w:rsidRPr="007063A8">
        <w:rPr>
          <w:rFonts w:asciiTheme="minorHAnsi" w:hAnsiTheme="minorHAnsi" w:cstheme="minorHAnsi"/>
          <w:shd w:val="clear" w:color="auto" w:fill="FFFFFF"/>
        </w:rPr>
        <w:t>,</w:t>
      </w:r>
      <w:r w:rsidR="0116B241" w:rsidRPr="007063A8">
        <w:rPr>
          <w:rFonts w:asciiTheme="minorHAnsi" w:hAnsiTheme="minorHAnsi" w:cstheme="minorHAnsi"/>
          <w:shd w:val="clear" w:color="auto" w:fill="FFFFFF"/>
        </w:rPr>
        <w:t xml:space="preserve"> p.</w:t>
      </w:r>
      <w:r w:rsidR="0004297E" w:rsidRPr="007063A8">
        <w:rPr>
          <w:rFonts w:asciiTheme="minorHAnsi" w:hAnsiTheme="minorHAnsi" w:cstheme="minorHAnsi"/>
          <w:shd w:val="clear" w:color="auto" w:fill="FFFFFF"/>
        </w:rPr>
        <w:t xml:space="preserve"> 285</w:t>
      </w:r>
      <w:r w:rsidRPr="007063A8">
        <w:rPr>
          <w:rFonts w:asciiTheme="minorHAnsi" w:hAnsiTheme="minorHAnsi" w:cstheme="minorHAnsi"/>
        </w:rPr>
        <w:t>.</w:t>
      </w:r>
    </w:p>
    <w:p w14:paraId="165173A6" w14:textId="5DD1FF8E" w:rsidR="00F51590" w:rsidRPr="007063A8" w:rsidRDefault="00F51590"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Bagnoli, L.</w:t>
      </w:r>
      <w:r w:rsidR="3279810F" w:rsidRPr="007063A8">
        <w:rPr>
          <w:rFonts w:asciiTheme="minorHAnsi" w:hAnsiTheme="minorHAnsi" w:cstheme="minorHAnsi"/>
        </w:rPr>
        <w:t xml:space="preserve">, </w:t>
      </w:r>
      <w:r w:rsidRPr="007063A8">
        <w:rPr>
          <w:rFonts w:asciiTheme="minorHAnsi" w:hAnsiTheme="minorHAnsi" w:cstheme="minorHAnsi"/>
        </w:rPr>
        <w:t xml:space="preserve">Megali, C., 2011. Measuring Performance in Social Enterprises. Nonprofit and Voluntary Sector Quarterly 40, </w:t>
      </w:r>
      <w:r w:rsidR="674ED510" w:rsidRPr="007063A8">
        <w:rPr>
          <w:rFonts w:asciiTheme="minorHAnsi" w:hAnsiTheme="minorHAnsi" w:cstheme="minorHAnsi"/>
        </w:rPr>
        <w:t xml:space="preserve">p. </w:t>
      </w:r>
      <w:r w:rsidRPr="007063A8">
        <w:rPr>
          <w:rFonts w:asciiTheme="minorHAnsi" w:hAnsiTheme="minorHAnsi" w:cstheme="minorHAnsi"/>
        </w:rPr>
        <w:t>149.</w:t>
      </w:r>
    </w:p>
    <w:p w14:paraId="4DCE6F29" w14:textId="27800266" w:rsidR="00F51590" w:rsidRPr="00F32156" w:rsidRDefault="00F51590" w:rsidP="46A27F0A">
      <w:pPr>
        <w:widowControl/>
        <w:spacing w:line="276" w:lineRule="auto"/>
        <w:ind w:left="426" w:hanging="426"/>
        <w:jc w:val="both"/>
        <w:rPr>
          <w:rFonts w:asciiTheme="minorHAnsi" w:hAnsiTheme="minorHAnsi" w:cstheme="minorHAnsi"/>
          <w:lang w:val="en-GB"/>
        </w:rPr>
      </w:pPr>
      <w:r w:rsidRPr="00F32156">
        <w:rPr>
          <w:rFonts w:asciiTheme="minorHAnsi" w:hAnsiTheme="minorHAnsi" w:cstheme="minorHAnsi"/>
        </w:rPr>
        <w:t>Bagnoli, L.</w:t>
      </w:r>
      <w:r w:rsidR="39358E38" w:rsidRPr="00F32156">
        <w:rPr>
          <w:rFonts w:asciiTheme="minorHAnsi" w:hAnsiTheme="minorHAnsi" w:cstheme="minorHAnsi"/>
        </w:rPr>
        <w:t xml:space="preserve">, </w:t>
      </w:r>
      <w:r w:rsidRPr="00F32156">
        <w:rPr>
          <w:rFonts w:asciiTheme="minorHAnsi" w:hAnsiTheme="minorHAnsi" w:cstheme="minorHAnsi"/>
        </w:rPr>
        <w:t xml:space="preserve"> Toccafondi, S., 2011. Reporting </w:t>
      </w:r>
      <w:r w:rsidR="66C724E5" w:rsidRPr="00F32156">
        <w:rPr>
          <w:rFonts w:asciiTheme="minorHAnsi" w:hAnsiTheme="minorHAnsi" w:cstheme="minorHAnsi"/>
        </w:rPr>
        <w:t>F</w:t>
      </w:r>
      <w:r w:rsidRPr="00F32156">
        <w:rPr>
          <w:rFonts w:asciiTheme="minorHAnsi" w:hAnsiTheme="minorHAnsi" w:cstheme="minorHAnsi"/>
        </w:rPr>
        <w:t xml:space="preserve">rameworks for </w:t>
      </w:r>
      <w:r w:rsidR="729D6A8B" w:rsidRPr="00F32156">
        <w:rPr>
          <w:rFonts w:asciiTheme="minorHAnsi" w:hAnsiTheme="minorHAnsi" w:cstheme="minorHAnsi"/>
        </w:rPr>
        <w:t>S</w:t>
      </w:r>
      <w:r w:rsidRPr="00F32156">
        <w:rPr>
          <w:rFonts w:asciiTheme="minorHAnsi" w:hAnsiTheme="minorHAnsi" w:cstheme="minorHAnsi"/>
        </w:rPr>
        <w:t xml:space="preserve">ocial </w:t>
      </w:r>
      <w:r w:rsidR="043A4A8E" w:rsidRPr="00F32156">
        <w:rPr>
          <w:rFonts w:asciiTheme="minorHAnsi" w:hAnsiTheme="minorHAnsi" w:cstheme="minorHAnsi"/>
        </w:rPr>
        <w:t>E</w:t>
      </w:r>
      <w:r w:rsidRPr="00F32156">
        <w:rPr>
          <w:rFonts w:asciiTheme="minorHAnsi" w:hAnsiTheme="minorHAnsi" w:cstheme="minorHAnsi"/>
        </w:rPr>
        <w:t xml:space="preserve">nterprises: </w:t>
      </w:r>
      <w:r w:rsidR="6CFC1B3A" w:rsidRPr="00F32156">
        <w:rPr>
          <w:rFonts w:asciiTheme="minorHAnsi" w:hAnsiTheme="minorHAnsi" w:cstheme="minorHAnsi"/>
        </w:rPr>
        <w:t>A</w:t>
      </w:r>
      <w:r w:rsidRPr="00F32156">
        <w:rPr>
          <w:rFonts w:asciiTheme="minorHAnsi" w:hAnsiTheme="minorHAnsi" w:cstheme="minorHAnsi"/>
        </w:rPr>
        <w:t xml:space="preserve"> European </w:t>
      </w:r>
      <w:r w:rsidR="39C3EB30" w:rsidRPr="00F32156">
        <w:rPr>
          <w:rFonts w:asciiTheme="minorHAnsi" w:hAnsiTheme="minorHAnsi" w:cstheme="minorHAnsi"/>
        </w:rPr>
        <w:t>O</w:t>
      </w:r>
      <w:r w:rsidRPr="00F32156">
        <w:rPr>
          <w:rFonts w:asciiTheme="minorHAnsi" w:hAnsiTheme="minorHAnsi" w:cstheme="minorHAnsi"/>
        </w:rPr>
        <w:t xml:space="preserve">verview. </w:t>
      </w:r>
      <w:r w:rsidRPr="00F32156">
        <w:rPr>
          <w:rFonts w:asciiTheme="minorHAnsi" w:hAnsiTheme="minorHAnsi" w:cstheme="minorHAnsi"/>
          <w:i/>
          <w:iCs/>
          <w:lang w:val="en-GB"/>
        </w:rPr>
        <w:t>Working Paper CIRIEC</w:t>
      </w:r>
      <w:r w:rsidRPr="00F32156">
        <w:rPr>
          <w:rFonts w:asciiTheme="minorHAnsi" w:hAnsiTheme="minorHAnsi" w:cstheme="minorHAnsi"/>
          <w:lang w:val="en-GB"/>
        </w:rPr>
        <w:t xml:space="preserve"> </w:t>
      </w:r>
      <w:r w:rsidRPr="00F32156">
        <w:rPr>
          <w:rFonts w:asciiTheme="minorHAnsi" w:hAnsiTheme="minorHAnsi" w:cstheme="minorHAnsi"/>
          <w:i/>
          <w:iCs/>
          <w:lang w:val="en-GB"/>
        </w:rPr>
        <w:t>9</w:t>
      </w:r>
      <w:r w:rsidRPr="00F32156">
        <w:rPr>
          <w:rFonts w:asciiTheme="minorHAnsi" w:hAnsiTheme="minorHAnsi" w:cstheme="minorHAnsi"/>
          <w:lang w:val="en-GB"/>
        </w:rPr>
        <w:t>.</w:t>
      </w:r>
    </w:p>
    <w:p w14:paraId="44170814" w14:textId="2A1BACA1" w:rsidR="00115C02" w:rsidRPr="007063A8" w:rsidRDefault="00115C02"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Borzaga</w:t>
      </w:r>
      <w:r w:rsidR="1BEFD3B6" w:rsidRPr="007063A8">
        <w:rPr>
          <w:rFonts w:asciiTheme="minorHAnsi" w:hAnsiTheme="minorHAnsi" w:cstheme="minorHAnsi"/>
        </w:rPr>
        <w:t>,</w:t>
      </w:r>
      <w:r w:rsidRPr="007063A8">
        <w:rPr>
          <w:rFonts w:asciiTheme="minorHAnsi" w:hAnsiTheme="minorHAnsi" w:cstheme="minorHAnsi"/>
        </w:rPr>
        <w:t xml:space="preserve"> C.</w:t>
      </w:r>
      <w:r w:rsidR="0ECCD81A" w:rsidRPr="007063A8">
        <w:rPr>
          <w:rFonts w:asciiTheme="minorHAnsi" w:hAnsiTheme="minorHAnsi" w:cstheme="minorHAnsi"/>
        </w:rPr>
        <w:t xml:space="preserve">, </w:t>
      </w:r>
      <w:r w:rsidRPr="007063A8">
        <w:rPr>
          <w:rFonts w:asciiTheme="minorHAnsi" w:hAnsiTheme="minorHAnsi" w:cstheme="minorHAnsi"/>
        </w:rPr>
        <w:t>Galera</w:t>
      </w:r>
      <w:r w:rsidR="602F9375" w:rsidRPr="007063A8">
        <w:rPr>
          <w:rFonts w:asciiTheme="minorHAnsi" w:hAnsiTheme="minorHAnsi" w:cstheme="minorHAnsi"/>
        </w:rPr>
        <w:t>,</w:t>
      </w:r>
      <w:r w:rsidRPr="007063A8">
        <w:rPr>
          <w:rFonts w:asciiTheme="minorHAnsi" w:hAnsiTheme="minorHAnsi" w:cstheme="minorHAnsi"/>
        </w:rPr>
        <w:t xml:space="preserve"> G.</w:t>
      </w:r>
      <w:r w:rsidR="1CCF11B5" w:rsidRPr="007063A8">
        <w:rPr>
          <w:rFonts w:asciiTheme="minorHAnsi" w:hAnsiTheme="minorHAnsi" w:cstheme="minorHAnsi"/>
        </w:rPr>
        <w:t xml:space="preserve">, </w:t>
      </w:r>
      <w:r w:rsidRPr="007063A8">
        <w:rPr>
          <w:rFonts w:asciiTheme="minorHAnsi" w:hAnsiTheme="minorHAnsi" w:cstheme="minorHAnsi"/>
        </w:rPr>
        <w:t>2016</w:t>
      </w:r>
      <w:r w:rsidR="03D986E0" w:rsidRPr="007063A8">
        <w:rPr>
          <w:rFonts w:asciiTheme="minorHAnsi" w:hAnsiTheme="minorHAnsi" w:cstheme="minorHAnsi"/>
        </w:rPr>
        <w:t>.</w:t>
      </w:r>
      <w:r w:rsidRPr="007063A8">
        <w:rPr>
          <w:rFonts w:asciiTheme="minorHAnsi" w:hAnsiTheme="minorHAnsi" w:cstheme="minorHAnsi"/>
        </w:rPr>
        <w:t xml:space="preserve"> Innovating the </w:t>
      </w:r>
      <w:r w:rsidR="2BD61E84" w:rsidRPr="007063A8">
        <w:rPr>
          <w:rFonts w:asciiTheme="minorHAnsi" w:hAnsiTheme="minorHAnsi" w:cstheme="minorHAnsi"/>
        </w:rPr>
        <w:t>P</w:t>
      </w:r>
      <w:r w:rsidRPr="007063A8">
        <w:rPr>
          <w:rFonts w:asciiTheme="minorHAnsi" w:hAnsiTheme="minorHAnsi" w:cstheme="minorHAnsi"/>
        </w:rPr>
        <w:t xml:space="preserve">rovision of </w:t>
      </w:r>
      <w:r w:rsidR="25331BCC" w:rsidRPr="007063A8">
        <w:rPr>
          <w:rFonts w:asciiTheme="minorHAnsi" w:hAnsiTheme="minorHAnsi" w:cstheme="minorHAnsi"/>
        </w:rPr>
        <w:t>Welfare S</w:t>
      </w:r>
      <w:r w:rsidRPr="007063A8">
        <w:rPr>
          <w:rFonts w:asciiTheme="minorHAnsi" w:hAnsiTheme="minorHAnsi" w:cstheme="minorHAnsi"/>
        </w:rPr>
        <w:t xml:space="preserve">ervices </w:t>
      </w:r>
      <w:r w:rsidR="1CE4222E" w:rsidRPr="007063A8">
        <w:rPr>
          <w:rFonts w:asciiTheme="minorHAnsi" w:hAnsiTheme="minorHAnsi" w:cstheme="minorHAnsi"/>
        </w:rPr>
        <w:t>T</w:t>
      </w:r>
      <w:r w:rsidRPr="007063A8">
        <w:rPr>
          <w:rFonts w:asciiTheme="minorHAnsi" w:hAnsiTheme="minorHAnsi" w:cstheme="minorHAnsi"/>
        </w:rPr>
        <w:t xml:space="preserve">hrough </w:t>
      </w:r>
      <w:r w:rsidR="6BF6FF8B" w:rsidRPr="007063A8">
        <w:rPr>
          <w:rFonts w:asciiTheme="minorHAnsi" w:hAnsiTheme="minorHAnsi" w:cstheme="minorHAnsi"/>
        </w:rPr>
        <w:t>Collective A</w:t>
      </w:r>
      <w:r w:rsidRPr="007063A8">
        <w:rPr>
          <w:rFonts w:asciiTheme="minorHAnsi" w:hAnsiTheme="minorHAnsi" w:cstheme="minorHAnsi"/>
        </w:rPr>
        <w:t xml:space="preserve">ction: </w:t>
      </w:r>
      <w:r w:rsidR="323CB4E8" w:rsidRPr="007063A8">
        <w:rPr>
          <w:rFonts w:asciiTheme="minorHAnsi" w:hAnsiTheme="minorHAnsi" w:cstheme="minorHAnsi"/>
        </w:rPr>
        <w:t>The</w:t>
      </w:r>
      <w:r w:rsidRPr="007063A8">
        <w:rPr>
          <w:rFonts w:asciiTheme="minorHAnsi" w:hAnsiTheme="minorHAnsi" w:cstheme="minorHAnsi"/>
        </w:rPr>
        <w:t xml:space="preserve"> </w:t>
      </w:r>
      <w:r w:rsidR="502EF8C8" w:rsidRPr="007063A8">
        <w:rPr>
          <w:rFonts w:asciiTheme="minorHAnsi" w:hAnsiTheme="minorHAnsi" w:cstheme="minorHAnsi"/>
        </w:rPr>
        <w:t>C</w:t>
      </w:r>
      <w:r w:rsidRPr="007063A8">
        <w:rPr>
          <w:rFonts w:asciiTheme="minorHAnsi" w:hAnsiTheme="minorHAnsi" w:cstheme="minorHAnsi"/>
        </w:rPr>
        <w:t xml:space="preserve">ase of Italian </w:t>
      </w:r>
      <w:r w:rsidR="43908B14" w:rsidRPr="007063A8">
        <w:rPr>
          <w:rFonts w:asciiTheme="minorHAnsi" w:hAnsiTheme="minorHAnsi" w:cstheme="minorHAnsi"/>
        </w:rPr>
        <w:t>S</w:t>
      </w:r>
      <w:r w:rsidRPr="007063A8">
        <w:rPr>
          <w:rFonts w:asciiTheme="minorHAnsi" w:hAnsiTheme="minorHAnsi" w:cstheme="minorHAnsi"/>
        </w:rPr>
        <w:t xml:space="preserve">ocial </w:t>
      </w:r>
      <w:r w:rsidR="064F44A0" w:rsidRPr="007063A8">
        <w:rPr>
          <w:rFonts w:asciiTheme="minorHAnsi" w:hAnsiTheme="minorHAnsi" w:cstheme="minorHAnsi"/>
        </w:rPr>
        <w:t>C</w:t>
      </w:r>
      <w:r w:rsidRPr="007063A8">
        <w:rPr>
          <w:rFonts w:asciiTheme="minorHAnsi" w:hAnsiTheme="minorHAnsi" w:cstheme="minorHAnsi"/>
        </w:rPr>
        <w:t>ooperatives</w:t>
      </w:r>
      <w:r w:rsidR="45DC53F9" w:rsidRPr="007063A8">
        <w:rPr>
          <w:rFonts w:asciiTheme="minorHAnsi" w:hAnsiTheme="minorHAnsi" w:cstheme="minorHAnsi"/>
        </w:rPr>
        <w:t>.</w:t>
      </w:r>
      <w:r w:rsidRPr="007063A8">
        <w:rPr>
          <w:rFonts w:asciiTheme="minorHAnsi" w:hAnsiTheme="minorHAnsi" w:cstheme="minorHAnsi"/>
        </w:rPr>
        <w:t xml:space="preserve"> International Review of Sociology 26, </w:t>
      </w:r>
      <w:r w:rsidR="33729CCC" w:rsidRPr="007063A8">
        <w:rPr>
          <w:rFonts w:asciiTheme="minorHAnsi" w:hAnsiTheme="minorHAnsi" w:cstheme="minorHAnsi"/>
        </w:rPr>
        <w:t xml:space="preserve">p. </w:t>
      </w:r>
      <w:r w:rsidRPr="007063A8">
        <w:rPr>
          <w:rFonts w:asciiTheme="minorHAnsi" w:hAnsiTheme="minorHAnsi" w:cstheme="minorHAnsi"/>
        </w:rPr>
        <w:t>3</w:t>
      </w:r>
      <w:r w:rsidR="50F82327" w:rsidRPr="007063A8">
        <w:rPr>
          <w:rFonts w:asciiTheme="minorHAnsi" w:hAnsiTheme="minorHAnsi" w:cstheme="minorHAnsi"/>
        </w:rPr>
        <w:t>1</w:t>
      </w:r>
      <w:r w:rsidRPr="007063A8">
        <w:rPr>
          <w:rFonts w:asciiTheme="minorHAnsi" w:hAnsiTheme="minorHAnsi" w:cstheme="minorHAnsi"/>
        </w:rPr>
        <w:t>.</w:t>
      </w:r>
    </w:p>
    <w:p w14:paraId="2F948762" w14:textId="24C6E25F" w:rsidR="00316337" w:rsidRPr="007063A8" w:rsidRDefault="00F51590" w:rsidP="0031633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Bradford, A., Luke, B., Furneaux, C., 2018. Social</w:t>
      </w:r>
      <w:r w:rsidR="6A7B03B5" w:rsidRPr="007063A8">
        <w:rPr>
          <w:rFonts w:asciiTheme="minorHAnsi" w:hAnsiTheme="minorHAnsi" w:cstheme="minorHAnsi"/>
        </w:rPr>
        <w:t xml:space="preserve"> E</w:t>
      </w:r>
      <w:r w:rsidRPr="007063A8">
        <w:rPr>
          <w:rFonts w:asciiTheme="minorHAnsi" w:hAnsiTheme="minorHAnsi" w:cstheme="minorHAnsi"/>
        </w:rPr>
        <w:t xml:space="preserve">nterprise </w:t>
      </w:r>
      <w:r w:rsidR="2A38DDBB" w:rsidRPr="007063A8">
        <w:rPr>
          <w:rFonts w:asciiTheme="minorHAnsi" w:hAnsiTheme="minorHAnsi" w:cstheme="minorHAnsi"/>
        </w:rPr>
        <w:t>A</w:t>
      </w:r>
      <w:r w:rsidRPr="007063A8">
        <w:rPr>
          <w:rFonts w:asciiTheme="minorHAnsi" w:hAnsiTheme="minorHAnsi" w:cstheme="minorHAnsi"/>
        </w:rPr>
        <w:t xml:space="preserve">ccountability: </w:t>
      </w:r>
      <w:r w:rsidR="54801661" w:rsidRPr="007063A8">
        <w:rPr>
          <w:rFonts w:asciiTheme="minorHAnsi" w:hAnsiTheme="minorHAnsi" w:cstheme="minorHAnsi"/>
        </w:rPr>
        <w:t>D</w:t>
      </w:r>
      <w:r w:rsidRPr="007063A8">
        <w:rPr>
          <w:rFonts w:asciiTheme="minorHAnsi" w:hAnsiTheme="minorHAnsi" w:cstheme="minorHAnsi"/>
        </w:rPr>
        <w:t xml:space="preserve">irections, </w:t>
      </w:r>
      <w:r w:rsidR="59F0A622" w:rsidRPr="007063A8">
        <w:rPr>
          <w:rFonts w:asciiTheme="minorHAnsi" w:hAnsiTheme="minorHAnsi" w:cstheme="minorHAnsi"/>
        </w:rPr>
        <w:t>D</w:t>
      </w:r>
      <w:r w:rsidRPr="007063A8">
        <w:rPr>
          <w:rFonts w:asciiTheme="minorHAnsi" w:hAnsiTheme="minorHAnsi" w:cstheme="minorHAnsi"/>
        </w:rPr>
        <w:t xml:space="preserve">ominance and </w:t>
      </w:r>
      <w:r w:rsidR="385FA2E3" w:rsidRPr="007063A8">
        <w:rPr>
          <w:rFonts w:asciiTheme="minorHAnsi" w:hAnsiTheme="minorHAnsi" w:cstheme="minorHAnsi"/>
        </w:rPr>
        <w:t>D</w:t>
      </w:r>
      <w:r w:rsidRPr="007063A8">
        <w:rPr>
          <w:rFonts w:asciiTheme="minorHAnsi" w:hAnsiTheme="minorHAnsi" w:cstheme="minorHAnsi"/>
        </w:rPr>
        <w:t>evelopments. Social Enterprise Journal</w:t>
      </w:r>
      <w:r w:rsidR="0254E635" w:rsidRPr="007063A8">
        <w:rPr>
          <w:rFonts w:asciiTheme="minorHAnsi" w:hAnsiTheme="minorHAnsi" w:cstheme="minorHAnsi"/>
        </w:rPr>
        <w:t xml:space="preserve"> </w:t>
      </w:r>
      <w:r w:rsidRPr="007063A8">
        <w:rPr>
          <w:rFonts w:asciiTheme="minorHAnsi" w:hAnsiTheme="minorHAnsi" w:cstheme="minorHAnsi"/>
        </w:rPr>
        <w:t xml:space="preserve">14, </w:t>
      </w:r>
      <w:r w:rsidR="05827BF0" w:rsidRPr="007063A8">
        <w:rPr>
          <w:rFonts w:asciiTheme="minorHAnsi" w:hAnsiTheme="minorHAnsi" w:cstheme="minorHAnsi"/>
        </w:rPr>
        <w:t xml:space="preserve">p. </w:t>
      </w:r>
      <w:r w:rsidRPr="007063A8">
        <w:rPr>
          <w:rFonts w:asciiTheme="minorHAnsi" w:hAnsiTheme="minorHAnsi" w:cstheme="minorHAnsi"/>
        </w:rPr>
        <w:t>156.</w:t>
      </w:r>
    </w:p>
    <w:p w14:paraId="4DDE0987" w14:textId="5D59DE05" w:rsidR="00316337" w:rsidRPr="007063A8" w:rsidRDefault="00316337"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Burchell S., Clubb C., Hopwood</w:t>
      </w:r>
      <w:r w:rsidR="1CC7976B" w:rsidRPr="007063A8">
        <w:rPr>
          <w:rFonts w:asciiTheme="minorHAnsi" w:hAnsiTheme="minorHAnsi" w:cstheme="minorHAnsi"/>
        </w:rPr>
        <w:t>,</w:t>
      </w:r>
      <w:r w:rsidRPr="007063A8">
        <w:rPr>
          <w:rFonts w:asciiTheme="minorHAnsi" w:hAnsiTheme="minorHAnsi" w:cstheme="minorHAnsi"/>
        </w:rPr>
        <w:t xml:space="preserve"> A.G.</w:t>
      </w:r>
      <w:r w:rsidR="1DD366BA" w:rsidRPr="007063A8">
        <w:rPr>
          <w:rFonts w:asciiTheme="minorHAnsi" w:hAnsiTheme="minorHAnsi" w:cstheme="minorHAnsi"/>
        </w:rPr>
        <w:t xml:space="preserve">, </w:t>
      </w:r>
      <w:r w:rsidRPr="007063A8">
        <w:rPr>
          <w:rFonts w:asciiTheme="minorHAnsi" w:hAnsiTheme="minorHAnsi" w:cstheme="minorHAnsi"/>
        </w:rPr>
        <w:t>1985</w:t>
      </w:r>
      <w:r w:rsidR="76970911" w:rsidRPr="007063A8">
        <w:rPr>
          <w:rFonts w:asciiTheme="minorHAnsi" w:hAnsiTheme="minorHAnsi" w:cstheme="minorHAnsi"/>
        </w:rPr>
        <w:t>.</w:t>
      </w:r>
      <w:r w:rsidRPr="007063A8">
        <w:rPr>
          <w:rFonts w:asciiTheme="minorHAnsi" w:hAnsiTheme="minorHAnsi" w:cstheme="minorHAnsi"/>
        </w:rPr>
        <w:t xml:space="preserve"> Accounting in its </w:t>
      </w:r>
      <w:r w:rsidR="65D20801" w:rsidRPr="007063A8">
        <w:rPr>
          <w:rFonts w:asciiTheme="minorHAnsi" w:hAnsiTheme="minorHAnsi" w:cstheme="minorHAnsi"/>
        </w:rPr>
        <w:t>S</w:t>
      </w:r>
      <w:r w:rsidRPr="007063A8">
        <w:rPr>
          <w:rFonts w:asciiTheme="minorHAnsi" w:hAnsiTheme="minorHAnsi" w:cstheme="minorHAnsi"/>
        </w:rPr>
        <w:t xml:space="preserve">ocial </w:t>
      </w:r>
      <w:r w:rsidR="70E19A19" w:rsidRPr="007063A8">
        <w:rPr>
          <w:rFonts w:asciiTheme="minorHAnsi" w:hAnsiTheme="minorHAnsi" w:cstheme="minorHAnsi"/>
        </w:rPr>
        <w:t>C</w:t>
      </w:r>
      <w:r w:rsidRPr="007063A8">
        <w:rPr>
          <w:rFonts w:asciiTheme="minorHAnsi" w:hAnsiTheme="minorHAnsi" w:cstheme="minorHAnsi"/>
        </w:rPr>
        <w:t xml:space="preserve">ontext: </w:t>
      </w:r>
      <w:r w:rsidR="5534BAB7" w:rsidRPr="007063A8">
        <w:rPr>
          <w:rFonts w:asciiTheme="minorHAnsi" w:hAnsiTheme="minorHAnsi" w:cstheme="minorHAnsi"/>
        </w:rPr>
        <w:t>T</w:t>
      </w:r>
      <w:r w:rsidRPr="007063A8">
        <w:rPr>
          <w:rFonts w:asciiTheme="minorHAnsi" w:hAnsiTheme="minorHAnsi" w:cstheme="minorHAnsi"/>
        </w:rPr>
        <w:t xml:space="preserve">owards a </w:t>
      </w:r>
      <w:r w:rsidR="7B2C7F47" w:rsidRPr="007063A8">
        <w:rPr>
          <w:rFonts w:asciiTheme="minorHAnsi" w:hAnsiTheme="minorHAnsi" w:cstheme="minorHAnsi"/>
        </w:rPr>
        <w:t>H</w:t>
      </w:r>
      <w:r w:rsidRPr="007063A8">
        <w:rPr>
          <w:rFonts w:asciiTheme="minorHAnsi" w:hAnsiTheme="minorHAnsi" w:cstheme="minorHAnsi"/>
        </w:rPr>
        <w:t xml:space="preserve">istory of </w:t>
      </w:r>
      <w:r w:rsidR="7448EB36" w:rsidRPr="007063A8">
        <w:rPr>
          <w:rFonts w:asciiTheme="minorHAnsi" w:hAnsiTheme="minorHAnsi" w:cstheme="minorHAnsi"/>
        </w:rPr>
        <w:t>V</w:t>
      </w:r>
      <w:r w:rsidRPr="007063A8">
        <w:rPr>
          <w:rFonts w:asciiTheme="minorHAnsi" w:hAnsiTheme="minorHAnsi" w:cstheme="minorHAnsi"/>
        </w:rPr>
        <w:t xml:space="preserve">alue </w:t>
      </w:r>
      <w:r w:rsidR="2F66AD91" w:rsidRPr="007063A8">
        <w:rPr>
          <w:rFonts w:asciiTheme="minorHAnsi" w:hAnsiTheme="minorHAnsi" w:cstheme="minorHAnsi"/>
        </w:rPr>
        <w:t>A</w:t>
      </w:r>
      <w:r w:rsidRPr="007063A8">
        <w:rPr>
          <w:rFonts w:asciiTheme="minorHAnsi" w:hAnsiTheme="minorHAnsi" w:cstheme="minorHAnsi"/>
        </w:rPr>
        <w:t>dded in the United Kingdom</w:t>
      </w:r>
      <w:r w:rsidR="0F00D000" w:rsidRPr="007063A8">
        <w:rPr>
          <w:rFonts w:asciiTheme="minorHAnsi" w:hAnsiTheme="minorHAnsi" w:cstheme="minorHAnsi"/>
        </w:rPr>
        <w:t>.</w:t>
      </w:r>
      <w:r w:rsidR="26E6B50E" w:rsidRPr="007063A8">
        <w:rPr>
          <w:rFonts w:asciiTheme="minorHAnsi" w:hAnsiTheme="minorHAnsi" w:cstheme="minorHAnsi"/>
        </w:rPr>
        <w:t xml:space="preserve"> </w:t>
      </w:r>
      <w:r w:rsidRPr="007063A8">
        <w:rPr>
          <w:rFonts w:asciiTheme="minorHAnsi" w:hAnsiTheme="minorHAnsi" w:cstheme="minorHAnsi"/>
        </w:rPr>
        <w:t>Accounting Organizations and Society</w:t>
      </w:r>
      <w:r w:rsidR="1283606D" w:rsidRPr="007063A8">
        <w:rPr>
          <w:rFonts w:asciiTheme="minorHAnsi" w:hAnsiTheme="minorHAnsi" w:cstheme="minorHAnsi"/>
        </w:rPr>
        <w:t xml:space="preserve"> </w:t>
      </w:r>
      <w:r w:rsidRPr="007063A8">
        <w:rPr>
          <w:rFonts w:asciiTheme="minorHAnsi" w:hAnsiTheme="minorHAnsi" w:cstheme="minorHAnsi"/>
        </w:rPr>
        <w:t>10</w:t>
      </w:r>
      <w:r w:rsidR="47866AC9" w:rsidRPr="007063A8">
        <w:rPr>
          <w:rFonts w:asciiTheme="minorHAnsi" w:hAnsiTheme="minorHAnsi" w:cstheme="minorHAnsi"/>
        </w:rPr>
        <w:t xml:space="preserve">, vol 4 </w:t>
      </w:r>
    </w:p>
    <w:p w14:paraId="62260A16" w14:textId="3617734E" w:rsidR="00316337" w:rsidRPr="007063A8" w:rsidRDefault="00316337" w:rsidP="0031633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Castelnovo P., Morretta</w:t>
      </w:r>
      <w:r w:rsidR="6579742C" w:rsidRPr="007063A8">
        <w:rPr>
          <w:rFonts w:asciiTheme="minorHAnsi" w:hAnsiTheme="minorHAnsi" w:cstheme="minorHAnsi"/>
        </w:rPr>
        <w:t>,</w:t>
      </w:r>
      <w:r w:rsidRPr="007063A8">
        <w:rPr>
          <w:rFonts w:asciiTheme="minorHAnsi" w:hAnsiTheme="minorHAnsi" w:cstheme="minorHAnsi"/>
        </w:rPr>
        <w:t xml:space="preserve"> V.,</w:t>
      </w:r>
      <w:r w:rsidR="3F8F1A20" w:rsidRPr="007063A8">
        <w:rPr>
          <w:rFonts w:asciiTheme="minorHAnsi" w:hAnsiTheme="minorHAnsi" w:cstheme="minorHAnsi"/>
        </w:rPr>
        <w:t xml:space="preserve"> </w:t>
      </w:r>
      <w:r w:rsidRPr="007063A8">
        <w:rPr>
          <w:rFonts w:asciiTheme="minorHAnsi" w:hAnsiTheme="minorHAnsi" w:cstheme="minorHAnsi"/>
        </w:rPr>
        <w:t>Vecchi</w:t>
      </w:r>
      <w:r w:rsidR="4372C02B" w:rsidRPr="007063A8">
        <w:rPr>
          <w:rFonts w:asciiTheme="minorHAnsi" w:hAnsiTheme="minorHAnsi" w:cstheme="minorHAnsi"/>
        </w:rPr>
        <w:t>,</w:t>
      </w:r>
      <w:r w:rsidRPr="007063A8">
        <w:rPr>
          <w:rFonts w:asciiTheme="minorHAnsi" w:hAnsiTheme="minorHAnsi" w:cstheme="minorHAnsi"/>
        </w:rPr>
        <w:t xml:space="preserve"> M.</w:t>
      </w:r>
      <w:r w:rsidR="797FDCB1" w:rsidRPr="007063A8">
        <w:rPr>
          <w:rFonts w:asciiTheme="minorHAnsi" w:hAnsiTheme="minorHAnsi" w:cstheme="minorHAnsi"/>
        </w:rPr>
        <w:t>,</w:t>
      </w:r>
      <w:r w:rsidRPr="007063A8">
        <w:rPr>
          <w:rFonts w:asciiTheme="minorHAnsi" w:hAnsiTheme="minorHAnsi" w:cstheme="minorHAnsi"/>
        </w:rPr>
        <w:t xml:space="preserve"> 2020</w:t>
      </w:r>
      <w:r w:rsidR="4E4AB5EF" w:rsidRPr="007063A8">
        <w:rPr>
          <w:rFonts w:asciiTheme="minorHAnsi" w:hAnsiTheme="minorHAnsi" w:cstheme="minorHAnsi"/>
        </w:rPr>
        <w:t>.</w:t>
      </w:r>
      <w:r w:rsidRPr="007063A8">
        <w:rPr>
          <w:rFonts w:asciiTheme="minorHAnsi" w:hAnsiTheme="minorHAnsi" w:cstheme="minorHAnsi"/>
        </w:rPr>
        <w:t xml:space="preserve"> Regional </w:t>
      </w:r>
      <w:r w:rsidR="2E10B7C3" w:rsidRPr="007063A8">
        <w:rPr>
          <w:rFonts w:asciiTheme="minorHAnsi" w:hAnsiTheme="minorHAnsi" w:cstheme="minorHAnsi"/>
        </w:rPr>
        <w:t>D</w:t>
      </w:r>
      <w:r w:rsidRPr="007063A8">
        <w:rPr>
          <w:rFonts w:asciiTheme="minorHAnsi" w:hAnsiTheme="minorHAnsi" w:cstheme="minorHAnsi"/>
        </w:rPr>
        <w:t xml:space="preserve">isparities and </w:t>
      </w:r>
      <w:r w:rsidR="630B5591" w:rsidRPr="007063A8">
        <w:rPr>
          <w:rFonts w:asciiTheme="minorHAnsi" w:hAnsiTheme="minorHAnsi" w:cstheme="minorHAnsi"/>
        </w:rPr>
        <w:t>I</w:t>
      </w:r>
      <w:r w:rsidRPr="007063A8">
        <w:rPr>
          <w:rFonts w:asciiTheme="minorHAnsi" w:hAnsiTheme="minorHAnsi" w:cstheme="minorHAnsi"/>
        </w:rPr>
        <w:t xml:space="preserve">ndustrial </w:t>
      </w:r>
      <w:r w:rsidR="428944E7" w:rsidRPr="007063A8">
        <w:rPr>
          <w:rFonts w:asciiTheme="minorHAnsi" w:hAnsiTheme="minorHAnsi" w:cstheme="minorHAnsi"/>
        </w:rPr>
        <w:t>S</w:t>
      </w:r>
      <w:r w:rsidRPr="007063A8">
        <w:rPr>
          <w:rFonts w:asciiTheme="minorHAnsi" w:hAnsiTheme="minorHAnsi" w:cstheme="minorHAnsi"/>
        </w:rPr>
        <w:t xml:space="preserve">tructure: </w:t>
      </w:r>
      <w:r w:rsidR="3233B57D" w:rsidRPr="007063A8">
        <w:rPr>
          <w:rFonts w:asciiTheme="minorHAnsi" w:hAnsiTheme="minorHAnsi" w:cstheme="minorHAnsi"/>
        </w:rPr>
        <w:t>T</w:t>
      </w:r>
      <w:r w:rsidRPr="007063A8">
        <w:rPr>
          <w:rFonts w:asciiTheme="minorHAnsi" w:hAnsiTheme="minorHAnsi" w:cstheme="minorHAnsi"/>
        </w:rPr>
        <w:t xml:space="preserve">erritorial </w:t>
      </w:r>
      <w:r w:rsidR="08725B80" w:rsidRPr="007063A8">
        <w:rPr>
          <w:rFonts w:asciiTheme="minorHAnsi" w:hAnsiTheme="minorHAnsi" w:cstheme="minorHAnsi"/>
        </w:rPr>
        <w:t>C</w:t>
      </w:r>
      <w:r w:rsidRPr="007063A8">
        <w:rPr>
          <w:rFonts w:asciiTheme="minorHAnsi" w:hAnsiTheme="minorHAnsi" w:cstheme="minorHAnsi"/>
        </w:rPr>
        <w:t xml:space="preserve">apital and </w:t>
      </w:r>
      <w:r w:rsidR="71C180A7" w:rsidRPr="007063A8">
        <w:rPr>
          <w:rFonts w:asciiTheme="minorHAnsi" w:hAnsiTheme="minorHAnsi" w:cstheme="minorHAnsi"/>
        </w:rPr>
        <w:t>P</w:t>
      </w:r>
      <w:r w:rsidRPr="007063A8">
        <w:rPr>
          <w:rFonts w:asciiTheme="minorHAnsi" w:hAnsiTheme="minorHAnsi" w:cstheme="minorHAnsi"/>
        </w:rPr>
        <w:t xml:space="preserve">roductivity in Italian </w:t>
      </w:r>
      <w:r w:rsidR="67EA04AE" w:rsidRPr="007063A8">
        <w:rPr>
          <w:rFonts w:asciiTheme="minorHAnsi" w:hAnsiTheme="minorHAnsi" w:cstheme="minorHAnsi"/>
        </w:rPr>
        <w:t>F</w:t>
      </w:r>
      <w:r w:rsidRPr="007063A8">
        <w:rPr>
          <w:rFonts w:asciiTheme="minorHAnsi" w:hAnsiTheme="minorHAnsi" w:cstheme="minorHAnsi"/>
        </w:rPr>
        <w:t>irms</w:t>
      </w:r>
      <w:r w:rsidR="7EE72004" w:rsidRPr="007063A8">
        <w:rPr>
          <w:rFonts w:asciiTheme="minorHAnsi" w:hAnsiTheme="minorHAnsi" w:cstheme="minorHAnsi"/>
        </w:rPr>
        <w:t>.</w:t>
      </w:r>
      <w:r w:rsidRPr="007063A8">
        <w:rPr>
          <w:rFonts w:asciiTheme="minorHAnsi" w:hAnsiTheme="minorHAnsi" w:cstheme="minorHAnsi"/>
        </w:rPr>
        <w:t xml:space="preserve"> Regional Studies</w:t>
      </w:r>
      <w:r w:rsidR="1D9B25EE" w:rsidRPr="007063A8">
        <w:rPr>
          <w:rFonts w:asciiTheme="minorHAnsi" w:hAnsiTheme="minorHAnsi" w:cstheme="minorHAnsi"/>
          <w:i/>
          <w:iCs/>
        </w:rPr>
        <w:t xml:space="preserve"> </w:t>
      </w:r>
      <w:r w:rsidRPr="007063A8">
        <w:rPr>
          <w:rFonts w:asciiTheme="minorHAnsi" w:hAnsiTheme="minorHAnsi" w:cstheme="minorHAnsi"/>
        </w:rPr>
        <w:t xml:space="preserve">54, </w:t>
      </w:r>
      <w:r w:rsidR="0442E0E6" w:rsidRPr="007063A8">
        <w:rPr>
          <w:rFonts w:asciiTheme="minorHAnsi" w:hAnsiTheme="minorHAnsi" w:cstheme="minorHAnsi"/>
        </w:rPr>
        <w:t xml:space="preserve">p. </w:t>
      </w:r>
      <w:r w:rsidRPr="007063A8">
        <w:rPr>
          <w:rFonts w:asciiTheme="minorHAnsi" w:hAnsiTheme="minorHAnsi" w:cstheme="minorHAnsi"/>
        </w:rPr>
        <w:t>1709.</w:t>
      </w:r>
    </w:p>
    <w:p w14:paraId="2061CA21" w14:textId="7571EF60" w:rsidR="00EF2D39" w:rsidRPr="007063A8" w:rsidRDefault="00F51590" w:rsidP="002B7D17">
      <w:pPr>
        <w:widowControl/>
        <w:spacing w:line="276" w:lineRule="auto"/>
        <w:ind w:left="426" w:hanging="426"/>
        <w:jc w:val="both"/>
        <w:rPr>
          <w:rFonts w:asciiTheme="minorHAnsi" w:hAnsiTheme="minorHAnsi" w:cstheme="minorHAnsi"/>
          <w:lang w:val="it-IT"/>
        </w:rPr>
      </w:pPr>
      <w:r w:rsidRPr="007063A8">
        <w:rPr>
          <w:rFonts w:asciiTheme="minorHAnsi" w:hAnsiTheme="minorHAnsi" w:cstheme="minorHAnsi"/>
        </w:rPr>
        <w:t>Connolly, C.</w:t>
      </w:r>
      <w:r w:rsidR="7CA17931" w:rsidRPr="007063A8">
        <w:rPr>
          <w:rFonts w:asciiTheme="minorHAnsi" w:hAnsiTheme="minorHAnsi" w:cstheme="minorHAnsi"/>
        </w:rPr>
        <w:t>,</w:t>
      </w:r>
      <w:r w:rsidRPr="007063A8">
        <w:rPr>
          <w:rFonts w:asciiTheme="minorHAnsi" w:hAnsiTheme="minorHAnsi" w:cstheme="minorHAnsi"/>
        </w:rPr>
        <w:t xml:space="preserve"> Kelly, M., 2011. Understanding </w:t>
      </w:r>
      <w:r w:rsidR="2170A485" w:rsidRPr="007063A8">
        <w:rPr>
          <w:rFonts w:asciiTheme="minorHAnsi" w:hAnsiTheme="minorHAnsi" w:cstheme="minorHAnsi"/>
        </w:rPr>
        <w:t>A</w:t>
      </w:r>
      <w:r w:rsidRPr="007063A8">
        <w:rPr>
          <w:rFonts w:asciiTheme="minorHAnsi" w:hAnsiTheme="minorHAnsi" w:cstheme="minorHAnsi"/>
        </w:rPr>
        <w:t xml:space="preserve">ccountability in </w:t>
      </w:r>
      <w:r w:rsidR="690224E8" w:rsidRPr="007063A8">
        <w:rPr>
          <w:rFonts w:asciiTheme="minorHAnsi" w:hAnsiTheme="minorHAnsi" w:cstheme="minorHAnsi"/>
        </w:rPr>
        <w:t>S</w:t>
      </w:r>
      <w:r w:rsidRPr="007063A8">
        <w:rPr>
          <w:rFonts w:asciiTheme="minorHAnsi" w:hAnsiTheme="minorHAnsi" w:cstheme="minorHAnsi"/>
        </w:rPr>
        <w:t xml:space="preserve">ocial </w:t>
      </w:r>
      <w:r w:rsidR="69FA32FD" w:rsidRPr="007063A8">
        <w:rPr>
          <w:rFonts w:asciiTheme="minorHAnsi" w:hAnsiTheme="minorHAnsi" w:cstheme="minorHAnsi"/>
        </w:rPr>
        <w:t>E</w:t>
      </w:r>
      <w:r w:rsidRPr="007063A8">
        <w:rPr>
          <w:rFonts w:asciiTheme="minorHAnsi" w:hAnsiTheme="minorHAnsi" w:cstheme="minorHAnsi"/>
        </w:rPr>
        <w:t xml:space="preserve">nterprise </w:t>
      </w:r>
      <w:r w:rsidR="1D6A2F8E" w:rsidRPr="007063A8">
        <w:rPr>
          <w:rFonts w:asciiTheme="minorHAnsi" w:hAnsiTheme="minorHAnsi" w:cstheme="minorHAnsi"/>
        </w:rPr>
        <w:t>O</w:t>
      </w:r>
      <w:r w:rsidRPr="007063A8">
        <w:rPr>
          <w:rFonts w:asciiTheme="minorHAnsi" w:hAnsiTheme="minorHAnsi" w:cstheme="minorHAnsi"/>
        </w:rPr>
        <w:t xml:space="preserve">rganisations: a </w:t>
      </w:r>
      <w:r w:rsidR="04C344C7" w:rsidRPr="007063A8">
        <w:rPr>
          <w:rFonts w:asciiTheme="minorHAnsi" w:hAnsiTheme="minorHAnsi" w:cstheme="minorHAnsi"/>
        </w:rPr>
        <w:t>F</w:t>
      </w:r>
      <w:r w:rsidRPr="007063A8">
        <w:rPr>
          <w:rFonts w:asciiTheme="minorHAnsi" w:hAnsiTheme="minorHAnsi" w:cstheme="minorHAnsi"/>
        </w:rPr>
        <w:t xml:space="preserve">ramework. </w:t>
      </w:r>
      <w:r w:rsidRPr="007063A8">
        <w:rPr>
          <w:rFonts w:asciiTheme="minorHAnsi" w:hAnsiTheme="minorHAnsi" w:cstheme="minorHAnsi"/>
          <w:lang w:val="it-IT"/>
        </w:rPr>
        <w:t xml:space="preserve">Social Enterprise Journal 7, </w:t>
      </w:r>
      <w:r w:rsidR="562D3787" w:rsidRPr="007063A8">
        <w:rPr>
          <w:rFonts w:asciiTheme="minorHAnsi" w:hAnsiTheme="minorHAnsi" w:cstheme="minorHAnsi"/>
          <w:lang w:val="it-IT"/>
        </w:rPr>
        <w:t xml:space="preserve">p. </w:t>
      </w:r>
      <w:r w:rsidRPr="007063A8">
        <w:rPr>
          <w:rFonts w:asciiTheme="minorHAnsi" w:hAnsiTheme="minorHAnsi" w:cstheme="minorHAnsi"/>
          <w:lang w:val="it-IT"/>
        </w:rPr>
        <w:t>224.</w:t>
      </w:r>
    </w:p>
    <w:p w14:paraId="3A159C8A" w14:textId="20F21CEE" w:rsidR="00A11C8D" w:rsidRPr="007063A8" w:rsidRDefault="00A11C8D" w:rsidP="001D7175">
      <w:pPr>
        <w:widowControl/>
        <w:spacing w:line="276" w:lineRule="auto"/>
        <w:jc w:val="both"/>
        <w:rPr>
          <w:rFonts w:asciiTheme="minorHAnsi" w:hAnsiTheme="minorHAnsi" w:cstheme="minorHAnsi"/>
          <w:lang w:val="it-IT"/>
        </w:rPr>
      </w:pPr>
      <w:r w:rsidRPr="007063A8">
        <w:rPr>
          <w:rFonts w:asciiTheme="minorHAnsi" w:hAnsiTheme="minorHAnsi" w:cstheme="minorHAnsi"/>
          <w:lang w:val="it-IT"/>
        </w:rPr>
        <w:t>Coda</w:t>
      </w:r>
      <w:r w:rsidR="7E786642" w:rsidRPr="007063A8">
        <w:rPr>
          <w:rFonts w:asciiTheme="minorHAnsi" w:hAnsiTheme="minorHAnsi" w:cstheme="minorHAnsi"/>
          <w:lang w:val="it-IT"/>
        </w:rPr>
        <w:t>,</w:t>
      </w:r>
      <w:r w:rsidRPr="007063A8">
        <w:rPr>
          <w:rFonts w:asciiTheme="minorHAnsi" w:hAnsiTheme="minorHAnsi" w:cstheme="minorHAnsi"/>
          <w:lang w:val="it-IT"/>
        </w:rPr>
        <w:t xml:space="preserve"> V.</w:t>
      </w:r>
      <w:r w:rsidR="096ED3F9" w:rsidRPr="007063A8">
        <w:rPr>
          <w:rFonts w:asciiTheme="minorHAnsi" w:hAnsiTheme="minorHAnsi" w:cstheme="minorHAnsi"/>
          <w:lang w:val="it-IT"/>
        </w:rPr>
        <w:t xml:space="preserve">, </w:t>
      </w:r>
      <w:r w:rsidRPr="007063A8">
        <w:rPr>
          <w:rFonts w:asciiTheme="minorHAnsi" w:hAnsiTheme="minorHAnsi" w:cstheme="minorHAnsi"/>
          <w:lang w:val="it-IT"/>
        </w:rPr>
        <w:t>1988</w:t>
      </w:r>
      <w:r w:rsidR="0EAF81C0" w:rsidRPr="007063A8">
        <w:rPr>
          <w:rFonts w:asciiTheme="minorHAnsi" w:hAnsiTheme="minorHAnsi" w:cstheme="minorHAnsi"/>
          <w:lang w:val="it-IT"/>
        </w:rPr>
        <w:t>.</w:t>
      </w:r>
      <w:r w:rsidRPr="007063A8">
        <w:rPr>
          <w:rFonts w:asciiTheme="minorHAnsi" w:hAnsiTheme="minorHAnsi" w:cstheme="minorHAnsi"/>
          <w:lang w:val="it-IT"/>
        </w:rPr>
        <w:t xml:space="preserve"> </w:t>
      </w:r>
      <w:r w:rsidRPr="007063A8">
        <w:rPr>
          <w:rFonts w:asciiTheme="minorHAnsi" w:hAnsiTheme="minorHAnsi" w:cstheme="minorHAnsi"/>
          <w:i/>
          <w:iCs/>
          <w:lang w:val="it-IT"/>
        </w:rPr>
        <w:t>L’orientamento strategico dell’impresa</w:t>
      </w:r>
      <w:r w:rsidRPr="007063A8">
        <w:rPr>
          <w:rFonts w:asciiTheme="minorHAnsi" w:hAnsiTheme="minorHAnsi" w:cstheme="minorHAnsi"/>
          <w:lang w:val="it-IT"/>
        </w:rPr>
        <w:t>, UTET, Torino.</w:t>
      </w:r>
    </w:p>
    <w:p w14:paraId="62853506" w14:textId="4C87148F" w:rsidR="00A11C8D" w:rsidRPr="007063A8" w:rsidRDefault="00A11C8D" w:rsidP="46A27F0A">
      <w:pPr>
        <w:widowControl/>
        <w:spacing w:line="276" w:lineRule="auto"/>
        <w:ind w:left="426" w:hanging="426"/>
        <w:jc w:val="both"/>
        <w:rPr>
          <w:rFonts w:asciiTheme="minorHAnsi" w:hAnsiTheme="minorHAnsi" w:cstheme="minorHAnsi"/>
        </w:rPr>
      </w:pPr>
      <w:r w:rsidRPr="00400389">
        <w:rPr>
          <w:rFonts w:asciiTheme="minorHAnsi" w:hAnsiTheme="minorHAnsi" w:cstheme="minorHAnsi"/>
          <w:lang w:val="it-IT"/>
        </w:rPr>
        <w:t>Costa</w:t>
      </w:r>
      <w:r w:rsidR="755FE20C" w:rsidRPr="00400389">
        <w:rPr>
          <w:rFonts w:asciiTheme="minorHAnsi" w:hAnsiTheme="minorHAnsi" w:cstheme="minorHAnsi"/>
          <w:lang w:val="it-IT"/>
        </w:rPr>
        <w:t>,</w:t>
      </w:r>
      <w:r w:rsidRPr="00400389">
        <w:rPr>
          <w:rFonts w:asciiTheme="minorHAnsi" w:hAnsiTheme="minorHAnsi" w:cstheme="minorHAnsi"/>
          <w:lang w:val="it-IT"/>
        </w:rPr>
        <w:t xml:space="preserve"> E.</w:t>
      </w:r>
      <w:r w:rsidR="00B82A02" w:rsidRPr="00400389">
        <w:rPr>
          <w:rFonts w:asciiTheme="minorHAnsi" w:hAnsiTheme="minorHAnsi" w:cstheme="minorHAnsi"/>
          <w:lang w:val="it-IT"/>
        </w:rPr>
        <w:t xml:space="preserve">, </w:t>
      </w:r>
      <w:r w:rsidRPr="00400389">
        <w:rPr>
          <w:rFonts w:asciiTheme="minorHAnsi" w:hAnsiTheme="minorHAnsi" w:cstheme="minorHAnsi"/>
          <w:lang w:val="it-IT"/>
        </w:rPr>
        <w:t>Andreaus</w:t>
      </w:r>
      <w:r w:rsidR="615DA905" w:rsidRPr="00400389">
        <w:rPr>
          <w:rFonts w:asciiTheme="minorHAnsi" w:hAnsiTheme="minorHAnsi" w:cstheme="minorHAnsi"/>
          <w:lang w:val="it-IT"/>
        </w:rPr>
        <w:t>,</w:t>
      </w:r>
      <w:r w:rsidRPr="00400389">
        <w:rPr>
          <w:rFonts w:asciiTheme="minorHAnsi" w:hAnsiTheme="minorHAnsi" w:cstheme="minorHAnsi"/>
          <w:lang w:val="it-IT"/>
        </w:rPr>
        <w:t xml:space="preserve"> M.</w:t>
      </w:r>
      <w:r w:rsidR="00B82A02" w:rsidRPr="00400389">
        <w:rPr>
          <w:rFonts w:asciiTheme="minorHAnsi" w:hAnsiTheme="minorHAnsi" w:cstheme="minorHAnsi"/>
          <w:lang w:val="it-IT"/>
        </w:rPr>
        <w:t xml:space="preserve">, </w:t>
      </w:r>
      <w:r w:rsidRPr="00400389">
        <w:rPr>
          <w:rFonts w:asciiTheme="minorHAnsi" w:hAnsiTheme="minorHAnsi" w:cstheme="minorHAnsi"/>
          <w:lang w:val="it-IT"/>
        </w:rPr>
        <w:t>Carini</w:t>
      </w:r>
      <w:r w:rsidR="13B8ED22" w:rsidRPr="00400389">
        <w:rPr>
          <w:rFonts w:asciiTheme="minorHAnsi" w:hAnsiTheme="minorHAnsi" w:cstheme="minorHAnsi"/>
          <w:lang w:val="it-IT"/>
        </w:rPr>
        <w:t>,</w:t>
      </w:r>
      <w:r w:rsidRPr="00400389">
        <w:rPr>
          <w:rFonts w:asciiTheme="minorHAnsi" w:hAnsiTheme="minorHAnsi" w:cstheme="minorHAnsi"/>
          <w:lang w:val="it-IT"/>
        </w:rPr>
        <w:t xml:space="preserve"> C.</w:t>
      </w:r>
      <w:r w:rsidR="00B82A02" w:rsidRPr="00400389">
        <w:rPr>
          <w:rFonts w:asciiTheme="minorHAnsi" w:hAnsiTheme="minorHAnsi" w:cstheme="minorHAnsi"/>
          <w:lang w:val="it-IT"/>
        </w:rPr>
        <w:t xml:space="preserve">, </w:t>
      </w:r>
      <w:r w:rsidRPr="00400389">
        <w:rPr>
          <w:rFonts w:asciiTheme="minorHAnsi" w:hAnsiTheme="minorHAnsi" w:cstheme="minorHAnsi"/>
          <w:lang w:val="it-IT"/>
        </w:rPr>
        <w:t>Carpita</w:t>
      </w:r>
      <w:r w:rsidR="6E9DDC3F" w:rsidRPr="00400389">
        <w:rPr>
          <w:rFonts w:asciiTheme="minorHAnsi" w:hAnsiTheme="minorHAnsi" w:cstheme="minorHAnsi"/>
          <w:lang w:val="it-IT"/>
        </w:rPr>
        <w:t>,</w:t>
      </w:r>
      <w:r w:rsidRPr="00400389">
        <w:rPr>
          <w:rFonts w:asciiTheme="minorHAnsi" w:hAnsiTheme="minorHAnsi" w:cstheme="minorHAnsi"/>
          <w:lang w:val="it-IT"/>
        </w:rPr>
        <w:t xml:space="preserve"> M.</w:t>
      </w:r>
      <w:r w:rsidR="1E14EE4E" w:rsidRPr="00400389">
        <w:rPr>
          <w:rFonts w:asciiTheme="minorHAnsi" w:hAnsiTheme="minorHAnsi" w:cstheme="minorHAnsi"/>
          <w:lang w:val="it-IT"/>
        </w:rPr>
        <w:t xml:space="preserve">, </w:t>
      </w:r>
      <w:r w:rsidRPr="00400389">
        <w:rPr>
          <w:rFonts w:asciiTheme="minorHAnsi" w:hAnsiTheme="minorHAnsi" w:cstheme="minorHAnsi"/>
          <w:lang w:val="it-IT"/>
        </w:rPr>
        <w:t>2012</w:t>
      </w:r>
      <w:r w:rsidR="514E06E6" w:rsidRPr="00400389">
        <w:rPr>
          <w:rFonts w:asciiTheme="minorHAnsi" w:hAnsiTheme="minorHAnsi" w:cstheme="minorHAnsi"/>
          <w:lang w:val="it-IT"/>
        </w:rPr>
        <w:t>.</w:t>
      </w:r>
      <w:r w:rsidRPr="00400389">
        <w:rPr>
          <w:rFonts w:asciiTheme="minorHAnsi" w:hAnsiTheme="minorHAnsi" w:cstheme="minorHAnsi"/>
          <w:lang w:val="it-IT"/>
        </w:rPr>
        <w:t xml:space="preserve"> </w:t>
      </w:r>
      <w:r w:rsidRPr="007063A8">
        <w:rPr>
          <w:rFonts w:asciiTheme="minorHAnsi" w:hAnsiTheme="minorHAnsi" w:cstheme="minorHAnsi"/>
        </w:rPr>
        <w:t xml:space="preserve">Exploring the </w:t>
      </w:r>
      <w:r w:rsidR="403F169B" w:rsidRPr="007063A8">
        <w:rPr>
          <w:rFonts w:asciiTheme="minorHAnsi" w:hAnsiTheme="minorHAnsi" w:cstheme="minorHAnsi"/>
        </w:rPr>
        <w:t>E</w:t>
      </w:r>
      <w:r w:rsidRPr="007063A8">
        <w:rPr>
          <w:rFonts w:asciiTheme="minorHAnsi" w:hAnsiTheme="minorHAnsi" w:cstheme="minorHAnsi"/>
        </w:rPr>
        <w:t xml:space="preserve">fficiency of Italian </w:t>
      </w:r>
      <w:r w:rsidR="4CF63879" w:rsidRPr="007063A8">
        <w:rPr>
          <w:rFonts w:asciiTheme="minorHAnsi" w:hAnsiTheme="minorHAnsi" w:cstheme="minorHAnsi"/>
        </w:rPr>
        <w:t>S</w:t>
      </w:r>
      <w:r w:rsidRPr="007063A8">
        <w:rPr>
          <w:rFonts w:asciiTheme="minorHAnsi" w:hAnsiTheme="minorHAnsi" w:cstheme="minorHAnsi"/>
        </w:rPr>
        <w:t xml:space="preserve">ocial </w:t>
      </w:r>
      <w:r w:rsidR="0E6B2E78" w:rsidRPr="007063A8">
        <w:rPr>
          <w:rFonts w:asciiTheme="minorHAnsi" w:hAnsiTheme="minorHAnsi" w:cstheme="minorHAnsi"/>
        </w:rPr>
        <w:t>C</w:t>
      </w:r>
      <w:r w:rsidRPr="007063A8">
        <w:rPr>
          <w:rFonts w:asciiTheme="minorHAnsi" w:hAnsiTheme="minorHAnsi" w:cstheme="minorHAnsi"/>
        </w:rPr>
        <w:t xml:space="preserve">ooperatives by </w:t>
      </w:r>
      <w:r w:rsidR="2F90D0D0" w:rsidRPr="007063A8">
        <w:rPr>
          <w:rFonts w:asciiTheme="minorHAnsi" w:hAnsiTheme="minorHAnsi" w:cstheme="minorHAnsi"/>
        </w:rPr>
        <w:t>D</w:t>
      </w:r>
      <w:r w:rsidRPr="007063A8">
        <w:rPr>
          <w:rFonts w:asciiTheme="minorHAnsi" w:hAnsiTheme="minorHAnsi" w:cstheme="minorHAnsi"/>
        </w:rPr>
        <w:t xml:space="preserve">escriptive and </w:t>
      </w:r>
      <w:r w:rsidR="39E98DF1" w:rsidRPr="007063A8">
        <w:rPr>
          <w:rFonts w:asciiTheme="minorHAnsi" w:hAnsiTheme="minorHAnsi" w:cstheme="minorHAnsi"/>
        </w:rPr>
        <w:t>P</w:t>
      </w:r>
      <w:r w:rsidRPr="007063A8">
        <w:rPr>
          <w:rFonts w:asciiTheme="minorHAnsi" w:hAnsiTheme="minorHAnsi" w:cstheme="minorHAnsi"/>
        </w:rPr>
        <w:t xml:space="preserve">rincipal </w:t>
      </w:r>
      <w:r w:rsidR="2B3ACCD6" w:rsidRPr="007063A8">
        <w:rPr>
          <w:rFonts w:asciiTheme="minorHAnsi" w:hAnsiTheme="minorHAnsi" w:cstheme="minorHAnsi"/>
        </w:rPr>
        <w:t>C</w:t>
      </w:r>
      <w:r w:rsidRPr="007063A8">
        <w:rPr>
          <w:rFonts w:asciiTheme="minorHAnsi" w:hAnsiTheme="minorHAnsi" w:cstheme="minorHAnsi"/>
        </w:rPr>
        <w:t xml:space="preserve">omponent </w:t>
      </w:r>
      <w:r w:rsidR="5F32B5AD" w:rsidRPr="007063A8">
        <w:rPr>
          <w:rFonts w:asciiTheme="minorHAnsi" w:hAnsiTheme="minorHAnsi" w:cstheme="minorHAnsi"/>
        </w:rPr>
        <w:t>A</w:t>
      </w:r>
      <w:r w:rsidRPr="007063A8">
        <w:rPr>
          <w:rFonts w:asciiTheme="minorHAnsi" w:hAnsiTheme="minorHAnsi" w:cstheme="minorHAnsi"/>
        </w:rPr>
        <w:t>nalysis</w:t>
      </w:r>
      <w:r w:rsidR="5E0F467F" w:rsidRPr="007063A8">
        <w:rPr>
          <w:rFonts w:asciiTheme="minorHAnsi" w:hAnsiTheme="minorHAnsi" w:cstheme="minorHAnsi"/>
        </w:rPr>
        <w:t>.</w:t>
      </w:r>
      <w:r w:rsidRPr="007063A8">
        <w:rPr>
          <w:rFonts w:asciiTheme="minorHAnsi" w:hAnsiTheme="minorHAnsi" w:cstheme="minorHAnsi"/>
        </w:rPr>
        <w:t xml:space="preserve"> Service Business 6, p. 117</w:t>
      </w:r>
      <w:r w:rsidR="7E607CA3" w:rsidRPr="007063A8">
        <w:rPr>
          <w:rFonts w:asciiTheme="minorHAnsi" w:hAnsiTheme="minorHAnsi" w:cstheme="minorHAnsi"/>
        </w:rPr>
        <w:t>.</w:t>
      </w:r>
    </w:p>
    <w:p w14:paraId="2B502270" w14:textId="3B0AB3FF"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Costa</w:t>
      </w:r>
      <w:r w:rsidR="45A5498C" w:rsidRPr="007063A8">
        <w:rPr>
          <w:rFonts w:asciiTheme="minorHAnsi" w:hAnsiTheme="minorHAnsi" w:cstheme="minorHAnsi"/>
        </w:rPr>
        <w:t>,</w:t>
      </w:r>
      <w:r w:rsidRPr="007063A8">
        <w:rPr>
          <w:rFonts w:asciiTheme="minorHAnsi" w:hAnsiTheme="minorHAnsi" w:cstheme="minorHAnsi"/>
        </w:rPr>
        <w:t xml:space="preserve"> E.</w:t>
      </w:r>
      <w:r w:rsidR="7A9B9977" w:rsidRPr="007063A8">
        <w:rPr>
          <w:rFonts w:asciiTheme="minorHAnsi" w:hAnsiTheme="minorHAnsi" w:cstheme="minorHAnsi"/>
        </w:rPr>
        <w:t>,</w:t>
      </w:r>
      <w:r w:rsidR="028DCE8C" w:rsidRPr="007063A8">
        <w:rPr>
          <w:rFonts w:asciiTheme="minorHAnsi" w:hAnsiTheme="minorHAnsi" w:cstheme="minorHAnsi"/>
        </w:rPr>
        <w:t xml:space="preserve"> </w:t>
      </w:r>
      <w:r w:rsidRPr="007063A8">
        <w:rPr>
          <w:rFonts w:asciiTheme="minorHAnsi" w:hAnsiTheme="minorHAnsi" w:cstheme="minorHAnsi"/>
        </w:rPr>
        <w:t>Carini</w:t>
      </w:r>
      <w:r w:rsidR="38C5AD3E" w:rsidRPr="007063A8">
        <w:rPr>
          <w:rFonts w:asciiTheme="minorHAnsi" w:hAnsiTheme="minorHAnsi" w:cstheme="minorHAnsi"/>
        </w:rPr>
        <w:t>,</w:t>
      </w:r>
      <w:r w:rsidRPr="007063A8">
        <w:rPr>
          <w:rFonts w:asciiTheme="minorHAnsi" w:hAnsiTheme="minorHAnsi" w:cstheme="minorHAnsi"/>
        </w:rPr>
        <w:t xml:space="preserve"> C.</w:t>
      </w:r>
      <w:r w:rsidR="247B84B2" w:rsidRPr="007063A8">
        <w:rPr>
          <w:rFonts w:asciiTheme="minorHAnsi" w:hAnsiTheme="minorHAnsi" w:cstheme="minorHAnsi"/>
        </w:rPr>
        <w:t xml:space="preserve">, </w:t>
      </w:r>
      <w:r w:rsidRPr="007063A8">
        <w:rPr>
          <w:rFonts w:asciiTheme="minorHAnsi" w:hAnsiTheme="minorHAnsi" w:cstheme="minorHAnsi"/>
        </w:rPr>
        <w:t>2016</w:t>
      </w:r>
      <w:r w:rsidR="7C49E3E2" w:rsidRPr="007063A8">
        <w:rPr>
          <w:rFonts w:asciiTheme="minorHAnsi" w:hAnsiTheme="minorHAnsi" w:cstheme="minorHAnsi"/>
        </w:rPr>
        <w:t>.</w:t>
      </w:r>
      <w:r w:rsidRPr="007063A8">
        <w:rPr>
          <w:rFonts w:asciiTheme="minorHAnsi" w:hAnsiTheme="minorHAnsi" w:cstheme="minorHAnsi"/>
        </w:rPr>
        <w:t xml:space="preserve"> Northern and </w:t>
      </w:r>
      <w:r w:rsidR="69FB36E9" w:rsidRPr="007063A8">
        <w:rPr>
          <w:rFonts w:asciiTheme="minorHAnsi" w:hAnsiTheme="minorHAnsi" w:cstheme="minorHAnsi"/>
        </w:rPr>
        <w:t>S</w:t>
      </w:r>
      <w:r w:rsidRPr="007063A8">
        <w:rPr>
          <w:rFonts w:asciiTheme="minorHAnsi" w:hAnsiTheme="minorHAnsi" w:cstheme="minorHAnsi"/>
        </w:rPr>
        <w:t xml:space="preserve">outhern Italian </w:t>
      </w:r>
      <w:r w:rsidR="69B250D4" w:rsidRPr="007063A8">
        <w:rPr>
          <w:rFonts w:asciiTheme="minorHAnsi" w:hAnsiTheme="minorHAnsi" w:cstheme="minorHAnsi"/>
        </w:rPr>
        <w:t>S</w:t>
      </w:r>
      <w:r w:rsidRPr="007063A8">
        <w:rPr>
          <w:rFonts w:asciiTheme="minorHAnsi" w:hAnsiTheme="minorHAnsi" w:cstheme="minorHAnsi"/>
        </w:rPr>
        <w:t xml:space="preserve">ocial </w:t>
      </w:r>
      <w:r w:rsidR="4BC95317" w:rsidRPr="007063A8">
        <w:rPr>
          <w:rFonts w:asciiTheme="minorHAnsi" w:hAnsiTheme="minorHAnsi" w:cstheme="minorHAnsi"/>
        </w:rPr>
        <w:t>Cooperatives</w:t>
      </w:r>
      <w:r w:rsidRPr="007063A8">
        <w:rPr>
          <w:rFonts w:asciiTheme="minorHAnsi" w:hAnsiTheme="minorHAnsi" w:cstheme="minorHAnsi"/>
        </w:rPr>
        <w:t xml:space="preserve"> </w:t>
      </w:r>
      <w:r w:rsidR="0EDC362E" w:rsidRPr="007063A8">
        <w:rPr>
          <w:rFonts w:asciiTheme="minorHAnsi" w:hAnsiTheme="minorHAnsi" w:cstheme="minorHAnsi"/>
        </w:rPr>
        <w:t>D</w:t>
      </w:r>
      <w:r w:rsidRPr="007063A8">
        <w:rPr>
          <w:rFonts w:asciiTheme="minorHAnsi" w:hAnsiTheme="minorHAnsi" w:cstheme="minorHAnsi"/>
        </w:rPr>
        <w:t xml:space="preserve">uring the </w:t>
      </w:r>
      <w:r w:rsidR="5EBB29AD" w:rsidRPr="007063A8">
        <w:rPr>
          <w:rFonts w:asciiTheme="minorHAnsi" w:hAnsiTheme="minorHAnsi" w:cstheme="minorHAnsi"/>
        </w:rPr>
        <w:t>E</w:t>
      </w:r>
      <w:r w:rsidRPr="007063A8">
        <w:rPr>
          <w:rFonts w:asciiTheme="minorHAnsi" w:hAnsiTheme="minorHAnsi" w:cstheme="minorHAnsi"/>
        </w:rPr>
        <w:t xml:space="preserve">conomic </w:t>
      </w:r>
      <w:r w:rsidR="1FD9F0AC" w:rsidRPr="007063A8">
        <w:rPr>
          <w:rFonts w:asciiTheme="minorHAnsi" w:hAnsiTheme="minorHAnsi" w:cstheme="minorHAnsi"/>
        </w:rPr>
        <w:t>C</w:t>
      </w:r>
      <w:r w:rsidRPr="007063A8">
        <w:rPr>
          <w:rFonts w:asciiTheme="minorHAnsi" w:hAnsiTheme="minorHAnsi" w:cstheme="minorHAnsi"/>
        </w:rPr>
        <w:t xml:space="preserve">risis: </w:t>
      </w:r>
      <w:r w:rsidR="56C5D1CD" w:rsidRPr="007063A8">
        <w:rPr>
          <w:rFonts w:asciiTheme="minorHAnsi" w:hAnsiTheme="minorHAnsi" w:cstheme="minorHAnsi"/>
        </w:rPr>
        <w:t>A</w:t>
      </w:r>
      <w:r w:rsidRPr="007063A8">
        <w:rPr>
          <w:rFonts w:asciiTheme="minorHAnsi" w:hAnsiTheme="minorHAnsi" w:cstheme="minorHAnsi"/>
        </w:rPr>
        <w:t xml:space="preserve"> </w:t>
      </w:r>
      <w:r w:rsidR="2013E9CD" w:rsidRPr="007063A8">
        <w:rPr>
          <w:rFonts w:asciiTheme="minorHAnsi" w:hAnsiTheme="minorHAnsi" w:cstheme="minorHAnsi"/>
        </w:rPr>
        <w:t>M</w:t>
      </w:r>
      <w:r w:rsidRPr="007063A8">
        <w:rPr>
          <w:rFonts w:asciiTheme="minorHAnsi" w:hAnsiTheme="minorHAnsi" w:cstheme="minorHAnsi"/>
        </w:rPr>
        <w:t xml:space="preserve">ultiple </w:t>
      </w:r>
      <w:r w:rsidR="2EE8B0A2" w:rsidRPr="007063A8">
        <w:rPr>
          <w:rFonts w:asciiTheme="minorHAnsi" w:hAnsiTheme="minorHAnsi" w:cstheme="minorHAnsi"/>
        </w:rPr>
        <w:t>Factor A</w:t>
      </w:r>
      <w:r w:rsidRPr="007063A8">
        <w:rPr>
          <w:rFonts w:asciiTheme="minorHAnsi" w:hAnsiTheme="minorHAnsi" w:cstheme="minorHAnsi"/>
        </w:rPr>
        <w:t>nalysis</w:t>
      </w:r>
      <w:r w:rsidR="1B4F655A" w:rsidRPr="007063A8">
        <w:rPr>
          <w:rFonts w:asciiTheme="minorHAnsi" w:hAnsiTheme="minorHAnsi" w:cstheme="minorHAnsi"/>
        </w:rPr>
        <w:t>.</w:t>
      </w:r>
      <w:r w:rsidRPr="007063A8">
        <w:rPr>
          <w:rFonts w:asciiTheme="minorHAnsi" w:hAnsiTheme="minorHAnsi" w:cstheme="minorHAnsi"/>
        </w:rPr>
        <w:t xml:space="preserve"> Service Business 10</w:t>
      </w:r>
      <w:r w:rsidR="7DFCE54A" w:rsidRPr="007063A8">
        <w:rPr>
          <w:rFonts w:asciiTheme="minorHAnsi" w:hAnsiTheme="minorHAnsi" w:cstheme="minorHAnsi"/>
        </w:rPr>
        <w:t>,</w:t>
      </w:r>
      <w:r w:rsidRPr="007063A8">
        <w:rPr>
          <w:rFonts w:asciiTheme="minorHAnsi" w:hAnsiTheme="minorHAnsi" w:cstheme="minorHAnsi"/>
        </w:rPr>
        <w:t xml:space="preserve">  p. 369.</w:t>
      </w:r>
    </w:p>
    <w:p w14:paraId="5F6DE698" w14:textId="75756E6E" w:rsidR="00E00634" w:rsidRPr="007063A8" w:rsidRDefault="00E00634"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Dart, R.</w:t>
      </w:r>
      <w:r w:rsidR="10FA8674" w:rsidRPr="007063A8">
        <w:rPr>
          <w:rFonts w:asciiTheme="minorHAnsi" w:hAnsiTheme="minorHAnsi" w:cstheme="minorHAnsi"/>
          <w:color w:val="000000" w:themeColor="text1"/>
          <w:lang w:eastAsia="it-IT"/>
        </w:rPr>
        <w:t>, 2004.</w:t>
      </w:r>
      <w:r w:rsidRPr="007063A8">
        <w:rPr>
          <w:rFonts w:asciiTheme="minorHAnsi" w:hAnsiTheme="minorHAnsi" w:cstheme="minorHAnsi"/>
          <w:color w:val="000000" w:themeColor="text1"/>
          <w:lang w:eastAsia="it-IT"/>
        </w:rPr>
        <w:t xml:space="preserve"> The Legitimacy of Social Enterprise. Nonprofit Management and Leadership 14, </w:t>
      </w:r>
      <w:r w:rsidR="2B937CCD"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411.</w:t>
      </w:r>
    </w:p>
    <w:p w14:paraId="0BFD7450" w14:textId="146B0FB6" w:rsidR="00E00634" w:rsidRPr="007063A8" w:rsidRDefault="00E00634"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Defourny, J., Nyssens, M., Brolis, O.</w:t>
      </w:r>
      <w:r w:rsidR="243EE01F"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2021. Testing Social Enterprise Models Across the World: Evidence From the “International Comparative Social Enterprise Models (ICSEM) Project.</w:t>
      </w:r>
      <w:r w:rsidR="24281131"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Nonprofit and Voluntary Sector Quarterly 50, </w:t>
      </w:r>
      <w:r w:rsidR="0C0F7977"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420.</w:t>
      </w:r>
    </w:p>
    <w:p w14:paraId="06796D1A" w14:textId="448111C3" w:rsidR="00E00634"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lastRenderedPageBreak/>
        <w:t>Egginton</w:t>
      </w:r>
      <w:r w:rsidR="6F7D7DCA" w:rsidRPr="007063A8">
        <w:rPr>
          <w:rFonts w:asciiTheme="minorHAnsi" w:hAnsiTheme="minorHAnsi" w:cstheme="minorHAnsi"/>
        </w:rPr>
        <w:t>,</w:t>
      </w:r>
      <w:r w:rsidRPr="007063A8">
        <w:rPr>
          <w:rFonts w:asciiTheme="minorHAnsi" w:hAnsiTheme="minorHAnsi" w:cstheme="minorHAnsi"/>
        </w:rPr>
        <w:t xml:space="preserve"> D.A.</w:t>
      </w:r>
      <w:r w:rsidR="3BB87B36" w:rsidRPr="007063A8">
        <w:rPr>
          <w:rFonts w:asciiTheme="minorHAnsi" w:hAnsiTheme="minorHAnsi" w:cstheme="minorHAnsi"/>
        </w:rPr>
        <w:t xml:space="preserve">, </w:t>
      </w:r>
      <w:r w:rsidRPr="007063A8">
        <w:rPr>
          <w:rFonts w:asciiTheme="minorHAnsi" w:hAnsiTheme="minorHAnsi" w:cstheme="minorHAnsi"/>
        </w:rPr>
        <w:t>1984</w:t>
      </w:r>
      <w:r w:rsidR="5C01C074" w:rsidRPr="007063A8">
        <w:rPr>
          <w:rFonts w:asciiTheme="minorHAnsi" w:hAnsiTheme="minorHAnsi" w:cstheme="minorHAnsi"/>
        </w:rPr>
        <w:t>.</w:t>
      </w:r>
      <w:r w:rsidRPr="007063A8">
        <w:rPr>
          <w:rFonts w:asciiTheme="minorHAnsi" w:hAnsiTheme="minorHAnsi" w:cstheme="minorHAnsi"/>
        </w:rPr>
        <w:t xml:space="preserve"> In </w:t>
      </w:r>
      <w:r w:rsidR="4F239D6D" w:rsidRPr="007063A8">
        <w:rPr>
          <w:rFonts w:asciiTheme="minorHAnsi" w:hAnsiTheme="minorHAnsi" w:cstheme="minorHAnsi"/>
        </w:rPr>
        <w:t>D</w:t>
      </w:r>
      <w:r w:rsidRPr="007063A8">
        <w:rPr>
          <w:rFonts w:asciiTheme="minorHAnsi" w:hAnsiTheme="minorHAnsi" w:cstheme="minorHAnsi"/>
        </w:rPr>
        <w:t xml:space="preserve">efence of </w:t>
      </w:r>
      <w:r w:rsidR="31E95944" w:rsidRPr="007063A8">
        <w:rPr>
          <w:rFonts w:asciiTheme="minorHAnsi" w:hAnsiTheme="minorHAnsi" w:cstheme="minorHAnsi"/>
        </w:rPr>
        <w:t>P</w:t>
      </w:r>
      <w:r w:rsidRPr="007063A8">
        <w:rPr>
          <w:rFonts w:asciiTheme="minorHAnsi" w:hAnsiTheme="minorHAnsi" w:cstheme="minorHAnsi"/>
        </w:rPr>
        <w:t xml:space="preserve">rofit </w:t>
      </w:r>
      <w:r w:rsidR="2485AE99" w:rsidRPr="007063A8">
        <w:rPr>
          <w:rFonts w:asciiTheme="minorHAnsi" w:hAnsiTheme="minorHAnsi" w:cstheme="minorHAnsi"/>
        </w:rPr>
        <w:t>M</w:t>
      </w:r>
      <w:r w:rsidRPr="007063A8">
        <w:rPr>
          <w:rFonts w:asciiTheme="minorHAnsi" w:hAnsiTheme="minorHAnsi" w:cstheme="minorHAnsi"/>
        </w:rPr>
        <w:t xml:space="preserve">easurement: </w:t>
      </w:r>
      <w:r w:rsidR="4181862B" w:rsidRPr="007063A8">
        <w:rPr>
          <w:rFonts w:asciiTheme="minorHAnsi" w:hAnsiTheme="minorHAnsi" w:cstheme="minorHAnsi"/>
        </w:rPr>
        <w:t>S</w:t>
      </w:r>
      <w:r w:rsidRPr="007063A8">
        <w:rPr>
          <w:rFonts w:asciiTheme="minorHAnsi" w:hAnsiTheme="minorHAnsi" w:cstheme="minorHAnsi"/>
        </w:rPr>
        <w:t xml:space="preserve">ome </w:t>
      </w:r>
      <w:r w:rsidR="3D71966C" w:rsidRPr="007063A8">
        <w:rPr>
          <w:rFonts w:asciiTheme="minorHAnsi" w:hAnsiTheme="minorHAnsi" w:cstheme="minorHAnsi"/>
        </w:rPr>
        <w:t>L</w:t>
      </w:r>
      <w:r w:rsidRPr="007063A8">
        <w:rPr>
          <w:rFonts w:asciiTheme="minorHAnsi" w:hAnsiTheme="minorHAnsi" w:cstheme="minorHAnsi"/>
        </w:rPr>
        <w:t xml:space="preserve">imitations of </w:t>
      </w:r>
      <w:r w:rsidR="0F7BA062" w:rsidRPr="007063A8">
        <w:rPr>
          <w:rFonts w:asciiTheme="minorHAnsi" w:hAnsiTheme="minorHAnsi" w:cstheme="minorHAnsi"/>
        </w:rPr>
        <w:t>C</w:t>
      </w:r>
      <w:r w:rsidRPr="007063A8">
        <w:rPr>
          <w:rFonts w:asciiTheme="minorHAnsi" w:hAnsiTheme="minorHAnsi" w:cstheme="minorHAnsi"/>
        </w:rPr>
        <w:t xml:space="preserve">ash </w:t>
      </w:r>
      <w:r w:rsidR="5CEAC964" w:rsidRPr="007063A8">
        <w:rPr>
          <w:rFonts w:asciiTheme="minorHAnsi" w:hAnsiTheme="minorHAnsi" w:cstheme="minorHAnsi"/>
        </w:rPr>
        <w:t>F</w:t>
      </w:r>
      <w:r w:rsidRPr="007063A8">
        <w:rPr>
          <w:rFonts w:asciiTheme="minorHAnsi" w:hAnsiTheme="minorHAnsi" w:cstheme="minorHAnsi"/>
        </w:rPr>
        <w:t xml:space="preserve">low and </w:t>
      </w:r>
      <w:r w:rsidR="73C1E315" w:rsidRPr="007063A8">
        <w:rPr>
          <w:rFonts w:asciiTheme="minorHAnsi" w:hAnsiTheme="minorHAnsi" w:cstheme="minorHAnsi"/>
        </w:rPr>
        <w:t>V</w:t>
      </w:r>
      <w:r w:rsidRPr="007063A8">
        <w:rPr>
          <w:rFonts w:asciiTheme="minorHAnsi" w:hAnsiTheme="minorHAnsi" w:cstheme="minorHAnsi"/>
        </w:rPr>
        <w:t xml:space="preserve">alue </w:t>
      </w:r>
      <w:r w:rsidR="3DE18705" w:rsidRPr="007063A8">
        <w:rPr>
          <w:rFonts w:asciiTheme="minorHAnsi" w:hAnsiTheme="minorHAnsi" w:cstheme="minorHAnsi"/>
        </w:rPr>
        <w:t>A</w:t>
      </w:r>
      <w:r w:rsidRPr="007063A8">
        <w:rPr>
          <w:rFonts w:asciiTheme="minorHAnsi" w:hAnsiTheme="minorHAnsi" w:cstheme="minorHAnsi"/>
        </w:rPr>
        <w:t xml:space="preserve">dded as </w:t>
      </w:r>
      <w:r w:rsidR="2E761006" w:rsidRPr="007063A8">
        <w:rPr>
          <w:rFonts w:asciiTheme="minorHAnsi" w:hAnsiTheme="minorHAnsi" w:cstheme="minorHAnsi"/>
        </w:rPr>
        <w:t>P</w:t>
      </w:r>
      <w:r w:rsidRPr="007063A8">
        <w:rPr>
          <w:rFonts w:asciiTheme="minorHAnsi" w:hAnsiTheme="minorHAnsi" w:cstheme="minorHAnsi"/>
        </w:rPr>
        <w:t xml:space="preserve">erformance </w:t>
      </w:r>
      <w:r w:rsidR="746C3A3B" w:rsidRPr="007063A8">
        <w:rPr>
          <w:rFonts w:asciiTheme="minorHAnsi" w:hAnsiTheme="minorHAnsi" w:cstheme="minorHAnsi"/>
        </w:rPr>
        <w:t>M</w:t>
      </w:r>
      <w:r w:rsidRPr="007063A8">
        <w:rPr>
          <w:rFonts w:asciiTheme="minorHAnsi" w:hAnsiTheme="minorHAnsi" w:cstheme="minorHAnsi"/>
        </w:rPr>
        <w:t xml:space="preserve">easures for </w:t>
      </w:r>
      <w:r w:rsidR="0053A8B3" w:rsidRPr="007063A8">
        <w:rPr>
          <w:rFonts w:asciiTheme="minorHAnsi" w:hAnsiTheme="minorHAnsi" w:cstheme="minorHAnsi"/>
        </w:rPr>
        <w:t>E</w:t>
      </w:r>
      <w:r w:rsidRPr="007063A8">
        <w:rPr>
          <w:rFonts w:asciiTheme="minorHAnsi" w:hAnsiTheme="minorHAnsi" w:cstheme="minorHAnsi"/>
        </w:rPr>
        <w:t xml:space="preserve">xternal </w:t>
      </w:r>
      <w:r w:rsidR="787E5976" w:rsidRPr="007063A8">
        <w:rPr>
          <w:rFonts w:asciiTheme="minorHAnsi" w:hAnsiTheme="minorHAnsi" w:cstheme="minorHAnsi"/>
        </w:rPr>
        <w:t>R</w:t>
      </w:r>
      <w:r w:rsidRPr="007063A8">
        <w:rPr>
          <w:rFonts w:asciiTheme="minorHAnsi" w:hAnsiTheme="minorHAnsi" w:cstheme="minorHAnsi"/>
        </w:rPr>
        <w:t>eporting</w:t>
      </w:r>
      <w:r w:rsidR="3236C338" w:rsidRPr="007063A8">
        <w:rPr>
          <w:rFonts w:asciiTheme="minorHAnsi" w:hAnsiTheme="minorHAnsi" w:cstheme="minorHAnsi"/>
        </w:rPr>
        <w:t>.</w:t>
      </w:r>
      <w:r w:rsidRPr="007063A8">
        <w:rPr>
          <w:rFonts w:asciiTheme="minorHAnsi" w:hAnsiTheme="minorHAnsi" w:cstheme="minorHAnsi"/>
        </w:rPr>
        <w:t xml:space="preserve"> Accounting and Business Research 14, Spring.</w:t>
      </w:r>
    </w:p>
    <w:p w14:paraId="350704EC" w14:textId="1D409388" w:rsidR="00E00634" w:rsidRPr="007063A8" w:rsidRDefault="00E00634"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Fici, A.</w:t>
      </w:r>
      <w:r w:rsidR="04C65CC6"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2016. Recognition and Legal Forms of Social Enterprise in Europe: A Critical Analysis from a Comparative Law Perspective. European Business Law Review</w:t>
      </w:r>
      <w:r w:rsidR="34DCA66A"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27, </w:t>
      </w:r>
      <w:r w:rsidR="210F64DD"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639.</w:t>
      </w:r>
    </w:p>
    <w:p w14:paraId="0E19B3A5" w14:textId="512A261B" w:rsidR="00E00634"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shd w:val="clear" w:color="auto" w:fill="FFFFFF"/>
        </w:rPr>
        <w:t>Fusco</w:t>
      </w:r>
      <w:r w:rsidR="1B72D1F2" w:rsidRPr="007063A8">
        <w:rPr>
          <w:rFonts w:asciiTheme="minorHAnsi" w:hAnsiTheme="minorHAnsi" w:cstheme="minorHAnsi"/>
          <w:shd w:val="clear" w:color="auto" w:fill="FFFFFF"/>
        </w:rPr>
        <w:t>,</w:t>
      </w:r>
      <w:r w:rsidRPr="007063A8">
        <w:rPr>
          <w:rFonts w:asciiTheme="minorHAnsi" w:hAnsiTheme="minorHAnsi" w:cstheme="minorHAnsi"/>
          <w:shd w:val="clear" w:color="auto" w:fill="FFFFFF"/>
        </w:rPr>
        <w:t xml:space="preserve"> F.</w:t>
      </w:r>
      <w:r w:rsidR="151447A6" w:rsidRPr="007063A8">
        <w:rPr>
          <w:rFonts w:asciiTheme="minorHAnsi" w:hAnsiTheme="minorHAnsi" w:cstheme="minorHAnsi"/>
          <w:shd w:val="clear" w:color="auto" w:fill="FFFFFF"/>
        </w:rPr>
        <w:t>,</w:t>
      </w:r>
      <w:r w:rsidR="3B383B87" w:rsidRPr="007063A8">
        <w:rPr>
          <w:rFonts w:asciiTheme="minorHAnsi" w:hAnsiTheme="minorHAnsi" w:cstheme="minorHAnsi"/>
          <w:shd w:val="clear" w:color="auto" w:fill="FFFFFF"/>
        </w:rPr>
        <w:t xml:space="preserve"> </w:t>
      </w:r>
      <w:r w:rsidRPr="007063A8">
        <w:rPr>
          <w:rFonts w:asciiTheme="minorHAnsi" w:hAnsiTheme="minorHAnsi" w:cstheme="minorHAnsi"/>
          <w:shd w:val="clear" w:color="auto" w:fill="FFFFFF"/>
        </w:rPr>
        <w:t>Migliaccio</w:t>
      </w:r>
      <w:r w:rsidR="2D72CEAE" w:rsidRPr="007063A8">
        <w:rPr>
          <w:rFonts w:asciiTheme="minorHAnsi" w:hAnsiTheme="minorHAnsi" w:cstheme="minorHAnsi"/>
          <w:shd w:val="clear" w:color="auto" w:fill="FFFFFF"/>
        </w:rPr>
        <w:t>,</w:t>
      </w:r>
      <w:r w:rsidRPr="007063A8">
        <w:rPr>
          <w:rFonts w:asciiTheme="minorHAnsi" w:hAnsiTheme="minorHAnsi" w:cstheme="minorHAnsi"/>
          <w:shd w:val="clear" w:color="auto" w:fill="FFFFFF"/>
        </w:rPr>
        <w:t xml:space="preserve"> G.</w:t>
      </w:r>
      <w:r w:rsidR="00D09C3B" w:rsidRPr="007063A8">
        <w:rPr>
          <w:rFonts w:asciiTheme="minorHAnsi" w:hAnsiTheme="minorHAnsi" w:cstheme="minorHAnsi"/>
          <w:shd w:val="clear" w:color="auto" w:fill="FFFFFF"/>
        </w:rPr>
        <w:t xml:space="preserve">, </w:t>
      </w:r>
      <w:r w:rsidRPr="007063A8">
        <w:rPr>
          <w:rFonts w:asciiTheme="minorHAnsi" w:hAnsiTheme="minorHAnsi" w:cstheme="minorHAnsi"/>
          <w:shd w:val="clear" w:color="auto" w:fill="FFFFFF"/>
        </w:rPr>
        <w:t>2018</w:t>
      </w:r>
      <w:r w:rsidR="790200D7" w:rsidRPr="007063A8">
        <w:rPr>
          <w:rFonts w:asciiTheme="minorHAnsi" w:hAnsiTheme="minorHAnsi" w:cstheme="minorHAnsi"/>
          <w:shd w:val="clear" w:color="auto" w:fill="FFFFFF"/>
        </w:rPr>
        <w:t>.</w:t>
      </w:r>
      <w:r w:rsidRPr="007063A8">
        <w:rPr>
          <w:rFonts w:asciiTheme="minorHAnsi" w:hAnsiTheme="minorHAnsi" w:cstheme="minorHAnsi"/>
          <w:shd w:val="clear" w:color="auto" w:fill="FFFFFF"/>
        </w:rPr>
        <w:t xml:space="preserve"> Crisis, </w:t>
      </w:r>
      <w:r w:rsidR="1F681738" w:rsidRPr="007063A8">
        <w:rPr>
          <w:rFonts w:asciiTheme="minorHAnsi" w:hAnsiTheme="minorHAnsi" w:cstheme="minorHAnsi"/>
          <w:shd w:val="clear" w:color="auto" w:fill="FFFFFF"/>
        </w:rPr>
        <w:t>S</w:t>
      </w:r>
      <w:r w:rsidRPr="007063A8">
        <w:rPr>
          <w:rFonts w:asciiTheme="minorHAnsi" w:hAnsiTheme="minorHAnsi" w:cstheme="minorHAnsi"/>
          <w:shd w:val="clear" w:color="auto" w:fill="FFFFFF"/>
        </w:rPr>
        <w:t xml:space="preserve">ectoral and </w:t>
      </w:r>
      <w:r w:rsidR="6D1AF537" w:rsidRPr="007063A8">
        <w:rPr>
          <w:rFonts w:asciiTheme="minorHAnsi" w:hAnsiTheme="minorHAnsi" w:cstheme="minorHAnsi"/>
          <w:shd w:val="clear" w:color="auto" w:fill="FFFFFF"/>
        </w:rPr>
        <w:t>G</w:t>
      </w:r>
      <w:r w:rsidRPr="007063A8">
        <w:rPr>
          <w:rFonts w:asciiTheme="minorHAnsi" w:hAnsiTheme="minorHAnsi" w:cstheme="minorHAnsi"/>
          <w:shd w:val="clear" w:color="auto" w:fill="FFFFFF"/>
        </w:rPr>
        <w:t xml:space="preserve">eographical </w:t>
      </w:r>
      <w:r w:rsidR="7971FC2A" w:rsidRPr="007063A8">
        <w:rPr>
          <w:rFonts w:asciiTheme="minorHAnsi" w:hAnsiTheme="minorHAnsi" w:cstheme="minorHAnsi"/>
          <w:shd w:val="clear" w:color="auto" w:fill="FFFFFF"/>
        </w:rPr>
        <w:t>F</w:t>
      </w:r>
      <w:r w:rsidRPr="007063A8">
        <w:rPr>
          <w:rFonts w:asciiTheme="minorHAnsi" w:hAnsiTheme="minorHAnsi" w:cstheme="minorHAnsi"/>
          <w:shd w:val="clear" w:color="auto" w:fill="FFFFFF"/>
        </w:rPr>
        <w:t xml:space="preserve">actors: </w:t>
      </w:r>
      <w:r w:rsidR="37EF9CE6" w:rsidRPr="007063A8">
        <w:rPr>
          <w:rFonts w:asciiTheme="minorHAnsi" w:hAnsiTheme="minorHAnsi" w:cstheme="minorHAnsi"/>
          <w:shd w:val="clear" w:color="auto" w:fill="FFFFFF"/>
        </w:rPr>
        <w:t>F</w:t>
      </w:r>
      <w:r w:rsidRPr="007063A8">
        <w:rPr>
          <w:rFonts w:asciiTheme="minorHAnsi" w:hAnsiTheme="minorHAnsi" w:cstheme="minorHAnsi"/>
          <w:shd w:val="clear" w:color="auto" w:fill="FFFFFF"/>
        </w:rPr>
        <w:t xml:space="preserve">inancial </w:t>
      </w:r>
      <w:r w:rsidR="6678000D" w:rsidRPr="007063A8">
        <w:rPr>
          <w:rFonts w:asciiTheme="minorHAnsi" w:hAnsiTheme="minorHAnsi" w:cstheme="minorHAnsi"/>
          <w:shd w:val="clear" w:color="auto" w:fill="FFFFFF"/>
        </w:rPr>
        <w:t>D</w:t>
      </w:r>
      <w:r w:rsidRPr="007063A8">
        <w:rPr>
          <w:rFonts w:asciiTheme="minorHAnsi" w:hAnsiTheme="minorHAnsi" w:cstheme="minorHAnsi"/>
          <w:shd w:val="clear" w:color="auto" w:fill="FFFFFF"/>
        </w:rPr>
        <w:t xml:space="preserve">ynamics of Italian </w:t>
      </w:r>
      <w:r w:rsidR="1BC11CD0" w:rsidRPr="007063A8">
        <w:rPr>
          <w:rFonts w:asciiTheme="minorHAnsi" w:hAnsiTheme="minorHAnsi" w:cstheme="minorHAnsi"/>
          <w:shd w:val="clear" w:color="auto" w:fill="FFFFFF"/>
        </w:rPr>
        <w:t>C</w:t>
      </w:r>
      <w:r w:rsidRPr="007063A8">
        <w:rPr>
          <w:rFonts w:asciiTheme="minorHAnsi" w:hAnsiTheme="minorHAnsi" w:cstheme="minorHAnsi"/>
          <w:shd w:val="clear" w:color="auto" w:fill="FFFFFF"/>
        </w:rPr>
        <w:t>ooperatives.</w:t>
      </w:r>
      <w:r w:rsidRPr="007063A8">
        <w:rPr>
          <w:rStyle w:val="apple-converted-space"/>
          <w:rFonts w:asciiTheme="minorHAnsi" w:hAnsiTheme="minorHAnsi" w:cstheme="minorHAnsi"/>
          <w:shd w:val="clear" w:color="auto" w:fill="FFFFFF"/>
        </w:rPr>
        <w:t xml:space="preserve"> </w:t>
      </w:r>
      <w:r w:rsidRPr="007063A8">
        <w:rPr>
          <w:rFonts w:asciiTheme="minorHAnsi" w:hAnsiTheme="minorHAnsi" w:cstheme="minorHAnsi"/>
        </w:rPr>
        <w:t xml:space="preserve">Euromed Journal of Business 13, </w:t>
      </w:r>
      <w:r w:rsidR="7C98B061" w:rsidRPr="007063A8">
        <w:rPr>
          <w:rFonts w:asciiTheme="minorHAnsi" w:hAnsiTheme="minorHAnsi" w:cstheme="minorHAnsi"/>
        </w:rPr>
        <w:t>p</w:t>
      </w:r>
      <w:r w:rsidRPr="007063A8">
        <w:rPr>
          <w:rFonts w:asciiTheme="minorHAnsi" w:hAnsiTheme="minorHAnsi" w:cstheme="minorHAnsi"/>
        </w:rPr>
        <w:t>. 130.</w:t>
      </w:r>
    </w:p>
    <w:p w14:paraId="040B19D5" w14:textId="7C17A053" w:rsidR="00E00634" w:rsidRPr="007063A8" w:rsidRDefault="00E00634" w:rsidP="00D3176B">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Galera, G.</w:t>
      </w:r>
      <w:r w:rsidR="1FC74802"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Borzaga, C.</w:t>
      </w:r>
      <w:r w:rsidR="0DE174A5"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2009. Social enterprise</w:t>
      </w:r>
      <w:r w:rsidR="765B9DA8"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An </w:t>
      </w:r>
      <w:r w:rsidR="6D5828CE" w:rsidRPr="007063A8">
        <w:rPr>
          <w:rFonts w:asciiTheme="minorHAnsi" w:hAnsiTheme="minorHAnsi" w:cstheme="minorHAnsi"/>
          <w:color w:val="000000" w:themeColor="text1"/>
          <w:lang w:eastAsia="it-IT"/>
        </w:rPr>
        <w:t>I</w:t>
      </w:r>
      <w:r w:rsidRPr="007063A8">
        <w:rPr>
          <w:rFonts w:asciiTheme="minorHAnsi" w:hAnsiTheme="minorHAnsi" w:cstheme="minorHAnsi"/>
          <w:color w:val="000000" w:themeColor="text1"/>
          <w:lang w:eastAsia="it-IT"/>
        </w:rPr>
        <w:t xml:space="preserve">nternational </w:t>
      </w:r>
      <w:r w:rsidR="74469653" w:rsidRPr="007063A8">
        <w:rPr>
          <w:rFonts w:asciiTheme="minorHAnsi" w:hAnsiTheme="minorHAnsi" w:cstheme="minorHAnsi"/>
          <w:color w:val="000000" w:themeColor="text1"/>
          <w:lang w:eastAsia="it-IT"/>
        </w:rPr>
        <w:t>O</w:t>
      </w:r>
      <w:r w:rsidRPr="007063A8">
        <w:rPr>
          <w:rFonts w:asciiTheme="minorHAnsi" w:hAnsiTheme="minorHAnsi" w:cstheme="minorHAnsi"/>
          <w:color w:val="000000" w:themeColor="text1"/>
          <w:lang w:eastAsia="it-IT"/>
        </w:rPr>
        <w:t xml:space="preserve">verview of its </w:t>
      </w:r>
      <w:r w:rsidR="4EBDA1DF" w:rsidRPr="007063A8">
        <w:rPr>
          <w:rFonts w:asciiTheme="minorHAnsi" w:hAnsiTheme="minorHAnsi" w:cstheme="minorHAnsi"/>
          <w:color w:val="000000" w:themeColor="text1"/>
          <w:lang w:eastAsia="it-IT"/>
        </w:rPr>
        <w:t>C</w:t>
      </w:r>
      <w:r w:rsidRPr="007063A8">
        <w:rPr>
          <w:rFonts w:asciiTheme="minorHAnsi" w:hAnsiTheme="minorHAnsi" w:cstheme="minorHAnsi"/>
          <w:color w:val="000000" w:themeColor="text1"/>
          <w:lang w:eastAsia="it-IT"/>
        </w:rPr>
        <w:t xml:space="preserve">onceptual </w:t>
      </w:r>
      <w:r w:rsidR="3DEB3951" w:rsidRPr="007063A8">
        <w:rPr>
          <w:rFonts w:asciiTheme="minorHAnsi" w:hAnsiTheme="minorHAnsi" w:cstheme="minorHAnsi"/>
          <w:color w:val="000000" w:themeColor="text1"/>
          <w:lang w:eastAsia="it-IT"/>
        </w:rPr>
        <w:t>E</w:t>
      </w:r>
      <w:r w:rsidRPr="007063A8">
        <w:rPr>
          <w:rFonts w:asciiTheme="minorHAnsi" w:hAnsiTheme="minorHAnsi" w:cstheme="minorHAnsi"/>
          <w:color w:val="000000" w:themeColor="text1"/>
          <w:lang w:eastAsia="it-IT"/>
        </w:rPr>
        <w:t xml:space="preserve">volution and </w:t>
      </w:r>
      <w:r w:rsidR="7EA7108A" w:rsidRPr="007063A8">
        <w:rPr>
          <w:rFonts w:asciiTheme="minorHAnsi" w:hAnsiTheme="minorHAnsi" w:cstheme="minorHAnsi"/>
          <w:color w:val="000000" w:themeColor="text1"/>
          <w:lang w:eastAsia="it-IT"/>
        </w:rPr>
        <w:t>L</w:t>
      </w:r>
      <w:r w:rsidRPr="007063A8">
        <w:rPr>
          <w:rFonts w:asciiTheme="minorHAnsi" w:hAnsiTheme="minorHAnsi" w:cstheme="minorHAnsi"/>
          <w:color w:val="000000" w:themeColor="text1"/>
          <w:lang w:eastAsia="it-IT"/>
        </w:rPr>
        <w:t xml:space="preserve">egal </w:t>
      </w:r>
      <w:r w:rsidR="66C13ADA" w:rsidRPr="007063A8">
        <w:rPr>
          <w:rFonts w:asciiTheme="minorHAnsi" w:hAnsiTheme="minorHAnsi" w:cstheme="minorHAnsi"/>
          <w:color w:val="000000" w:themeColor="text1"/>
          <w:lang w:eastAsia="it-IT"/>
        </w:rPr>
        <w:t>I</w:t>
      </w:r>
      <w:r w:rsidRPr="007063A8">
        <w:rPr>
          <w:rFonts w:asciiTheme="minorHAnsi" w:hAnsiTheme="minorHAnsi" w:cstheme="minorHAnsi"/>
          <w:color w:val="000000" w:themeColor="text1"/>
          <w:lang w:eastAsia="it-IT"/>
        </w:rPr>
        <w:t>mplementation. Social Enterprise Journal</w:t>
      </w:r>
      <w:r w:rsidR="391708A6"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5, </w:t>
      </w:r>
      <w:r w:rsidR="0925C2F8"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210.</w:t>
      </w:r>
    </w:p>
    <w:p w14:paraId="4E631594" w14:textId="4A238DA2" w:rsidR="00E00634" w:rsidRPr="007063A8" w:rsidRDefault="00E00634" w:rsidP="00E00634">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Haigh, N., Walker, J., Bacq, S., Kickul, J.</w:t>
      </w:r>
      <w:r w:rsidR="5836BE89"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2015. Hybrid Organizations: Origins, Strategies, Impacts, and Implications. California Management Review</w:t>
      </w:r>
      <w:r w:rsidR="25852FEE"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57, </w:t>
      </w:r>
      <w:r w:rsidR="5B79BB63"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5.</w:t>
      </w:r>
    </w:p>
    <w:p w14:paraId="324AF72D" w14:textId="003039B4" w:rsidR="00A11C8D" w:rsidRPr="007063A8" w:rsidRDefault="00A11C8D" w:rsidP="46A27F0A">
      <w:pPr>
        <w:widowControl/>
        <w:spacing w:line="276" w:lineRule="auto"/>
        <w:ind w:left="426" w:hanging="426"/>
        <w:jc w:val="both"/>
        <w:rPr>
          <w:rFonts w:asciiTheme="minorHAnsi" w:hAnsiTheme="minorHAnsi" w:cstheme="minorHAnsi"/>
          <w:lang w:val="en-GB"/>
        </w:rPr>
      </w:pPr>
      <w:r w:rsidRPr="007063A8">
        <w:rPr>
          <w:rFonts w:asciiTheme="minorHAnsi" w:hAnsiTheme="minorHAnsi" w:cstheme="minorHAnsi"/>
          <w:lang w:val="en-GB"/>
        </w:rPr>
        <w:t>Haller</w:t>
      </w:r>
      <w:r w:rsidR="2E2262FC" w:rsidRPr="007063A8">
        <w:rPr>
          <w:rFonts w:asciiTheme="minorHAnsi" w:hAnsiTheme="minorHAnsi" w:cstheme="minorHAnsi"/>
          <w:lang w:val="en-GB"/>
        </w:rPr>
        <w:t>,</w:t>
      </w:r>
      <w:r w:rsidRPr="007063A8">
        <w:rPr>
          <w:rFonts w:asciiTheme="minorHAnsi" w:hAnsiTheme="minorHAnsi" w:cstheme="minorHAnsi"/>
          <w:lang w:val="en-GB"/>
        </w:rPr>
        <w:t xml:space="preserve"> A.</w:t>
      </w:r>
      <w:r w:rsidR="39F120CA" w:rsidRPr="007063A8">
        <w:rPr>
          <w:rFonts w:asciiTheme="minorHAnsi" w:hAnsiTheme="minorHAnsi" w:cstheme="minorHAnsi"/>
          <w:lang w:val="en-GB"/>
        </w:rPr>
        <w:t>, 1</w:t>
      </w:r>
      <w:r w:rsidR="00E1465F" w:rsidRPr="007063A8">
        <w:rPr>
          <w:rFonts w:asciiTheme="minorHAnsi" w:hAnsiTheme="minorHAnsi" w:cstheme="minorHAnsi"/>
          <w:lang w:val="en-GB"/>
        </w:rPr>
        <w:t>997</w:t>
      </w:r>
      <w:r w:rsidR="4DF61D6C" w:rsidRPr="007063A8">
        <w:rPr>
          <w:rFonts w:asciiTheme="minorHAnsi" w:hAnsiTheme="minorHAnsi" w:cstheme="minorHAnsi"/>
          <w:lang w:val="en-GB"/>
        </w:rPr>
        <w:t>.</w:t>
      </w:r>
      <w:r w:rsidRPr="007063A8">
        <w:rPr>
          <w:rFonts w:asciiTheme="minorHAnsi" w:hAnsiTheme="minorHAnsi" w:cstheme="minorHAnsi"/>
          <w:lang w:val="en-GB"/>
        </w:rPr>
        <w:t xml:space="preserve"> </w:t>
      </w:r>
      <w:r w:rsidR="120C2F40" w:rsidRPr="007063A8">
        <w:rPr>
          <w:rFonts w:asciiTheme="minorHAnsi" w:hAnsiTheme="minorHAnsi" w:cstheme="minorHAnsi"/>
          <w:lang w:val="en-GB"/>
        </w:rPr>
        <w:t>A</w:t>
      </w:r>
      <w:r w:rsidRPr="007063A8">
        <w:rPr>
          <w:rFonts w:asciiTheme="minorHAnsi" w:hAnsiTheme="minorHAnsi" w:cstheme="minorHAnsi"/>
          <w:lang w:val="en-GB"/>
        </w:rPr>
        <w:t xml:space="preserve">bout the Decision-Usefulness of a Value Added Statement as Part of Financial Statements, Annual Congress of the European Accounting Association, Graz, 23-25 </w:t>
      </w:r>
      <w:r w:rsidR="00210A6F" w:rsidRPr="007063A8">
        <w:rPr>
          <w:rFonts w:asciiTheme="minorHAnsi" w:hAnsiTheme="minorHAnsi" w:cstheme="minorHAnsi"/>
          <w:lang w:val="en-GB"/>
        </w:rPr>
        <w:t>April</w:t>
      </w:r>
      <w:r w:rsidRPr="007063A8">
        <w:rPr>
          <w:rFonts w:asciiTheme="minorHAnsi" w:hAnsiTheme="minorHAnsi" w:cstheme="minorHAnsi"/>
          <w:lang w:val="en-GB"/>
        </w:rPr>
        <w:t xml:space="preserve">. </w:t>
      </w:r>
    </w:p>
    <w:p w14:paraId="00F93D29" w14:textId="11B7EB5A" w:rsidR="00A11C8D" w:rsidRPr="007063A8" w:rsidRDefault="00A11C8D"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Haller</w:t>
      </w:r>
      <w:r w:rsidR="3BC9B03A" w:rsidRPr="007063A8">
        <w:rPr>
          <w:rFonts w:asciiTheme="minorHAnsi" w:hAnsiTheme="minorHAnsi" w:cstheme="minorHAnsi"/>
        </w:rPr>
        <w:t>,</w:t>
      </w:r>
      <w:r w:rsidRPr="007063A8">
        <w:rPr>
          <w:rFonts w:asciiTheme="minorHAnsi" w:hAnsiTheme="minorHAnsi" w:cstheme="minorHAnsi"/>
        </w:rPr>
        <w:t xml:space="preserve"> A.</w:t>
      </w:r>
      <w:r w:rsidR="32A69426" w:rsidRPr="007063A8">
        <w:rPr>
          <w:rFonts w:asciiTheme="minorHAnsi" w:hAnsiTheme="minorHAnsi" w:cstheme="minorHAnsi"/>
        </w:rPr>
        <w:t>,</w:t>
      </w:r>
      <w:r w:rsidRPr="007063A8">
        <w:rPr>
          <w:rFonts w:asciiTheme="minorHAnsi" w:hAnsiTheme="minorHAnsi" w:cstheme="minorHAnsi"/>
        </w:rPr>
        <w:t xml:space="preserve"> Stolowy</w:t>
      </w:r>
      <w:r w:rsidR="7770F45F" w:rsidRPr="007063A8">
        <w:rPr>
          <w:rFonts w:asciiTheme="minorHAnsi" w:hAnsiTheme="minorHAnsi" w:cstheme="minorHAnsi"/>
        </w:rPr>
        <w:t>,</w:t>
      </w:r>
      <w:r w:rsidRPr="007063A8">
        <w:rPr>
          <w:rFonts w:asciiTheme="minorHAnsi" w:hAnsiTheme="minorHAnsi" w:cstheme="minorHAnsi"/>
        </w:rPr>
        <w:t xml:space="preserve"> H.</w:t>
      </w:r>
      <w:r w:rsidR="3E4EFE69" w:rsidRPr="007063A8">
        <w:rPr>
          <w:rFonts w:asciiTheme="minorHAnsi" w:hAnsiTheme="minorHAnsi" w:cstheme="minorHAnsi"/>
        </w:rPr>
        <w:t xml:space="preserve">, </w:t>
      </w:r>
      <w:r w:rsidRPr="007063A8">
        <w:rPr>
          <w:rFonts w:asciiTheme="minorHAnsi" w:hAnsiTheme="minorHAnsi" w:cstheme="minorHAnsi"/>
        </w:rPr>
        <w:t>1998</w:t>
      </w:r>
      <w:r w:rsidR="041F74C0" w:rsidRPr="007063A8">
        <w:rPr>
          <w:rFonts w:asciiTheme="minorHAnsi" w:hAnsiTheme="minorHAnsi" w:cstheme="minorHAnsi"/>
        </w:rPr>
        <w:t>.</w:t>
      </w:r>
      <w:r w:rsidRPr="007063A8">
        <w:rPr>
          <w:rFonts w:asciiTheme="minorHAnsi" w:hAnsiTheme="minorHAnsi" w:cstheme="minorHAnsi"/>
        </w:rPr>
        <w:t xml:space="preserve"> “Value Added in Financial Accounting: A Comparative Study of Germany and France”</w:t>
      </w:r>
      <w:r w:rsidRPr="007063A8">
        <w:rPr>
          <w:rFonts w:asciiTheme="minorHAnsi" w:hAnsiTheme="minorHAnsi" w:cstheme="minorHAnsi"/>
          <w:i/>
          <w:iCs/>
        </w:rPr>
        <w:t>.</w:t>
      </w:r>
      <w:r w:rsidRPr="007063A8">
        <w:rPr>
          <w:rFonts w:asciiTheme="minorHAnsi" w:hAnsiTheme="minorHAnsi" w:cstheme="minorHAnsi"/>
        </w:rPr>
        <w:t xml:space="preserve"> </w:t>
      </w:r>
      <w:r w:rsidRPr="007063A8">
        <w:rPr>
          <w:rFonts w:asciiTheme="minorHAnsi" w:hAnsiTheme="minorHAnsi" w:cstheme="minorHAnsi"/>
          <w:i/>
          <w:iCs/>
        </w:rPr>
        <w:t>Advances in international accounting: a research annual 11</w:t>
      </w:r>
      <w:r w:rsidRPr="007063A8">
        <w:rPr>
          <w:rFonts w:asciiTheme="minorHAnsi" w:hAnsiTheme="minorHAnsi" w:cstheme="minorHAnsi"/>
        </w:rPr>
        <w:t>, S. 23-51.</w:t>
      </w:r>
    </w:p>
    <w:p w14:paraId="3A0D2418" w14:textId="00D9470B" w:rsidR="00E00634"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Haller</w:t>
      </w:r>
      <w:r w:rsidR="5A17B723" w:rsidRPr="007063A8">
        <w:rPr>
          <w:rFonts w:asciiTheme="minorHAnsi" w:hAnsiTheme="minorHAnsi" w:cstheme="minorHAnsi"/>
        </w:rPr>
        <w:t>,</w:t>
      </w:r>
      <w:r w:rsidRPr="007063A8">
        <w:rPr>
          <w:rFonts w:asciiTheme="minorHAnsi" w:hAnsiTheme="minorHAnsi" w:cstheme="minorHAnsi"/>
        </w:rPr>
        <w:t xml:space="preserve"> A. </w:t>
      </w:r>
      <w:r w:rsidR="1A964BB8" w:rsidRPr="007063A8">
        <w:rPr>
          <w:rFonts w:asciiTheme="minorHAnsi" w:hAnsiTheme="minorHAnsi" w:cstheme="minorHAnsi"/>
        </w:rPr>
        <w:t>&amp;</w:t>
      </w:r>
      <w:r w:rsidRPr="007063A8">
        <w:rPr>
          <w:rFonts w:asciiTheme="minorHAnsi" w:hAnsiTheme="minorHAnsi" w:cstheme="minorHAnsi"/>
        </w:rPr>
        <w:t xml:space="preserve"> Van Staden</w:t>
      </w:r>
      <w:r w:rsidR="403DFD76" w:rsidRPr="007063A8">
        <w:rPr>
          <w:rFonts w:asciiTheme="minorHAnsi" w:hAnsiTheme="minorHAnsi" w:cstheme="minorHAnsi"/>
        </w:rPr>
        <w:t>,</w:t>
      </w:r>
      <w:r w:rsidRPr="007063A8">
        <w:rPr>
          <w:rFonts w:asciiTheme="minorHAnsi" w:hAnsiTheme="minorHAnsi" w:cstheme="minorHAnsi"/>
        </w:rPr>
        <w:t xml:space="preserve"> C.</w:t>
      </w:r>
      <w:r w:rsidR="57E691D3" w:rsidRPr="007063A8">
        <w:rPr>
          <w:rFonts w:asciiTheme="minorHAnsi" w:hAnsiTheme="minorHAnsi" w:cstheme="minorHAnsi"/>
        </w:rPr>
        <w:t xml:space="preserve">, </w:t>
      </w:r>
      <w:r w:rsidRPr="007063A8">
        <w:rPr>
          <w:rFonts w:asciiTheme="minorHAnsi" w:hAnsiTheme="minorHAnsi" w:cstheme="minorHAnsi"/>
        </w:rPr>
        <w:t>2014</w:t>
      </w:r>
      <w:r w:rsidR="7EF44D3E" w:rsidRPr="007063A8">
        <w:rPr>
          <w:rFonts w:asciiTheme="minorHAnsi" w:hAnsiTheme="minorHAnsi" w:cstheme="minorHAnsi"/>
        </w:rPr>
        <w:t>.</w:t>
      </w:r>
      <w:r w:rsidRPr="007063A8">
        <w:rPr>
          <w:rFonts w:asciiTheme="minorHAnsi" w:hAnsiTheme="minorHAnsi" w:cstheme="minorHAnsi"/>
        </w:rPr>
        <w:t xml:space="preserve"> “The </w:t>
      </w:r>
      <w:r w:rsidR="60361ED0" w:rsidRPr="007063A8">
        <w:rPr>
          <w:rFonts w:asciiTheme="minorHAnsi" w:hAnsiTheme="minorHAnsi" w:cstheme="minorHAnsi"/>
        </w:rPr>
        <w:t>V</w:t>
      </w:r>
      <w:r w:rsidRPr="007063A8">
        <w:rPr>
          <w:rFonts w:asciiTheme="minorHAnsi" w:hAnsiTheme="minorHAnsi" w:cstheme="minorHAnsi"/>
        </w:rPr>
        <w:t xml:space="preserve">alue </w:t>
      </w:r>
      <w:r w:rsidR="2399C1AD" w:rsidRPr="007063A8">
        <w:rPr>
          <w:rFonts w:asciiTheme="minorHAnsi" w:hAnsiTheme="minorHAnsi" w:cstheme="minorHAnsi"/>
        </w:rPr>
        <w:t>A</w:t>
      </w:r>
      <w:r w:rsidRPr="007063A8">
        <w:rPr>
          <w:rFonts w:asciiTheme="minorHAnsi" w:hAnsiTheme="minorHAnsi" w:cstheme="minorHAnsi"/>
        </w:rPr>
        <w:t xml:space="preserve">dded </w:t>
      </w:r>
      <w:r w:rsidR="258BC008" w:rsidRPr="007063A8">
        <w:rPr>
          <w:rFonts w:asciiTheme="minorHAnsi" w:hAnsiTheme="minorHAnsi" w:cstheme="minorHAnsi"/>
        </w:rPr>
        <w:t>S</w:t>
      </w:r>
      <w:r w:rsidRPr="007063A8">
        <w:rPr>
          <w:rFonts w:asciiTheme="minorHAnsi" w:hAnsiTheme="minorHAnsi" w:cstheme="minorHAnsi"/>
        </w:rPr>
        <w:t xml:space="preserve">tatement – an </w:t>
      </w:r>
      <w:r w:rsidR="1C4ADB92" w:rsidRPr="007063A8">
        <w:rPr>
          <w:rFonts w:asciiTheme="minorHAnsi" w:hAnsiTheme="minorHAnsi" w:cstheme="minorHAnsi"/>
        </w:rPr>
        <w:t>A</w:t>
      </w:r>
      <w:r w:rsidRPr="007063A8">
        <w:rPr>
          <w:rFonts w:asciiTheme="minorHAnsi" w:hAnsiTheme="minorHAnsi" w:cstheme="minorHAnsi"/>
        </w:rPr>
        <w:t xml:space="preserve">ppropriate </w:t>
      </w:r>
      <w:r w:rsidR="0F748F54" w:rsidRPr="007063A8">
        <w:rPr>
          <w:rFonts w:asciiTheme="minorHAnsi" w:hAnsiTheme="minorHAnsi" w:cstheme="minorHAnsi"/>
        </w:rPr>
        <w:t>I</w:t>
      </w:r>
      <w:r w:rsidRPr="007063A8">
        <w:rPr>
          <w:rFonts w:asciiTheme="minorHAnsi" w:hAnsiTheme="minorHAnsi" w:cstheme="minorHAnsi"/>
        </w:rPr>
        <w:t>nstrument for Integrated Reporting. Accounting, Auditing &amp; Accountability 27, S. 1190-1216.</w:t>
      </w:r>
    </w:p>
    <w:p w14:paraId="2500C9A3" w14:textId="1BE04D10" w:rsidR="00E00634" w:rsidRPr="007063A8" w:rsidRDefault="00E00634" w:rsidP="00C10EAC">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Lall, S. A.</w:t>
      </w:r>
      <w:r w:rsidR="6CED4989"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Park, J.</w:t>
      </w:r>
      <w:r w:rsidR="22CEFE80"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2020. How Social Ventures Grow: Understanding the Role of Philanthropic Grants in Scaling Social Entrepreneurship. Business and Society.</w:t>
      </w:r>
    </w:p>
    <w:p w14:paraId="05A3092D" w14:textId="61F875A9" w:rsidR="00E00634" w:rsidRPr="007063A8" w:rsidRDefault="00A11C8D"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Landis C</w:t>
      </w:r>
      <w:r w:rsidR="650EC2E1" w:rsidRPr="007063A8">
        <w:rPr>
          <w:rFonts w:asciiTheme="minorHAnsi" w:hAnsiTheme="minorHAnsi" w:cstheme="minorHAnsi"/>
        </w:rPr>
        <w:t xml:space="preserve">., </w:t>
      </w:r>
      <w:r w:rsidRPr="007063A8">
        <w:rPr>
          <w:rFonts w:asciiTheme="minorHAnsi" w:hAnsiTheme="minorHAnsi" w:cstheme="minorHAnsi"/>
        </w:rPr>
        <w:t>Haller A.</w:t>
      </w:r>
      <w:r w:rsidR="4B938257" w:rsidRPr="007063A8">
        <w:rPr>
          <w:rFonts w:asciiTheme="minorHAnsi" w:hAnsiTheme="minorHAnsi" w:cstheme="minorHAnsi"/>
        </w:rPr>
        <w:t>,</w:t>
      </w:r>
      <w:r w:rsidRPr="007063A8">
        <w:rPr>
          <w:rFonts w:asciiTheme="minorHAnsi" w:hAnsiTheme="minorHAnsi" w:cstheme="minorHAnsi"/>
        </w:rPr>
        <w:t xml:space="preserve"> Van Staden</w:t>
      </w:r>
      <w:r w:rsidR="01793888" w:rsidRPr="007063A8">
        <w:rPr>
          <w:rFonts w:asciiTheme="minorHAnsi" w:hAnsiTheme="minorHAnsi" w:cstheme="minorHAnsi"/>
        </w:rPr>
        <w:t>,</w:t>
      </w:r>
      <w:r w:rsidRPr="007063A8">
        <w:rPr>
          <w:rFonts w:asciiTheme="minorHAnsi" w:hAnsiTheme="minorHAnsi" w:cstheme="minorHAnsi"/>
        </w:rPr>
        <w:t xml:space="preserve"> C.</w:t>
      </w:r>
      <w:r w:rsidR="08280E25" w:rsidRPr="007063A8">
        <w:rPr>
          <w:rFonts w:asciiTheme="minorHAnsi" w:hAnsiTheme="minorHAnsi" w:cstheme="minorHAnsi"/>
        </w:rPr>
        <w:t xml:space="preserve">, </w:t>
      </w:r>
      <w:r w:rsidRPr="007063A8">
        <w:rPr>
          <w:rFonts w:asciiTheme="minorHAnsi" w:hAnsiTheme="minorHAnsi" w:cstheme="minorHAnsi"/>
        </w:rPr>
        <w:t>2014</w:t>
      </w:r>
      <w:r w:rsidR="15FFE80D" w:rsidRPr="007063A8">
        <w:rPr>
          <w:rFonts w:asciiTheme="minorHAnsi" w:hAnsiTheme="minorHAnsi" w:cstheme="minorHAnsi"/>
        </w:rPr>
        <w:t>.</w:t>
      </w:r>
      <w:r w:rsidRPr="007063A8">
        <w:rPr>
          <w:rFonts w:asciiTheme="minorHAnsi" w:hAnsiTheme="minorHAnsi" w:cstheme="minorHAnsi"/>
        </w:rPr>
        <w:t xml:space="preserve"> “The measure of value added as part of sustainability reporting- A comparative study</w:t>
      </w:r>
      <w:r w:rsidRPr="007063A8">
        <w:rPr>
          <w:rFonts w:asciiTheme="minorHAnsi" w:hAnsiTheme="minorHAnsi" w:cstheme="minorHAnsi"/>
          <w:i/>
          <w:iCs/>
        </w:rPr>
        <w:t>,</w:t>
      </w:r>
      <w:r w:rsidR="130F0B20" w:rsidRPr="007063A8">
        <w:rPr>
          <w:rFonts w:asciiTheme="minorHAnsi" w:hAnsiTheme="minorHAnsi" w:cstheme="minorHAnsi"/>
          <w:i/>
          <w:iCs/>
        </w:rPr>
        <w:t>”</w:t>
      </w:r>
      <w:r w:rsidRPr="007063A8">
        <w:rPr>
          <w:rFonts w:asciiTheme="minorHAnsi" w:hAnsiTheme="minorHAnsi" w:cstheme="minorHAnsi"/>
        </w:rPr>
        <w:t xml:space="preserve"> European Accounting Association, 37th Annual Congress</w:t>
      </w:r>
      <w:r w:rsidR="27F7D003" w:rsidRPr="007063A8">
        <w:rPr>
          <w:rFonts w:asciiTheme="minorHAnsi" w:hAnsiTheme="minorHAnsi" w:cstheme="minorHAnsi"/>
        </w:rPr>
        <w:t>.</w:t>
      </w:r>
      <w:r w:rsidRPr="007063A8">
        <w:rPr>
          <w:rFonts w:asciiTheme="minorHAnsi" w:hAnsiTheme="minorHAnsi" w:cstheme="minorHAnsi"/>
        </w:rPr>
        <w:t xml:space="preserve"> Tallinn, Estland.</w:t>
      </w:r>
    </w:p>
    <w:p w14:paraId="6BEFE638" w14:textId="245A6FF7" w:rsidR="00E00634" w:rsidRPr="007063A8" w:rsidRDefault="00E00634" w:rsidP="00E00634">
      <w:pPr>
        <w:widowControl/>
        <w:autoSpaceDE w:val="0"/>
        <w:autoSpaceDN w:val="0"/>
        <w:adjustRightInd w:val="0"/>
        <w:ind w:left="396" w:hanging="397"/>
        <w:jc w:val="both"/>
        <w:rPr>
          <w:rFonts w:asciiTheme="minorHAnsi" w:hAnsiTheme="minorHAnsi" w:cstheme="minorHAnsi"/>
          <w:color w:val="000000"/>
          <w:lang w:val="it-IT" w:eastAsia="it-IT"/>
        </w:rPr>
      </w:pPr>
      <w:r w:rsidRPr="007063A8">
        <w:rPr>
          <w:rFonts w:asciiTheme="minorHAnsi" w:hAnsiTheme="minorHAnsi" w:cstheme="minorHAnsi"/>
          <w:color w:val="000000" w:themeColor="text1"/>
          <w:lang w:eastAsia="it-IT"/>
        </w:rPr>
        <w:t>Liu, G., Takeda, S.,</w:t>
      </w:r>
      <w:r w:rsidR="47F88021"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 Ko, W.W.</w:t>
      </w:r>
      <w:r w:rsidR="69F7EB91"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2012. Strategic Orientation and Social Enterprise Performance. </w:t>
      </w:r>
      <w:r w:rsidRPr="007063A8">
        <w:rPr>
          <w:rFonts w:asciiTheme="minorHAnsi" w:hAnsiTheme="minorHAnsi" w:cstheme="minorHAnsi"/>
          <w:color w:val="000000" w:themeColor="text1"/>
          <w:lang w:val="it-IT" w:eastAsia="it-IT"/>
        </w:rPr>
        <w:t xml:space="preserve">Nonprofit and Voluntary Sector Quarterly, 43(3), </w:t>
      </w:r>
      <w:r w:rsidR="1CF3B68C" w:rsidRPr="007063A8">
        <w:rPr>
          <w:rFonts w:asciiTheme="minorHAnsi" w:hAnsiTheme="minorHAnsi" w:cstheme="minorHAnsi"/>
          <w:color w:val="000000" w:themeColor="text1"/>
          <w:lang w:val="it-IT" w:eastAsia="it-IT"/>
        </w:rPr>
        <w:t xml:space="preserve">p. </w:t>
      </w:r>
      <w:r w:rsidRPr="007063A8">
        <w:rPr>
          <w:rFonts w:asciiTheme="minorHAnsi" w:hAnsiTheme="minorHAnsi" w:cstheme="minorHAnsi"/>
          <w:color w:val="000000" w:themeColor="text1"/>
          <w:lang w:val="it-IT" w:eastAsia="it-IT"/>
        </w:rPr>
        <w:t>480.</w:t>
      </w:r>
    </w:p>
    <w:p w14:paraId="2F76D73B" w14:textId="36430C8C" w:rsidR="00A11C8D" w:rsidRPr="007063A8" w:rsidRDefault="00A11C8D" w:rsidP="002B7D17">
      <w:pPr>
        <w:widowControl/>
        <w:spacing w:line="276" w:lineRule="auto"/>
        <w:ind w:left="426" w:hanging="426"/>
        <w:jc w:val="both"/>
        <w:rPr>
          <w:rFonts w:asciiTheme="minorHAnsi" w:hAnsiTheme="minorHAnsi" w:cstheme="minorHAnsi"/>
          <w:lang w:val="it-IT"/>
        </w:rPr>
      </w:pPr>
      <w:r w:rsidRPr="007063A8">
        <w:rPr>
          <w:rFonts w:asciiTheme="minorHAnsi" w:hAnsiTheme="minorHAnsi" w:cstheme="minorHAnsi"/>
          <w:lang w:val="it-IT"/>
        </w:rPr>
        <w:t>Montrone</w:t>
      </w:r>
      <w:r w:rsidR="607E4D87" w:rsidRPr="007063A8">
        <w:rPr>
          <w:rFonts w:asciiTheme="minorHAnsi" w:hAnsiTheme="minorHAnsi" w:cstheme="minorHAnsi"/>
          <w:lang w:val="it-IT"/>
        </w:rPr>
        <w:t>,</w:t>
      </w:r>
      <w:r w:rsidRPr="007063A8">
        <w:rPr>
          <w:rFonts w:asciiTheme="minorHAnsi" w:hAnsiTheme="minorHAnsi" w:cstheme="minorHAnsi"/>
          <w:lang w:val="it-IT"/>
        </w:rPr>
        <w:t xml:space="preserve"> A. (2000), </w:t>
      </w:r>
      <w:r w:rsidRPr="007063A8">
        <w:rPr>
          <w:rFonts w:asciiTheme="minorHAnsi" w:hAnsiTheme="minorHAnsi" w:cstheme="minorHAnsi"/>
          <w:i/>
          <w:iCs/>
          <w:lang w:val="it-IT"/>
        </w:rPr>
        <w:t>Il valore aggiunto nella misurazione della performance economica e sociale dell’impresa</w:t>
      </w:r>
      <w:r w:rsidRPr="007063A8">
        <w:rPr>
          <w:rFonts w:asciiTheme="minorHAnsi" w:hAnsiTheme="minorHAnsi" w:cstheme="minorHAnsi"/>
          <w:lang w:val="it-IT"/>
        </w:rPr>
        <w:t>, FrancoAngeli, Milano.</w:t>
      </w:r>
    </w:p>
    <w:p w14:paraId="7D2BBEA2" w14:textId="39AD22F2" w:rsidR="00A11C8D" w:rsidRPr="007063A8" w:rsidRDefault="00A11C8D" w:rsidP="002B7D17">
      <w:pPr>
        <w:widowControl/>
        <w:spacing w:line="276" w:lineRule="auto"/>
        <w:ind w:left="426" w:hanging="426"/>
        <w:jc w:val="both"/>
        <w:rPr>
          <w:rFonts w:asciiTheme="minorHAnsi" w:hAnsiTheme="minorHAnsi" w:cstheme="minorHAnsi"/>
          <w:lang w:val="it-IT"/>
        </w:rPr>
      </w:pPr>
      <w:r w:rsidRPr="007063A8">
        <w:rPr>
          <w:rFonts w:asciiTheme="minorHAnsi" w:hAnsiTheme="minorHAnsi" w:cstheme="minorHAnsi"/>
          <w:lang w:val="it-IT"/>
        </w:rPr>
        <w:t>Montrone</w:t>
      </w:r>
      <w:r w:rsidR="6B39DA72" w:rsidRPr="007063A8">
        <w:rPr>
          <w:rFonts w:asciiTheme="minorHAnsi" w:hAnsiTheme="minorHAnsi" w:cstheme="minorHAnsi"/>
          <w:lang w:val="it-IT"/>
        </w:rPr>
        <w:t>,</w:t>
      </w:r>
      <w:r w:rsidRPr="007063A8">
        <w:rPr>
          <w:rFonts w:asciiTheme="minorHAnsi" w:hAnsiTheme="minorHAnsi" w:cstheme="minorHAnsi"/>
          <w:lang w:val="it-IT"/>
        </w:rPr>
        <w:t xml:space="preserve"> A.</w:t>
      </w:r>
      <w:r w:rsidR="4A0C437C" w:rsidRPr="007063A8">
        <w:rPr>
          <w:rFonts w:asciiTheme="minorHAnsi" w:hAnsiTheme="minorHAnsi" w:cstheme="minorHAnsi"/>
          <w:lang w:val="it-IT"/>
        </w:rPr>
        <w:t xml:space="preserve">, </w:t>
      </w:r>
      <w:r w:rsidRPr="007063A8">
        <w:rPr>
          <w:rFonts w:asciiTheme="minorHAnsi" w:hAnsiTheme="minorHAnsi" w:cstheme="minorHAnsi"/>
          <w:lang w:val="it-IT"/>
        </w:rPr>
        <w:t>2016</w:t>
      </w:r>
      <w:r w:rsidR="613ED14B" w:rsidRPr="007063A8">
        <w:rPr>
          <w:rFonts w:asciiTheme="minorHAnsi" w:hAnsiTheme="minorHAnsi" w:cstheme="minorHAnsi"/>
          <w:lang w:val="it-IT"/>
        </w:rPr>
        <w:t>.</w:t>
      </w:r>
      <w:r w:rsidRPr="007063A8">
        <w:rPr>
          <w:rFonts w:asciiTheme="minorHAnsi" w:hAnsiTheme="minorHAnsi" w:cstheme="minorHAnsi"/>
          <w:lang w:val="it-IT"/>
        </w:rPr>
        <w:t xml:space="preserve"> </w:t>
      </w:r>
      <w:r w:rsidRPr="007063A8">
        <w:rPr>
          <w:rFonts w:asciiTheme="minorHAnsi" w:hAnsiTheme="minorHAnsi" w:cstheme="minorHAnsi"/>
          <w:i/>
          <w:iCs/>
          <w:lang w:val="it-IT"/>
        </w:rPr>
        <w:t>L’analisi del valore e della performance nel ciclo di vita dell'impresa</w:t>
      </w:r>
      <w:r w:rsidRPr="007063A8">
        <w:rPr>
          <w:rFonts w:asciiTheme="minorHAnsi" w:hAnsiTheme="minorHAnsi" w:cstheme="minorHAnsi"/>
          <w:lang w:val="it-IT"/>
        </w:rPr>
        <w:t>, FrancoAngeli, Milano.</w:t>
      </w:r>
    </w:p>
    <w:p w14:paraId="7485B2A6" w14:textId="227F7F28" w:rsidR="00E00634" w:rsidRPr="007063A8" w:rsidRDefault="00A11C8D"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Morley</w:t>
      </w:r>
      <w:r w:rsidR="0BBB2BC8" w:rsidRPr="007063A8">
        <w:rPr>
          <w:rFonts w:asciiTheme="minorHAnsi" w:hAnsiTheme="minorHAnsi" w:cstheme="minorHAnsi"/>
        </w:rPr>
        <w:t>,</w:t>
      </w:r>
      <w:r w:rsidRPr="007063A8">
        <w:rPr>
          <w:rFonts w:asciiTheme="minorHAnsi" w:hAnsiTheme="minorHAnsi" w:cstheme="minorHAnsi"/>
        </w:rPr>
        <w:t xml:space="preserve"> M.</w:t>
      </w:r>
      <w:r w:rsidR="20FF955F" w:rsidRPr="007063A8">
        <w:rPr>
          <w:rFonts w:asciiTheme="minorHAnsi" w:hAnsiTheme="minorHAnsi" w:cstheme="minorHAnsi"/>
        </w:rPr>
        <w:t xml:space="preserve">, </w:t>
      </w:r>
      <w:r w:rsidRPr="007063A8">
        <w:rPr>
          <w:rFonts w:asciiTheme="minorHAnsi" w:hAnsiTheme="minorHAnsi" w:cstheme="minorHAnsi"/>
        </w:rPr>
        <w:t>1978</w:t>
      </w:r>
      <w:r w:rsidR="2B3C47AA" w:rsidRPr="007063A8">
        <w:rPr>
          <w:rFonts w:asciiTheme="minorHAnsi" w:hAnsiTheme="minorHAnsi" w:cstheme="minorHAnsi"/>
        </w:rPr>
        <w:t>.</w:t>
      </w:r>
      <w:r w:rsidRPr="007063A8">
        <w:rPr>
          <w:rFonts w:asciiTheme="minorHAnsi" w:hAnsiTheme="minorHAnsi" w:cstheme="minorHAnsi"/>
        </w:rPr>
        <w:t xml:space="preserve"> The Value</w:t>
      </w:r>
      <w:r w:rsidR="16BFF073" w:rsidRPr="007063A8">
        <w:rPr>
          <w:rFonts w:asciiTheme="minorHAnsi" w:hAnsiTheme="minorHAnsi" w:cstheme="minorHAnsi"/>
        </w:rPr>
        <w:t xml:space="preserve"> </w:t>
      </w:r>
      <w:r w:rsidRPr="007063A8">
        <w:rPr>
          <w:rFonts w:asciiTheme="minorHAnsi" w:hAnsiTheme="minorHAnsi" w:cstheme="minorHAnsi"/>
        </w:rPr>
        <w:t xml:space="preserve">Added Statement: </w:t>
      </w:r>
      <w:r w:rsidR="575CE3DD" w:rsidRPr="007063A8">
        <w:rPr>
          <w:rFonts w:asciiTheme="minorHAnsi" w:hAnsiTheme="minorHAnsi" w:cstheme="minorHAnsi"/>
        </w:rPr>
        <w:t>A</w:t>
      </w:r>
      <w:r w:rsidRPr="007063A8">
        <w:rPr>
          <w:rFonts w:asciiTheme="minorHAnsi" w:hAnsiTheme="minorHAnsi" w:cstheme="minorHAnsi"/>
        </w:rPr>
        <w:t xml:space="preserve"> British innovation</w:t>
      </w:r>
      <w:r w:rsidR="68485508" w:rsidRPr="007063A8">
        <w:rPr>
          <w:rFonts w:asciiTheme="minorHAnsi" w:hAnsiTheme="minorHAnsi" w:cstheme="minorHAnsi"/>
        </w:rPr>
        <w:t>.</w:t>
      </w:r>
      <w:r w:rsidRPr="007063A8">
        <w:rPr>
          <w:rFonts w:asciiTheme="minorHAnsi" w:hAnsiTheme="minorHAnsi" w:cstheme="minorHAnsi"/>
        </w:rPr>
        <w:t xml:space="preserve"> The Chartered Accountant Magazine, May. </w:t>
      </w:r>
    </w:p>
    <w:p w14:paraId="4F748BC4" w14:textId="0ABCC2BC" w:rsidR="00E00634" w:rsidRPr="00400389" w:rsidRDefault="00E00634" w:rsidP="46A27F0A">
      <w:pPr>
        <w:widowControl/>
        <w:autoSpaceDE w:val="0"/>
        <w:autoSpaceDN w:val="0"/>
        <w:adjustRightInd w:val="0"/>
        <w:ind w:left="396" w:hanging="397"/>
        <w:jc w:val="both"/>
        <w:rPr>
          <w:rFonts w:asciiTheme="minorHAnsi" w:hAnsiTheme="minorHAnsi" w:cstheme="minorHAnsi"/>
          <w:color w:val="000000"/>
          <w:lang w:val="it-IT" w:eastAsia="it-IT"/>
        </w:rPr>
      </w:pPr>
      <w:r w:rsidRPr="007063A8">
        <w:rPr>
          <w:rFonts w:asciiTheme="minorHAnsi" w:hAnsiTheme="minorHAnsi" w:cstheme="minorHAnsi"/>
          <w:color w:val="000000" w:themeColor="text1"/>
          <w:lang w:eastAsia="it-IT"/>
        </w:rPr>
        <w:t>Périlleux, A.</w:t>
      </w:r>
      <w:r w:rsidR="10FC6586"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2015. When Social Enterprises Engage in Finance: Agents of Change in Lending Relationships, a Belgian Typology. </w:t>
      </w:r>
      <w:r w:rsidRPr="00400389">
        <w:rPr>
          <w:rFonts w:asciiTheme="minorHAnsi" w:hAnsiTheme="minorHAnsi" w:cstheme="minorHAnsi"/>
          <w:color w:val="000000" w:themeColor="text1"/>
          <w:lang w:val="it-IT" w:eastAsia="it-IT"/>
        </w:rPr>
        <w:t xml:space="preserve">Strategic Change, 24, </w:t>
      </w:r>
      <w:r w:rsidR="0EE09A94" w:rsidRPr="00400389">
        <w:rPr>
          <w:rFonts w:asciiTheme="minorHAnsi" w:hAnsiTheme="minorHAnsi" w:cstheme="minorHAnsi"/>
          <w:color w:val="000000" w:themeColor="text1"/>
          <w:lang w:val="it-IT" w:eastAsia="it-IT"/>
        </w:rPr>
        <w:t xml:space="preserve">p. </w:t>
      </w:r>
      <w:r w:rsidRPr="00400389">
        <w:rPr>
          <w:rFonts w:asciiTheme="minorHAnsi" w:hAnsiTheme="minorHAnsi" w:cstheme="minorHAnsi"/>
          <w:color w:val="000000" w:themeColor="text1"/>
          <w:lang w:val="it-IT" w:eastAsia="it-IT"/>
        </w:rPr>
        <w:t>285.</w:t>
      </w:r>
    </w:p>
    <w:p w14:paraId="61094454" w14:textId="445C533E" w:rsidR="00A11C8D" w:rsidRPr="007063A8" w:rsidRDefault="00A11C8D" w:rsidP="002B7D17">
      <w:pPr>
        <w:widowControl/>
        <w:spacing w:line="276" w:lineRule="auto"/>
        <w:ind w:left="426" w:hanging="426"/>
        <w:jc w:val="both"/>
        <w:rPr>
          <w:rFonts w:asciiTheme="minorHAnsi" w:hAnsiTheme="minorHAnsi" w:cstheme="minorHAnsi"/>
        </w:rPr>
      </w:pPr>
      <w:r w:rsidRPr="00400389">
        <w:rPr>
          <w:rFonts w:asciiTheme="minorHAnsi" w:hAnsiTheme="minorHAnsi" w:cstheme="minorHAnsi"/>
          <w:lang w:val="it-IT"/>
        </w:rPr>
        <w:t>Picciotti</w:t>
      </w:r>
      <w:r w:rsidR="65EBC76B" w:rsidRPr="00400389">
        <w:rPr>
          <w:rFonts w:asciiTheme="minorHAnsi" w:hAnsiTheme="minorHAnsi" w:cstheme="minorHAnsi"/>
          <w:lang w:val="it-IT"/>
        </w:rPr>
        <w:t>,</w:t>
      </w:r>
      <w:r w:rsidRPr="00400389">
        <w:rPr>
          <w:rFonts w:asciiTheme="minorHAnsi" w:hAnsiTheme="minorHAnsi" w:cstheme="minorHAnsi"/>
          <w:lang w:val="it-IT"/>
        </w:rPr>
        <w:t xml:space="preserve"> A.</w:t>
      </w:r>
      <w:r w:rsidR="4C19BAC6" w:rsidRPr="00400389">
        <w:rPr>
          <w:rFonts w:asciiTheme="minorHAnsi" w:hAnsiTheme="minorHAnsi" w:cstheme="minorHAnsi"/>
          <w:lang w:val="it-IT"/>
        </w:rPr>
        <w:t>,</w:t>
      </w:r>
      <w:r w:rsidRPr="00400389">
        <w:rPr>
          <w:rFonts w:asciiTheme="minorHAnsi" w:hAnsiTheme="minorHAnsi" w:cstheme="minorHAnsi"/>
          <w:lang w:val="it-IT"/>
        </w:rPr>
        <w:t xml:space="preserve"> Bernardoni</w:t>
      </w:r>
      <w:r w:rsidR="78804335" w:rsidRPr="00400389">
        <w:rPr>
          <w:rFonts w:asciiTheme="minorHAnsi" w:hAnsiTheme="minorHAnsi" w:cstheme="minorHAnsi"/>
          <w:lang w:val="it-IT"/>
        </w:rPr>
        <w:t>,</w:t>
      </w:r>
      <w:r w:rsidR="03525321" w:rsidRPr="00400389">
        <w:rPr>
          <w:rFonts w:asciiTheme="minorHAnsi" w:hAnsiTheme="minorHAnsi" w:cstheme="minorHAnsi"/>
          <w:lang w:val="it-IT"/>
        </w:rPr>
        <w:t xml:space="preserve"> </w:t>
      </w:r>
      <w:r w:rsidRPr="00400389">
        <w:rPr>
          <w:rFonts w:asciiTheme="minorHAnsi" w:hAnsiTheme="minorHAnsi" w:cstheme="minorHAnsi"/>
          <w:lang w:val="it-IT"/>
        </w:rPr>
        <w:t>A.</w:t>
      </w:r>
      <w:r w:rsidR="367A2F35" w:rsidRPr="00400389">
        <w:rPr>
          <w:rFonts w:asciiTheme="minorHAnsi" w:hAnsiTheme="minorHAnsi" w:cstheme="minorHAnsi"/>
          <w:lang w:val="it-IT"/>
        </w:rPr>
        <w:t xml:space="preserve">, </w:t>
      </w:r>
      <w:r w:rsidRPr="00400389">
        <w:rPr>
          <w:rFonts w:asciiTheme="minorHAnsi" w:hAnsiTheme="minorHAnsi" w:cstheme="minorHAnsi"/>
          <w:lang w:val="it-IT"/>
        </w:rPr>
        <w:t>Cossignani</w:t>
      </w:r>
      <w:r w:rsidR="1C676E42" w:rsidRPr="00400389">
        <w:rPr>
          <w:rFonts w:asciiTheme="minorHAnsi" w:hAnsiTheme="minorHAnsi" w:cstheme="minorHAnsi"/>
          <w:lang w:val="it-IT"/>
        </w:rPr>
        <w:t>,</w:t>
      </w:r>
      <w:r w:rsidRPr="00400389">
        <w:rPr>
          <w:rFonts w:asciiTheme="minorHAnsi" w:hAnsiTheme="minorHAnsi" w:cstheme="minorHAnsi"/>
          <w:lang w:val="it-IT"/>
        </w:rPr>
        <w:t xml:space="preserve"> M.</w:t>
      </w:r>
      <w:r w:rsidR="78E5D21B" w:rsidRPr="00400389">
        <w:rPr>
          <w:rFonts w:asciiTheme="minorHAnsi" w:hAnsiTheme="minorHAnsi" w:cstheme="minorHAnsi"/>
          <w:lang w:val="it-IT"/>
        </w:rPr>
        <w:t xml:space="preserve">, </w:t>
      </w:r>
      <w:r w:rsidRPr="00400389">
        <w:rPr>
          <w:rFonts w:asciiTheme="minorHAnsi" w:hAnsiTheme="minorHAnsi" w:cstheme="minorHAnsi"/>
          <w:lang w:val="it-IT"/>
        </w:rPr>
        <w:t>Ferrucci</w:t>
      </w:r>
      <w:r w:rsidR="48CB7533" w:rsidRPr="00400389">
        <w:rPr>
          <w:rFonts w:asciiTheme="minorHAnsi" w:hAnsiTheme="minorHAnsi" w:cstheme="minorHAnsi"/>
          <w:lang w:val="it-IT"/>
        </w:rPr>
        <w:t>,</w:t>
      </w:r>
      <w:r w:rsidRPr="00400389">
        <w:rPr>
          <w:rFonts w:asciiTheme="minorHAnsi" w:hAnsiTheme="minorHAnsi" w:cstheme="minorHAnsi"/>
          <w:lang w:val="it-IT"/>
        </w:rPr>
        <w:t xml:space="preserve"> L.</w:t>
      </w:r>
      <w:r w:rsidR="0F649194" w:rsidRPr="00400389">
        <w:rPr>
          <w:rFonts w:asciiTheme="minorHAnsi" w:hAnsiTheme="minorHAnsi" w:cstheme="minorHAnsi"/>
          <w:lang w:val="it-IT"/>
        </w:rPr>
        <w:t xml:space="preserve">, </w:t>
      </w:r>
      <w:r w:rsidRPr="00400389">
        <w:rPr>
          <w:rFonts w:asciiTheme="minorHAnsi" w:hAnsiTheme="minorHAnsi" w:cstheme="minorHAnsi"/>
          <w:lang w:val="it-IT"/>
        </w:rPr>
        <w:t>2014</w:t>
      </w:r>
      <w:r w:rsidR="681917F0" w:rsidRPr="00400389">
        <w:rPr>
          <w:rFonts w:asciiTheme="minorHAnsi" w:hAnsiTheme="minorHAnsi" w:cstheme="minorHAnsi"/>
          <w:lang w:val="it-IT"/>
        </w:rPr>
        <w:t xml:space="preserve">. </w:t>
      </w:r>
      <w:r w:rsidRPr="007063A8">
        <w:rPr>
          <w:rFonts w:asciiTheme="minorHAnsi" w:hAnsiTheme="minorHAnsi" w:cstheme="minorHAnsi"/>
        </w:rPr>
        <w:t xml:space="preserve">Social </w:t>
      </w:r>
      <w:r w:rsidR="296F817D" w:rsidRPr="007063A8">
        <w:rPr>
          <w:rFonts w:asciiTheme="minorHAnsi" w:hAnsiTheme="minorHAnsi" w:cstheme="minorHAnsi"/>
        </w:rPr>
        <w:t>C</w:t>
      </w:r>
      <w:r w:rsidRPr="007063A8">
        <w:rPr>
          <w:rFonts w:asciiTheme="minorHAnsi" w:hAnsiTheme="minorHAnsi" w:cstheme="minorHAnsi"/>
        </w:rPr>
        <w:t xml:space="preserve">ooperatives in Italy: Economic </w:t>
      </w:r>
      <w:r w:rsidR="57EE5890" w:rsidRPr="007063A8">
        <w:rPr>
          <w:rFonts w:asciiTheme="minorHAnsi" w:hAnsiTheme="minorHAnsi" w:cstheme="minorHAnsi"/>
        </w:rPr>
        <w:t>A</w:t>
      </w:r>
      <w:r w:rsidRPr="007063A8">
        <w:rPr>
          <w:rFonts w:asciiTheme="minorHAnsi" w:hAnsiTheme="minorHAnsi" w:cstheme="minorHAnsi"/>
        </w:rPr>
        <w:t xml:space="preserve">ntecedents and </w:t>
      </w:r>
      <w:r w:rsidR="5DE5C742" w:rsidRPr="007063A8">
        <w:rPr>
          <w:rFonts w:asciiTheme="minorHAnsi" w:hAnsiTheme="minorHAnsi" w:cstheme="minorHAnsi"/>
        </w:rPr>
        <w:t>R</w:t>
      </w:r>
      <w:r w:rsidRPr="007063A8">
        <w:rPr>
          <w:rFonts w:asciiTheme="minorHAnsi" w:hAnsiTheme="minorHAnsi" w:cstheme="minorHAnsi"/>
        </w:rPr>
        <w:t xml:space="preserve">egional </w:t>
      </w:r>
      <w:r w:rsidR="6F0827E6" w:rsidRPr="007063A8">
        <w:rPr>
          <w:rFonts w:asciiTheme="minorHAnsi" w:hAnsiTheme="minorHAnsi" w:cstheme="minorHAnsi"/>
        </w:rPr>
        <w:t>D</w:t>
      </w:r>
      <w:r w:rsidRPr="007063A8">
        <w:rPr>
          <w:rFonts w:asciiTheme="minorHAnsi" w:hAnsiTheme="minorHAnsi" w:cstheme="minorHAnsi"/>
        </w:rPr>
        <w:t xml:space="preserve">istribution. Annals of Public and Cooperative Economics 85, </w:t>
      </w:r>
      <w:r w:rsidR="051B51D6" w:rsidRPr="007063A8">
        <w:rPr>
          <w:rFonts w:asciiTheme="minorHAnsi" w:hAnsiTheme="minorHAnsi" w:cstheme="minorHAnsi"/>
        </w:rPr>
        <w:t xml:space="preserve">p. </w:t>
      </w:r>
      <w:r w:rsidRPr="007063A8">
        <w:rPr>
          <w:rFonts w:asciiTheme="minorHAnsi" w:hAnsiTheme="minorHAnsi" w:cstheme="minorHAnsi"/>
        </w:rPr>
        <w:t>213</w:t>
      </w:r>
      <w:r w:rsidR="6D1F5230" w:rsidRPr="007063A8">
        <w:rPr>
          <w:rFonts w:asciiTheme="minorHAnsi" w:hAnsiTheme="minorHAnsi" w:cstheme="minorHAnsi"/>
        </w:rPr>
        <w:t>.</w:t>
      </w:r>
    </w:p>
    <w:p w14:paraId="015ADBBB" w14:textId="2BD35B45" w:rsidR="00A11C8D" w:rsidRPr="007063A8" w:rsidRDefault="00A11C8D" w:rsidP="002B7D1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Poledrini</w:t>
      </w:r>
      <w:r w:rsidR="0F7E47B6" w:rsidRPr="007063A8">
        <w:rPr>
          <w:rFonts w:asciiTheme="minorHAnsi" w:hAnsiTheme="minorHAnsi" w:cstheme="minorHAnsi"/>
        </w:rPr>
        <w:t>,</w:t>
      </w:r>
      <w:r w:rsidRPr="007063A8">
        <w:rPr>
          <w:rFonts w:asciiTheme="minorHAnsi" w:hAnsiTheme="minorHAnsi" w:cstheme="minorHAnsi"/>
        </w:rPr>
        <w:t xml:space="preserve"> S.</w:t>
      </w:r>
      <w:r w:rsidR="53361453" w:rsidRPr="007063A8">
        <w:rPr>
          <w:rFonts w:asciiTheme="minorHAnsi" w:hAnsiTheme="minorHAnsi" w:cstheme="minorHAnsi"/>
        </w:rPr>
        <w:t>, 2015</w:t>
      </w:r>
      <w:r w:rsidRPr="007063A8">
        <w:rPr>
          <w:rFonts w:asciiTheme="minorHAnsi" w:hAnsiTheme="minorHAnsi" w:cstheme="minorHAnsi"/>
        </w:rPr>
        <w:t xml:space="preserve">. Unconditional Reciprocity and the Case of Italian Social Cooperatives. Nonprofit and Voluntary Sector Quarterly 44, </w:t>
      </w:r>
      <w:r w:rsidR="2C177E00" w:rsidRPr="007063A8">
        <w:rPr>
          <w:rFonts w:asciiTheme="minorHAnsi" w:hAnsiTheme="minorHAnsi" w:cstheme="minorHAnsi"/>
        </w:rPr>
        <w:t xml:space="preserve">p. </w:t>
      </w:r>
      <w:r w:rsidRPr="007063A8">
        <w:rPr>
          <w:rFonts w:asciiTheme="minorHAnsi" w:hAnsiTheme="minorHAnsi" w:cstheme="minorHAnsi"/>
        </w:rPr>
        <w:t>457</w:t>
      </w:r>
      <w:r w:rsidR="00971CBE" w:rsidRPr="007063A8">
        <w:rPr>
          <w:rFonts w:asciiTheme="minorHAnsi" w:hAnsiTheme="minorHAnsi" w:cstheme="minorHAnsi"/>
        </w:rPr>
        <w:t>.</w:t>
      </w:r>
    </w:p>
    <w:p w14:paraId="013AC807" w14:textId="7824F044" w:rsidR="00415247" w:rsidRPr="007063A8" w:rsidRDefault="00A11C8D" w:rsidP="00415247">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Poledrini S.</w:t>
      </w:r>
      <w:r w:rsidR="0E89B25D" w:rsidRPr="007063A8">
        <w:rPr>
          <w:rFonts w:asciiTheme="minorHAnsi" w:hAnsiTheme="minorHAnsi" w:cstheme="minorHAnsi"/>
        </w:rPr>
        <w:t>,</w:t>
      </w:r>
      <w:r w:rsidR="001E0DB1" w:rsidRPr="007063A8">
        <w:rPr>
          <w:rFonts w:asciiTheme="minorHAnsi" w:hAnsiTheme="minorHAnsi" w:cstheme="minorHAnsi"/>
        </w:rPr>
        <w:t xml:space="preserve"> </w:t>
      </w:r>
      <w:r w:rsidRPr="007063A8">
        <w:rPr>
          <w:rFonts w:asciiTheme="minorHAnsi" w:hAnsiTheme="minorHAnsi" w:cstheme="minorHAnsi"/>
        </w:rPr>
        <w:t>Borzaga C.</w:t>
      </w:r>
      <w:r w:rsidR="719D7BA3" w:rsidRPr="007063A8">
        <w:rPr>
          <w:rFonts w:asciiTheme="minorHAnsi" w:hAnsiTheme="minorHAnsi" w:cstheme="minorHAnsi"/>
        </w:rPr>
        <w:t xml:space="preserve">, </w:t>
      </w:r>
      <w:r w:rsidRPr="007063A8">
        <w:rPr>
          <w:rFonts w:asciiTheme="minorHAnsi" w:hAnsiTheme="minorHAnsi" w:cstheme="minorHAnsi"/>
        </w:rPr>
        <w:t>2021</w:t>
      </w:r>
      <w:r w:rsidR="00990F25" w:rsidRPr="007063A8">
        <w:rPr>
          <w:rFonts w:asciiTheme="minorHAnsi" w:hAnsiTheme="minorHAnsi" w:cstheme="minorHAnsi"/>
        </w:rPr>
        <w:t>.</w:t>
      </w:r>
      <w:r w:rsidRPr="007063A8">
        <w:rPr>
          <w:rFonts w:asciiTheme="minorHAnsi" w:hAnsiTheme="minorHAnsi" w:cstheme="minorHAnsi"/>
        </w:rPr>
        <w:t xml:space="preserve"> Social Enterprises in Italy: a </w:t>
      </w:r>
      <w:r w:rsidR="6ABC6331" w:rsidRPr="007063A8">
        <w:rPr>
          <w:rFonts w:asciiTheme="minorHAnsi" w:hAnsiTheme="minorHAnsi" w:cstheme="minorHAnsi"/>
        </w:rPr>
        <w:t>P</w:t>
      </w:r>
      <w:r w:rsidRPr="007063A8">
        <w:rPr>
          <w:rFonts w:asciiTheme="minorHAnsi" w:hAnsiTheme="minorHAnsi" w:cstheme="minorHAnsi"/>
        </w:rPr>
        <w:t xml:space="preserve">luralism of </w:t>
      </w:r>
      <w:r w:rsidR="5657D070" w:rsidRPr="007063A8">
        <w:rPr>
          <w:rFonts w:asciiTheme="minorHAnsi" w:hAnsiTheme="minorHAnsi" w:cstheme="minorHAnsi"/>
        </w:rPr>
        <w:t>D</w:t>
      </w:r>
      <w:r w:rsidRPr="007063A8">
        <w:rPr>
          <w:rFonts w:asciiTheme="minorHAnsi" w:hAnsiTheme="minorHAnsi" w:cstheme="minorHAnsi"/>
        </w:rPr>
        <w:t xml:space="preserve">ifferent </w:t>
      </w:r>
      <w:r w:rsidR="294FAF84" w:rsidRPr="007063A8">
        <w:rPr>
          <w:rFonts w:asciiTheme="minorHAnsi" w:hAnsiTheme="minorHAnsi" w:cstheme="minorHAnsi"/>
        </w:rPr>
        <w:t>B</w:t>
      </w:r>
      <w:r w:rsidRPr="007063A8">
        <w:rPr>
          <w:rFonts w:asciiTheme="minorHAnsi" w:hAnsiTheme="minorHAnsi" w:cstheme="minorHAnsi"/>
        </w:rPr>
        <w:t xml:space="preserve">usiness and </w:t>
      </w:r>
      <w:r w:rsidR="59557F3E" w:rsidRPr="007063A8">
        <w:rPr>
          <w:rFonts w:asciiTheme="minorHAnsi" w:hAnsiTheme="minorHAnsi" w:cstheme="minorHAnsi"/>
        </w:rPr>
        <w:t>O</w:t>
      </w:r>
      <w:r w:rsidRPr="007063A8">
        <w:rPr>
          <w:rFonts w:asciiTheme="minorHAnsi" w:hAnsiTheme="minorHAnsi" w:cstheme="minorHAnsi"/>
        </w:rPr>
        <w:t xml:space="preserve">rganizational </w:t>
      </w:r>
      <w:r w:rsidR="1F659A5B" w:rsidRPr="007063A8">
        <w:rPr>
          <w:rFonts w:asciiTheme="minorHAnsi" w:hAnsiTheme="minorHAnsi" w:cstheme="minorHAnsi"/>
        </w:rPr>
        <w:t>M</w:t>
      </w:r>
      <w:r w:rsidRPr="007063A8">
        <w:rPr>
          <w:rFonts w:asciiTheme="minorHAnsi" w:hAnsiTheme="minorHAnsi" w:cstheme="minorHAnsi"/>
        </w:rPr>
        <w:t>odels</w:t>
      </w:r>
      <w:r w:rsidR="263519BE" w:rsidRPr="007063A8">
        <w:rPr>
          <w:rFonts w:asciiTheme="minorHAnsi" w:hAnsiTheme="minorHAnsi" w:cstheme="minorHAnsi"/>
        </w:rPr>
        <w:t>, i</w:t>
      </w:r>
      <w:r w:rsidRPr="007063A8">
        <w:rPr>
          <w:rFonts w:asciiTheme="minorHAnsi" w:hAnsiTheme="minorHAnsi" w:cstheme="minorHAnsi"/>
        </w:rPr>
        <w:t xml:space="preserve">n </w:t>
      </w:r>
      <w:r w:rsidR="6197BA2C" w:rsidRPr="007063A8">
        <w:rPr>
          <w:rFonts w:asciiTheme="minorHAnsi" w:hAnsiTheme="minorHAnsi" w:cstheme="minorHAnsi"/>
        </w:rPr>
        <w:t xml:space="preserve">“Social Enterprises Models in Europe” </w:t>
      </w:r>
      <w:r w:rsidRPr="007063A8">
        <w:rPr>
          <w:rFonts w:asciiTheme="minorHAnsi" w:hAnsiTheme="minorHAnsi" w:cstheme="minorHAnsi"/>
        </w:rPr>
        <w:t xml:space="preserve">J. Defourny </w:t>
      </w:r>
      <w:r w:rsidR="4EB5E730" w:rsidRPr="007063A8">
        <w:rPr>
          <w:rFonts w:asciiTheme="minorHAnsi" w:hAnsiTheme="minorHAnsi" w:cstheme="minorHAnsi"/>
        </w:rPr>
        <w:t>and</w:t>
      </w:r>
      <w:r w:rsidRPr="007063A8">
        <w:rPr>
          <w:rFonts w:asciiTheme="minorHAnsi" w:hAnsiTheme="minorHAnsi" w:cstheme="minorHAnsi"/>
        </w:rPr>
        <w:t xml:space="preserve"> M. Nyssens</w:t>
      </w:r>
      <w:r w:rsidR="15C9BE77" w:rsidRPr="007063A8">
        <w:rPr>
          <w:rFonts w:asciiTheme="minorHAnsi" w:hAnsiTheme="minorHAnsi" w:cstheme="minorHAnsi"/>
        </w:rPr>
        <w:t>, Routlege, London</w:t>
      </w:r>
      <w:r w:rsidRPr="007063A8">
        <w:rPr>
          <w:rFonts w:asciiTheme="minorHAnsi" w:hAnsiTheme="minorHAnsi" w:cstheme="minorHAnsi"/>
        </w:rPr>
        <w:t>.</w:t>
      </w:r>
    </w:p>
    <w:p w14:paraId="22368A1E" w14:textId="7557AC99" w:rsidR="00415247" w:rsidRPr="007063A8" w:rsidRDefault="00415247" w:rsidP="46A27F0A">
      <w:pPr>
        <w:widowControl/>
        <w:spacing w:line="276" w:lineRule="auto"/>
        <w:ind w:left="426" w:hanging="426"/>
        <w:jc w:val="both"/>
        <w:rPr>
          <w:rFonts w:asciiTheme="minorHAnsi" w:hAnsiTheme="minorHAnsi" w:cstheme="minorHAnsi"/>
          <w:color w:val="000000" w:themeColor="text1"/>
          <w:lang w:eastAsia="it-IT"/>
        </w:rPr>
      </w:pPr>
      <w:r w:rsidRPr="007063A8">
        <w:rPr>
          <w:rFonts w:asciiTheme="minorHAnsi" w:hAnsiTheme="minorHAnsi" w:cstheme="minorHAnsi"/>
          <w:color w:val="000000" w:themeColor="text1"/>
          <w:lang w:eastAsia="it-IT"/>
        </w:rPr>
        <w:t>Poledrini, S., Searing, E. A., Montrone, A.</w:t>
      </w:r>
      <w:r w:rsidR="38624E8C"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2022. A Model for Directing and Modulating Public Interventions in Social Enterprises. Nonprofit Policy Forum</w:t>
      </w:r>
      <w:r w:rsidR="09F23F1F"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Vol. 13</w:t>
      </w:r>
      <w:r w:rsidR="4055DA08"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p. 3</w:t>
      </w:r>
      <w:r w:rsidR="097EEF30" w:rsidRPr="007063A8">
        <w:rPr>
          <w:rFonts w:asciiTheme="minorHAnsi" w:hAnsiTheme="minorHAnsi" w:cstheme="minorHAnsi"/>
          <w:color w:val="000000" w:themeColor="text1"/>
          <w:lang w:eastAsia="it-IT"/>
        </w:rPr>
        <w:t>07.</w:t>
      </w:r>
    </w:p>
    <w:p w14:paraId="210C391A" w14:textId="10AF80BD"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lastRenderedPageBreak/>
        <w:t>Poledrini</w:t>
      </w:r>
      <w:r w:rsidR="5D43E5C8" w:rsidRPr="007063A8">
        <w:rPr>
          <w:rFonts w:asciiTheme="minorHAnsi" w:hAnsiTheme="minorHAnsi" w:cstheme="minorHAnsi"/>
        </w:rPr>
        <w:t xml:space="preserve">, </w:t>
      </w:r>
      <w:r w:rsidRPr="007063A8">
        <w:rPr>
          <w:rFonts w:asciiTheme="minorHAnsi" w:hAnsiTheme="minorHAnsi" w:cstheme="minorHAnsi"/>
        </w:rPr>
        <w:t>S.</w:t>
      </w:r>
      <w:r w:rsidR="3F61B27C" w:rsidRPr="007063A8">
        <w:rPr>
          <w:rFonts w:asciiTheme="minorHAnsi" w:hAnsiTheme="minorHAnsi" w:cstheme="minorHAnsi"/>
        </w:rPr>
        <w:t>,</w:t>
      </w:r>
      <w:r w:rsidRPr="007063A8">
        <w:rPr>
          <w:rFonts w:asciiTheme="minorHAnsi" w:hAnsiTheme="minorHAnsi" w:cstheme="minorHAnsi"/>
        </w:rPr>
        <w:t xml:space="preserve"> Tortia</w:t>
      </w:r>
      <w:r w:rsidR="7C8B4BB5" w:rsidRPr="007063A8">
        <w:rPr>
          <w:rFonts w:asciiTheme="minorHAnsi" w:hAnsiTheme="minorHAnsi" w:cstheme="minorHAnsi"/>
        </w:rPr>
        <w:t>,</w:t>
      </w:r>
      <w:r w:rsidRPr="007063A8">
        <w:rPr>
          <w:rFonts w:asciiTheme="minorHAnsi" w:hAnsiTheme="minorHAnsi" w:cstheme="minorHAnsi"/>
        </w:rPr>
        <w:t xml:space="preserve"> E,</w:t>
      </w:r>
      <w:r w:rsidR="593DE42C" w:rsidRPr="007063A8">
        <w:rPr>
          <w:rFonts w:asciiTheme="minorHAnsi" w:hAnsiTheme="minorHAnsi" w:cstheme="minorHAnsi"/>
        </w:rPr>
        <w:t xml:space="preserve"> </w:t>
      </w:r>
      <w:r w:rsidRPr="007063A8">
        <w:rPr>
          <w:rFonts w:asciiTheme="minorHAnsi" w:hAnsiTheme="minorHAnsi" w:cstheme="minorHAnsi"/>
        </w:rPr>
        <w:t>2020</w:t>
      </w:r>
      <w:r w:rsidR="7B01153B" w:rsidRPr="007063A8">
        <w:rPr>
          <w:rFonts w:asciiTheme="minorHAnsi" w:hAnsiTheme="minorHAnsi" w:cstheme="minorHAnsi"/>
        </w:rPr>
        <w:t>.</w:t>
      </w:r>
      <w:r w:rsidRPr="007063A8">
        <w:rPr>
          <w:rFonts w:asciiTheme="minorHAnsi" w:hAnsiTheme="minorHAnsi" w:cstheme="minorHAnsi"/>
        </w:rPr>
        <w:t xml:space="preserve"> Social enterprises: </w:t>
      </w:r>
      <w:r w:rsidR="77898FF9" w:rsidRPr="007063A8">
        <w:rPr>
          <w:rFonts w:asciiTheme="minorHAnsi" w:hAnsiTheme="minorHAnsi" w:cstheme="minorHAnsi"/>
        </w:rPr>
        <w:t>E</w:t>
      </w:r>
      <w:r w:rsidRPr="007063A8">
        <w:rPr>
          <w:rFonts w:asciiTheme="minorHAnsi" w:hAnsiTheme="minorHAnsi" w:cstheme="minorHAnsi"/>
        </w:rPr>
        <w:t xml:space="preserve">volution of the </w:t>
      </w:r>
      <w:r w:rsidR="672EF0CE" w:rsidRPr="007063A8">
        <w:rPr>
          <w:rFonts w:asciiTheme="minorHAnsi" w:hAnsiTheme="minorHAnsi" w:cstheme="minorHAnsi"/>
        </w:rPr>
        <w:t>O</w:t>
      </w:r>
      <w:r w:rsidRPr="007063A8">
        <w:rPr>
          <w:rFonts w:asciiTheme="minorHAnsi" w:hAnsiTheme="minorHAnsi" w:cstheme="minorHAnsi"/>
        </w:rPr>
        <w:t xml:space="preserve">rganizational </w:t>
      </w:r>
      <w:r w:rsidR="7BEF4D9D" w:rsidRPr="007063A8">
        <w:rPr>
          <w:rFonts w:asciiTheme="minorHAnsi" w:hAnsiTheme="minorHAnsi" w:cstheme="minorHAnsi"/>
        </w:rPr>
        <w:t>M</w:t>
      </w:r>
      <w:r w:rsidRPr="007063A8">
        <w:rPr>
          <w:rFonts w:asciiTheme="minorHAnsi" w:hAnsiTheme="minorHAnsi" w:cstheme="minorHAnsi"/>
        </w:rPr>
        <w:t xml:space="preserve">odel and </w:t>
      </w:r>
      <w:r w:rsidR="1D9A7DAD" w:rsidRPr="007063A8">
        <w:rPr>
          <w:rFonts w:asciiTheme="minorHAnsi" w:hAnsiTheme="minorHAnsi" w:cstheme="minorHAnsi"/>
        </w:rPr>
        <w:t>A</w:t>
      </w:r>
      <w:r w:rsidRPr="007063A8">
        <w:rPr>
          <w:rFonts w:asciiTheme="minorHAnsi" w:hAnsiTheme="minorHAnsi" w:cstheme="minorHAnsi"/>
        </w:rPr>
        <w:t xml:space="preserve">pplication to the Italian </w:t>
      </w:r>
      <w:r w:rsidR="1723CA6B" w:rsidRPr="007063A8">
        <w:rPr>
          <w:rFonts w:asciiTheme="minorHAnsi" w:hAnsiTheme="minorHAnsi" w:cstheme="minorHAnsi"/>
        </w:rPr>
        <w:t>C</w:t>
      </w:r>
      <w:r w:rsidRPr="007063A8">
        <w:rPr>
          <w:rFonts w:asciiTheme="minorHAnsi" w:hAnsiTheme="minorHAnsi" w:cstheme="minorHAnsi"/>
        </w:rPr>
        <w:t>ase, Entrepreneurship Research Journal 10.</w:t>
      </w:r>
    </w:p>
    <w:p w14:paraId="370065B6" w14:textId="7202F156"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Rees</w:t>
      </w:r>
      <w:r w:rsidR="0CAD5DFC" w:rsidRPr="007063A8">
        <w:rPr>
          <w:rFonts w:asciiTheme="minorHAnsi" w:hAnsiTheme="minorHAnsi" w:cstheme="minorHAnsi"/>
        </w:rPr>
        <w:t>,</w:t>
      </w:r>
      <w:r w:rsidRPr="007063A8">
        <w:rPr>
          <w:rFonts w:asciiTheme="minorHAnsi" w:hAnsiTheme="minorHAnsi" w:cstheme="minorHAnsi"/>
        </w:rPr>
        <w:t xml:space="preserve"> B.</w:t>
      </w:r>
      <w:r w:rsidR="05462C9D" w:rsidRPr="007063A8">
        <w:rPr>
          <w:rFonts w:asciiTheme="minorHAnsi" w:hAnsiTheme="minorHAnsi" w:cstheme="minorHAnsi"/>
        </w:rPr>
        <w:t>, 1990.</w:t>
      </w:r>
      <w:r w:rsidRPr="007063A8">
        <w:rPr>
          <w:rFonts w:asciiTheme="minorHAnsi" w:hAnsiTheme="minorHAnsi" w:cstheme="minorHAnsi"/>
        </w:rPr>
        <w:t xml:space="preserve"> Financial Analysis, Prentice Hall, New York.  </w:t>
      </w:r>
    </w:p>
    <w:p w14:paraId="254AD2FB" w14:textId="3F86495D"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Renshall</w:t>
      </w:r>
      <w:r w:rsidR="69274323" w:rsidRPr="007063A8">
        <w:rPr>
          <w:rFonts w:asciiTheme="minorHAnsi" w:hAnsiTheme="minorHAnsi" w:cstheme="minorHAnsi"/>
        </w:rPr>
        <w:t>,</w:t>
      </w:r>
      <w:r w:rsidRPr="007063A8">
        <w:rPr>
          <w:rFonts w:asciiTheme="minorHAnsi" w:hAnsiTheme="minorHAnsi" w:cstheme="minorHAnsi"/>
        </w:rPr>
        <w:t xml:space="preserve"> M.</w:t>
      </w:r>
      <w:r w:rsidR="16539EE4" w:rsidRPr="007063A8">
        <w:rPr>
          <w:rFonts w:asciiTheme="minorHAnsi" w:hAnsiTheme="minorHAnsi" w:cstheme="minorHAnsi"/>
        </w:rPr>
        <w:t xml:space="preserve">, </w:t>
      </w:r>
      <w:r w:rsidRPr="007063A8">
        <w:rPr>
          <w:rFonts w:asciiTheme="minorHAnsi" w:hAnsiTheme="minorHAnsi" w:cstheme="minorHAnsi"/>
        </w:rPr>
        <w:t>Allan R</w:t>
      </w:r>
      <w:r w:rsidR="4688F649" w:rsidRPr="007063A8">
        <w:rPr>
          <w:rFonts w:asciiTheme="minorHAnsi" w:hAnsiTheme="minorHAnsi" w:cstheme="minorHAnsi"/>
        </w:rPr>
        <w:t>.,</w:t>
      </w:r>
      <w:r w:rsidRPr="007063A8">
        <w:rPr>
          <w:rFonts w:asciiTheme="minorHAnsi" w:hAnsiTheme="minorHAnsi" w:cstheme="minorHAnsi"/>
        </w:rPr>
        <w:t xml:space="preserve"> Nicholson</w:t>
      </w:r>
      <w:r w:rsidR="0ABE9FF8" w:rsidRPr="007063A8">
        <w:rPr>
          <w:rFonts w:asciiTheme="minorHAnsi" w:hAnsiTheme="minorHAnsi" w:cstheme="minorHAnsi"/>
        </w:rPr>
        <w:t>,</w:t>
      </w:r>
      <w:r w:rsidRPr="007063A8">
        <w:rPr>
          <w:rFonts w:asciiTheme="minorHAnsi" w:hAnsiTheme="minorHAnsi" w:cstheme="minorHAnsi"/>
        </w:rPr>
        <w:t xml:space="preserve"> K.</w:t>
      </w:r>
      <w:r w:rsidR="21EBF0D3" w:rsidRPr="007063A8">
        <w:rPr>
          <w:rFonts w:asciiTheme="minorHAnsi" w:hAnsiTheme="minorHAnsi" w:cstheme="minorHAnsi"/>
        </w:rPr>
        <w:t xml:space="preserve">, </w:t>
      </w:r>
      <w:r w:rsidRPr="007063A8">
        <w:rPr>
          <w:rFonts w:asciiTheme="minorHAnsi" w:hAnsiTheme="minorHAnsi" w:cstheme="minorHAnsi"/>
        </w:rPr>
        <w:t>1979</w:t>
      </w:r>
      <w:r w:rsidR="6305F316" w:rsidRPr="007063A8">
        <w:rPr>
          <w:rFonts w:asciiTheme="minorHAnsi" w:hAnsiTheme="minorHAnsi" w:cstheme="minorHAnsi"/>
        </w:rPr>
        <w:t>.</w:t>
      </w:r>
      <w:r w:rsidRPr="007063A8">
        <w:rPr>
          <w:rFonts w:asciiTheme="minorHAnsi" w:hAnsiTheme="minorHAnsi" w:cstheme="minorHAnsi"/>
        </w:rPr>
        <w:t xml:space="preserve"> Added Value in External Financial Reporting, Institute of Chartered Accountants in England and Wales, London.</w:t>
      </w:r>
    </w:p>
    <w:p w14:paraId="428CB52F" w14:textId="2BE7F4A0"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Riahi-Belkaoui</w:t>
      </w:r>
      <w:r w:rsidR="08581510" w:rsidRPr="007063A8">
        <w:rPr>
          <w:rFonts w:asciiTheme="minorHAnsi" w:hAnsiTheme="minorHAnsi" w:cstheme="minorHAnsi"/>
        </w:rPr>
        <w:t>,</w:t>
      </w:r>
      <w:r w:rsidRPr="007063A8">
        <w:rPr>
          <w:rFonts w:asciiTheme="minorHAnsi" w:hAnsiTheme="minorHAnsi" w:cstheme="minorHAnsi"/>
        </w:rPr>
        <w:t xml:space="preserve"> A.</w:t>
      </w:r>
      <w:r w:rsidR="5A9C66DA" w:rsidRPr="007063A8">
        <w:rPr>
          <w:rFonts w:asciiTheme="minorHAnsi" w:hAnsiTheme="minorHAnsi" w:cstheme="minorHAnsi"/>
        </w:rPr>
        <w:t xml:space="preserve">, </w:t>
      </w:r>
      <w:r w:rsidRPr="007063A8">
        <w:rPr>
          <w:rFonts w:asciiTheme="minorHAnsi" w:hAnsiTheme="minorHAnsi" w:cstheme="minorHAnsi"/>
        </w:rPr>
        <w:t>1992</w:t>
      </w:r>
      <w:r w:rsidR="0B1F7E0D" w:rsidRPr="007063A8">
        <w:rPr>
          <w:rFonts w:asciiTheme="minorHAnsi" w:hAnsiTheme="minorHAnsi" w:cstheme="minorHAnsi"/>
        </w:rPr>
        <w:t xml:space="preserve">. </w:t>
      </w:r>
      <w:r w:rsidRPr="007063A8">
        <w:rPr>
          <w:rFonts w:asciiTheme="minorHAnsi" w:hAnsiTheme="minorHAnsi" w:cstheme="minorHAnsi"/>
        </w:rPr>
        <w:t>Value added reporting - Lessons for the United States, Quorum Books, Westport.</w:t>
      </w:r>
    </w:p>
    <w:p w14:paraId="2B0FA949" w14:textId="7C7AEA50" w:rsidR="00A11C8D" w:rsidRPr="007063A8" w:rsidRDefault="00A11C8D"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rPr>
        <w:t>Riahi-Belkaoui</w:t>
      </w:r>
      <w:r w:rsidR="6E162368" w:rsidRPr="007063A8">
        <w:rPr>
          <w:rFonts w:asciiTheme="minorHAnsi" w:hAnsiTheme="minorHAnsi" w:cstheme="minorHAnsi"/>
        </w:rPr>
        <w:t>,</w:t>
      </w:r>
      <w:r w:rsidRPr="007063A8">
        <w:rPr>
          <w:rFonts w:asciiTheme="minorHAnsi" w:hAnsiTheme="minorHAnsi" w:cstheme="minorHAnsi"/>
        </w:rPr>
        <w:t xml:space="preserve"> A.</w:t>
      </w:r>
      <w:r w:rsidR="25350D7F" w:rsidRPr="007063A8">
        <w:rPr>
          <w:rFonts w:asciiTheme="minorHAnsi" w:hAnsiTheme="minorHAnsi" w:cstheme="minorHAnsi"/>
        </w:rPr>
        <w:t xml:space="preserve">, </w:t>
      </w:r>
      <w:r w:rsidRPr="007063A8">
        <w:rPr>
          <w:rFonts w:asciiTheme="minorHAnsi" w:hAnsiTheme="minorHAnsi" w:cstheme="minorHAnsi"/>
        </w:rPr>
        <w:t>1996</w:t>
      </w:r>
      <w:r w:rsidR="5379CEAB" w:rsidRPr="007063A8">
        <w:rPr>
          <w:rFonts w:asciiTheme="minorHAnsi" w:hAnsiTheme="minorHAnsi" w:cstheme="minorHAnsi"/>
        </w:rPr>
        <w:t>.</w:t>
      </w:r>
      <w:r w:rsidRPr="007063A8">
        <w:rPr>
          <w:rFonts w:asciiTheme="minorHAnsi" w:hAnsiTheme="minorHAnsi" w:cstheme="minorHAnsi"/>
        </w:rPr>
        <w:t xml:space="preserve"> Performance results in Value Added Reporting, Quorum Books, Westport.</w:t>
      </w:r>
    </w:p>
    <w:p w14:paraId="12DE2DDD" w14:textId="08A27077" w:rsidR="00A11C8D" w:rsidRPr="007063A8" w:rsidRDefault="00A11C8D" w:rsidP="46A27F0A">
      <w:pPr>
        <w:widowControl/>
        <w:spacing w:line="276" w:lineRule="auto"/>
        <w:ind w:left="426" w:hanging="426"/>
        <w:jc w:val="both"/>
        <w:rPr>
          <w:rFonts w:asciiTheme="minorHAnsi" w:hAnsiTheme="minorHAnsi" w:cstheme="minorHAnsi"/>
          <w:lang w:val="it-IT"/>
        </w:rPr>
      </w:pPr>
      <w:r w:rsidRPr="007063A8">
        <w:rPr>
          <w:rFonts w:asciiTheme="minorHAnsi" w:hAnsiTheme="minorHAnsi" w:cstheme="minorHAnsi"/>
          <w:lang w:val="it-IT"/>
        </w:rPr>
        <w:t>Rispoli</w:t>
      </w:r>
      <w:r w:rsidR="0A6114D9" w:rsidRPr="007063A8">
        <w:rPr>
          <w:rFonts w:asciiTheme="minorHAnsi" w:hAnsiTheme="minorHAnsi" w:cstheme="minorHAnsi"/>
          <w:lang w:val="it-IT"/>
        </w:rPr>
        <w:t>,</w:t>
      </w:r>
      <w:r w:rsidRPr="007063A8">
        <w:rPr>
          <w:rFonts w:asciiTheme="minorHAnsi" w:hAnsiTheme="minorHAnsi" w:cstheme="minorHAnsi"/>
          <w:lang w:val="it-IT"/>
        </w:rPr>
        <w:t xml:space="preserve"> M.</w:t>
      </w:r>
      <w:r w:rsidR="3134C8B0" w:rsidRPr="007063A8">
        <w:rPr>
          <w:rFonts w:asciiTheme="minorHAnsi" w:hAnsiTheme="minorHAnsi" w:cstheme="minorHAnsi"/>
          <w:lang w:val="it-IT"/>
        </w:rPr>
        <w:t xml:space="preserve">, </w:t>
      </w:r>
      <w:r w:rsidRPr="007063A8">
        <w:rPr>
          <w:rFonts w:asciiTheme="minorHAnsi" w:hAnsiTheme="minorHAnsi" w:cstheme="minorHAnsi"/>
          <w:lang w:val="it-IT"/>
        </w:rPr>
        <w:t>1983</w:t>
      </w:r>
      <w:r w:rsidR="7C21A434" w:rsidRPr="007063A8">
        <w:rPr>
          <w:rFonts w:asciiTheme="minorHAnsi" w:hAnsiTheme="minorHAnsi" w:cstheme="minorHAnsi"/>
          <w:lang w:val="it-IT"/>
        </w:rPr>
        <w:t xml:space="preserve">. </w:t>
      </w:r>
      <w:r w:rsidRPr="007063A8">
        <w:rPr>
          <w:rFonts w:asciiTheme="minorHAnsi" w:hAnsiTheme="minorHAnsi" w:cstheme="minorHAnsi"/>
          <w:i/>
          <w:iCs/>
          <w:lang w:val="it-IT"/>
        </w:rPr>
        <w:t xml:space="preserve">Il </w:t>
      </w:r>
      <w:r w:rsidR="7A318C7C" w:rsidRPr="007063A8">
        <w:rPr>
          <w:rFonts w:asciiTheme="minorHAnsi" w:hAnsiTheme="minorHAnsi" w:cstheme="minorHAnsi"/>
          <w:i/>
          <w:iCs/>
          <w:lang w:val="it-IT"/>
        </w:rPr>
        <w:t>V</w:t>
      </w:r>
      <w:r w:rsidRPr="007063A8">
        <w:rPr>
          <w:rFonts w:asciiTheme="minorHAnsi" w:hAnsiTheme="minorHAnsi" w:cstheme="minorHAnsi"/>
          <w:i/>
          <w:iCs/>
          <w:lang w:val="it-IT"/>
        </w:rPr>
        <w:t xml:space="preserve">alore </w:t>
      </w:r>
      <w:r w:rsidR="68062D94" w:rsidRPr="007063A8">
        <w:rPr>
          <w:rFonts w:asciiTheme="minorHAnsi" w:hAnsiTheme="minorHAnsi" w:cstheme="minorHAnsi"/>
          <w:i/>
          <w:iCs/>
          <w:lang w:val="it-IT"/>
        </w:rPr>
        <w:t>A</w:t>
      </w:r>
      <w:r w:rsidRPr="007063A8">
        <w:rPr>
          <w:rFonts w:asciiTheme="minorHAnsi" w:hAnsiTheme="minorHAnsi" w:cstheme="minorHAnsi"/>
          <w:i/>
          <w:iCs/>
          <w:lang w:val="it-IT"/>
        </w:rPr>
        <w:t xml:space="preserve">ggiunto nel </w:t>
      </w:r>
      <w:r w:rsidR="1B42BAB4" w:rsidRPr="007063A8">
        <w:rPr>
          <w:rFonts w:asciiTheme="minorHAnsi" w:hAnsiTheme="minorHAnsi" w:cstheme="minorHAnsi"/>
          <w:i/>
          <w:iCs/>
          <w:lang w:val="it-IT"/>
        </w:rPr>
        <w:t>C</w:t>
      </w:r>
      <w:r w:rsidRPr="007063A8">
        <w:rPr>
          <w:rFonts w:asciiTheme="minorHAnsi" w:hAnsiTheme="minorHAnsi" w:cstheme="minorHAnsi"/>
          <w:i/>
          <w:iCs/>
          <w:lang w:val="it-IT"/>
        </w:rPr>
        <w:t xml:space="preserve">ontrollo </w:t>
      </w:r>
      <w:r w:rsidR="1DCE6438" w:rsidRPr="007063A8">
        <w:rPr>
          <w:rFonts w:asciiTheme="minorHAnsi" w:hAnsiTheme="minorHAnsi" w:cstheme="minorHAnsi"/>
          <w:i/>
          <w:iCs/>
          <w:lang w:val="it-IT"/>
        </w:rPr>
        <w:t>D</w:t>
      </w:r>
      <w:r w:rsidRPr="007063A8">
        <w:rPr>
          <w:rFonts w:asciiTheme="minorHAnsi" w:hAnsiTheme="minorHAnsi" w:cstheme="minorHAnsi"/>
          <w:i/>
          <w:iCs/>
          <w:lang w:val="it-IT"/>
        </w:rPr>
        <w:t>ella</w:t>
      </w:r>
      <w:r w:rsidR="44DD40B2" w:rsidRPr="007063A8">
        <w:rPr>
          <w:rFonts w:asciiTheme="minorHAnsi" w:hAnsiTheme="minorHAnsi" w:cstheme="minorHAnsi"/>
          <w:i/>
          <w:iCs/>
          <w:lang w:val="it-IT"/>
        </w:rPr>
        <w:t xml:space="preserve"> S</w:t>
      </w:r>
      <w:r w:rsidRPr="007063A8">
        <w:rPr>
          <w:rFonts w:asciiTheme="minorHAnsi" w:hAnsiTheme="minorHAnsi" w:cstheme="minorHAnsi"/>
          <w:i/>
          <w:iCs/>
          <w:lang w:val="it-IT"/>
        </w:rPr>
        <w:t xml:space="preserve">trategia </w:t>
      </w:r>
      <w:r w:rsidR="7C2A683E" w:rsidRPr="007063A8">
        <w:rPr>
          <w:rFonts w:asciiTheme="minorHAnsi" w:hAnsiTheme="minorHAnsi" w:cstheme="minorHAnsi"/>
          <w:i/>
          <w:iCs/>
          <w:lang w:val="it-IT"/>
        </w:rPr>
        <w:t>A</w:t>
      </w:r>
      <w:r w:rsidRPr="007063A8">
        <w:rPr>
          <w:rFonts w:asciiTheme="minorHAnsi" w:hAnsiTheme="minorHAnsi" w:cstheme="minorHAnsi"/>
          <w:i/>
          <w:iCs/>
          <w:lang w:val="it-IT"/>
        </w:rPr>
        <w:t>ziendale</w:t>
      </w:r>
      <w:r w:rsidRPr="007063A8">
        <w:rPr>
          <w:rFonts w:asciiTheme="minorHAnsi" w:hAnsiTheme="minorHAnsi" w:cstheme="minorHAnsi"/>
          <w:lang w:val="it-IT"/>
        </w:rPr>
        <w:t>, Finanza Marketing e Produzione</w:t>
      </w:r>
      <w:r w:rsidR="1B720D25" w:rsidRPr="007063A8">
        <w:rPr>
          <w:rFonts w:asciiTheme="minorHAnsi" w:hAnsiTheme="minorHAnsi" w:cstheme="minorHAnsi"/>
          <w:lang w:val="it-IT"/>
        </w:rPr>
        <w:t xml:space="preserve"> 1</w:t>
      </w:r>
      <w:r w:rsidRPr="007063A8">
        <w:rPr>
          <w:rFonts w:asciiTheme="minorHAnsi" w:hAnsiTheme="minorHAnsi" w:cstheme="minorHAnsi"/>
          <w:lang w:val="it-IT"/>
        </w:rPr>
        <w:t>, n. 4, Dicembre.</w:t>
      </w:r>
    </w:p>
    <w:p w14:paraId="2397AB7E" w14:textId="0FF4B939" w:rsidR="00415247" w:rsidRPr="007063A8" w:rsidRDefault="00316337" w:rsidP="46A27F0A">
      <w:pPr>
        <w:widowControl/>
        <w:spacing w:line="276" w:lineRule="auto"/>
        <w:ind w:left="426" w:hanging="426"/>
        <w:jc w:val="both"/>
        <w:rPr>
          <w:rFonts w:asciiTheme="minorHAnsi" w:hAnsiTheme="minorHAnsi" w:cstheme="minorHAnsi"/>
        </w:rPr>
      </w:pPr>
      <w:r w:rsidRPr="007063A8">
        <w:rPr>
          <w:rFonts w:asciiTheme="minorHAnsi" w:hAnsiTheme="minorHAnsi" w:cstheme="minorHAnsi"/>
          <w:shd w:val="clear" w:color="auto" w:fill="FFFFFF"/>
          <w:lang w:val="it-IT"/>
        </w:rPr>
        <w:t>Sarma, S. K., Kumar, K. K., Mishra, S. K.</w:t>
      </w:r>
      <w:r w:rsidR="1A3139A9" w:rsidRPr="007063A8">
        <w:rPr>
          <w:rFonts w:asciiTheme="minorHAnsi" w:hAnsiTheme="minorHAnsi" w:cstheme="minorHAnsi"/>
          <w:shd w:val="clear" w:color="auto" w:fill="FFFFFF"/>
          <w:lang w:val="it-IT"/>
        </w:rPr>
        <w:t xml:space="preserve">, </w:t>
      </w:r>
      <w:r w:rsidRPr="007063A8">
        <w:rPr>
          <w:rFonts w:asciiTheme="minorHAnsi" w:hAnsiTheme="minorHAnsi" w:cstheme="minorHAnsi"/>
          <w:shd w:val="clear" w:color="auto" w:fill="FFFFFF"/>
          <w:lang w:val="it-IT"/>
        </w:rPr>
        <w:t xml:space="preserve">2022. </w:t>
      </w:r>
      <w:r w:rsidRPr="007063A8">
        <w:rPr>
          <w:rFonts w:asciiTheme="minorHAnsi" w:hAnsiTheme="minorHAnsi" w:cstheme="minorHAnsi"/>
          <w:shd w:val="clear" w:color="auto" w:fill="FFFFFF"/>
        </w:rPr>
        <w:t xml:space="preserve">Strategic </w:t>
      </w:r>
      <w:r w:rsidR="5A083137" w:rsidRPr="007063A8">
        <w:rPr>
          <w:rFonts w:asciiTheme="minorHAnsi" w:hAnsiTheme="minorHAnsi" w:cstheme="minorHAnsi"/>
          <w:shd w:val="clear" w:color="auto" w:fill="FFFFFF"/>
        </w:rPr>
        <w:t>R</w:t>
      </w:r>
      <w:r w:rsidRPr="007063A8">
        <w:rPr>
          <w:rFonts w:asciiTheme="minorHAnsi" w:hAnsiTheme="minorHAnsi" w:cstheme="minorHAnsi"/>
          <w:shd w:val="clear" w:color="auto" w:fill="FFFFFF"/>
        </w:rPr>
        <w:t xml:space="preserve">esponse to COVID-19: </w:t>
      </w:r>
      <w:r w:rsidR="5E57105E" w:rsidRPr="007063A8">
        <w:rPr>
          <w:rFonts w:asciiTheme="minorHAnsi" w:hAnsiTheme="minorHAnsi" w:cstheme="minorHAnsi"/>
          <w:shd w:val="clear" w:color="auto" w:fill="FFFFFF"/>
        </w:rPr>
        <w:t>H</w:t>
      </w:r>
      <w:r w:rsidRPr="007063A8">
        <w:rPr>
          <w:rFonts w:asciiTheme="minorHAnsi" w:hAnsiTheme="minorHAnsi" w:cstheme="minorHAnsi"/>
          <w:shd w:val="clear" w:color="auto" w:fill="FFFFFF"/>
        </w:rPr>
        <w:t xml:space="preserve">ow </w:t>
      </w:r>
      <w:r w:rsidR="6F39D08B" w:rsidRPr="007063A8">
        <w:rPr>
          <w:rFonts w:asciiTheme="minorHAnsi" w:hAnsiTheme="minorHAnsi" w:cstheme="minorHAnsi"/>
          <w:shd w:val="clear" w:color="auto" w:fill="FFFFFF"/>
        </w:rPr>
        <w:t>D</w:t>
      </w:r>
      <w:r w:rsidRPr="007063A8">
        <w:rPr>
          <w:rFonts w:asciiTheme="minorHAnsi" w:hAnsiTheme="minorHAnsi" w:cstheme="minorHAnsi"/>
          <w:shd w:val="clear" w:color="auto" w:fill="FFFFFF"/>
        </w:rPr>
        <w:t xml:space="preserve">o </w:t>
      </w:r>
      <w:r w:rsidR="15B12C9D" w:rsidRPr="007063A8">
        <w:rPr>
          <w:rFonts w:asciiTheme="minorHAnsi" w:hAnsiTheme="minorHAnsi" w:cstheme="minorHAnsi"/>
          <w:shd w:val="clear" w:color="auto" w:fill="FFFFFF"/>
        </w:rPr>
        <w:t>S</w:t>
      </w:r>
      <w:r w:rsidRPr="007063A8">
        <w:rPr>
          <w:rFonts w:asciiTheme="minorHAnsi" w:hAnsiTheme="minorHAnsi" w:cstheme="minorHAnsi"/>
          <w:shd w:val="clear" w:color="auto" w:fill="FFFFFF"/>
        </w:rPr>
        <w:t xml:space="preserve">ocial </w:t>
      </w:r>
      <w:r w:rsidR="739701D2" w:rsidRPr="007063A8">
        <w:rPr>
          <w:rFonts w:asciiTheme="minorHAnsi" w:hAnsiTheme="minorHAnsi" w:cstheme="minorHAnsi"/>
          <w:shd w:val="clear" w:color="auto" w:fill="FFFFFF"/>
        </w:rPr>
        <w:t>E</w:t>
      </w:r>
      <w:r w:rsidRPr="007063A8">
        <w:rPr>
          <w:rFonts w:asciiTheme="minorHAnsi" w:hAnsiTheme="minorHAnsi" w:cstheme="minorHAnsi"/>
          <w:shd w:val="clear" w:color="auto" w:fill="FFFFFF"/>
        </w:rPr>
        <w:t xml:space="preserve">nterprises </w:t>
      </w:r>
      <w:r w:rsidR="0C937569" w:rsidRPr="007063A8">
        <w:rPr>
          <w:rFonts w:asciiTheme="minorHAnsi" w:hAnsiTheme="minorHAnsi" w:cstheme="minorHAnsi"/>
          <w:shd w:val="clear" w:color="auto" w:fill="FFFFFF"/>
        </w:rPr>
        <w:t>N</w:t>
      </w:r>
      <w:r w:rsidRPr="007063A8">
        <w:rPr>
          <w:rFonts w:asciiTheme="minorHAnsi" w:hAnsiTheme="minorHAnsi" w:cstheme="minorHAnsi"/>
          <w:shd w:val="clear" w:color="auto" w:fill="FFFFFF"/>
        </w:rPr>
        <w:t xml:space="preserve">avigate </w:t>
      </w:r>
      <w:r w:rsidR="26DE1959" w:rsidRPr="007063A8">
        <w:rPr>
          <w:rFonts w:asciiTheme="minorHAnsi" w:hAnsiTheme="minorHAnsi" w:cstheme="minorHAnsi"/>
          <w:shd w:val="clear" w:color="auto" w:fill="FFFFFF"/>
        </w:rPr>
        <w:t>C</w:t>
      </w:r>
      <w:r w:rsidRPr="007063A8">
        <w:rPr>
          <w:rFonts w:asciiTheme="minorHAnsi" w:hAnsiTheme="minorHAnsi" w:cstheme="minorHAnsi"/>
          <w:shd w:val="clear" w:color="auto" w:fill="FFFFFF"/>
        </w:rPr>
        <w:t xml:space="preserve">risis </w:t>
      </w:r>
      <w:r w:rsidR="2FD81C71" w:rsidRPr="007063A8">
        <w:rPr>
          <w:rFonts w:asciiTheme="minorHAnsi" w:hAnsiTheme="minorHAnsi" w:cstheme="minorHAnsi"/>
          <w:shd w:val="clear" w:color="auto" w:fill="FFFFFF"/>
        </w:rPr>
        <w:t>S</w:t>
      </w:r>
      <w:r w:rsidRPr="007063A8">
        <w:rPr>
          <w:rFonts w:asciiTheme="minorHAnsi" w:hAnsiTheme="minorHAnsi" w:cstheme="minorHAnsi"/>
          <w:shd w:val="clear" w:color="auto" w:fill="FFFFFF"/>
        </w:rPr>
        <w:t>ituations?</w:t>
      </w:r>
      <w:r w:rsidR="70DAC0DC" w:rsidRPr="007063A8">
        <w:rPr>
          <w:rFonts w:asciiTheme="minorHAnsi" w:hAnsiTheme="minorHAnsi" w:cstheme="minorHAnsi"/>
          <w:shd w:val="clear" w:color="auto" w:fill="FFFFFF"/>
        </w:rPr>
        <w:t xml:space="preserve"> </w:t>
      </w:r>
      <w:r w:rsidRPr="007063A8">
        <w:rPr>
          <w:rFonts w:asciiTheme="minorHAnsi" w:hAnsiTheme="minorHAnsi" w:cstheme="minorHAnsi"/>
        </w:rPr>
        <w:t>Social Enterprise Journal</w:t>
      </w:r>
      <w:r w:rsidRPr="007063A8">
        <w:rPr>
          <w:rFonts w:asciiTheme="minorHAnsi" w:hAnsiTheme="minorHAnsi" w:cstheme="minorHAnsi"/>
          <w:shd w:val="clear" w:color="auto" w:fill="FFFFFF"/>
        </w:rPr>
        <w:t>, (ahead-of-print)</w:t>
      </w:r>
      <w:r w:rsidRPr="007063A8">
        <w:rPr>
          <w:rFonts w:asciiTheme="minorHAnsi" w:hAnsiTheme="minorHAnsi" w:cstheme="minorHAnsi"/>
        </w:rPr>
        <w:t xml:space="preserve">. </w:t>
      </w:r>
    </w:p>
    <w:p w14:paraId="7A9A0EA1" w14:textId="342E6A09" w:rsidR="00AD1CE5" w:rsidRPr="007063A8" w:rsidRDefault="00E00634"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Santos, F. M.</w:t>
      </w:r>
      <w:r w:rsidR="2A0E2846"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2012. A Positive Theory of Social Entrepreneurship. Journal of Business Ethics</w:t>
      </w:r>
      <w:r w:rsidR="10426E11"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111, </w:t>
      </w:r>
      <w:r w:rsidR="594C1D46" w:rsidRPr="007063A8">
        <w:rPr>
          <w:rFonts w:asciiTheme="minorHAnsi" w:hAnsiTheme="minorHAnsi" w:cstheme="minorHAnsi"/>
          <w:color w:val="000000" w:themeColor="text1"/>
          <w:lang w:eastAsia="it-IT"/>
        </w:rPr>
        <w:t xml:space="preserve">p. </w:t>
      </w:r>
      <w:r w:rsidRPr="007063A8">
        <w:rPr>
          <w:rFonts w:asciiTheme="minorHAnsi" w:hAnsiTheme="minorHAnsi" w:cstheme="minorHAnsi"/>
          <w:color w:val="000000" w:themeColor="text1"/>
          <w:lang w:eastAsia="it-IT"/>
        </w:rPr>
        <w:t>335.</w:t>
      </w:r>
    </w:p>
    <w:p w14:paraId="535B51C6" w14:textId="56EE3FB8" w:rsidR="00AD1CE5" w:rsidRPr="007063A8" w:rsidRDefault="00415247"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Searing, E.A.M., Poledrini, S., Young, D.R., Nyssens, M.</w:t>
      </w:r>
      <w:r w:rsidR="0A7B40FD"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2022</w:t>
      </w:r>
      <w:r w:rsidR="50BD8EC7" w:rsidRPr="007063A8">
        <w:rPr>
          <w:rFonts w:asciiTheme="minorHAnsi" w:hAnsiTheme="minorHAnsi" w:cstheme="minorHAnsi"/>
          <w:color w:val="000000" w:themeColor="text1"/>
          <w:lang w:eastAsia="it-IT"/>
        </w:rPr>
        <w:t>.</w:t>
      </w:r>
      <w:r w:rsidRPr="007063A8">
        <w:rPr>
          <w:rFonts w:asciiTheme="minorHAnsi" w:hAnsiTheme="minorHAnsi" w:cstheme="minorHAnsi"/>
          <w:color w:val="000000" w:themeColor="text1"/>
          <w:lang w:eastAsia="it-IT"/>
        </w:rPr>
        <w:t xml:space="preserve"> The </w:t>
      </w:r>
      <w:r w:rsidR="58AC8EB2" w:rsidRPr="007063A8">
        <w:rPr>
          <w:rFonts w:asciiTheme="minorHAnsi" w:hAnsiTheme="minorHAnsi" w:cstheme="minorHAnsi"/>
          <w:color w:val="000000" w:themeColor="text1"/>
          <w:lang w:eastAsia="it-IT"/>
        </w:rPr>
        <w:t>H</w:t>
      </w:r>
      <w:r w:rsidRPr="007063A8">
        <w:rPr>
          <w:rFonts w:asciiTheme="minorHAnsi" w:hAnsiTheme="minorHAnsi" w:cstheme="minorHAnsi"/>
          <w:color w:val="000000" w:themeColor="text1"/>
          <w:lang w:eastAsia="it-IT"/>
        </w:rPr>
        <w:t xml:space="preserve">ybrid </w:t>
      </w:r>
      <w:r w:rsidR="0FB4AA69" w:rsidRPr="007063A8">
        <w:rPr>
          <w:rFonts w:asciiTheme="minorHAnsi" w:hAnsiTheme="minorHAnsi" w:cstheme="minorHAnsi"/>
          <w:color w:val="000000" w:themeColor="text1"/>
          <w:lang w:eastAsia="it-IT"/>
        </w:rPr>
        <w:t>N</w:t>
      </w:r>
      <w:r w:rsidRPr="007063A8">
        <w:rPr>
          <w:rFonts w:asciiTheme="minorHAnsi" w:hAnsiTheme="minorHAnsi" w:cstheme="minorHAnsi"/>
          <w:color w:val="000000" w:themeColor="text1"/>
          <w:lang w:eastAsia="it-IT"/>
        </w:rPr>
        <w:t xml:space="preserve">ature of </w:t>
      </w:r>
      <w:r w:rsidR="074158CD" w:rsidRPr="007063A8">
        <w:rPr>
          <w:rFonts w:asciiTheme="minorHAnsi" w:hAnsiTheme="minorHAnsi" w:cstheme="minorHAnsi"/>
          <w:color w:val="000000" w:themeColor="text1"/>
          <w:lang w:eastAsia="it-IT"/>
        </w:rPr>
        <w:t>S</w:t>
      </w:r>
      <w:r w:rsidRPr="007063A8">
        <w:rPr>
          <w:rFonts w:asciiTheme="minorHAnsi" w:hAnsiTheme="minorHAnsi" w:cstheme="minorHAnsi"/>
          <w:color w:val="000000" w:themeColor="text1"/>
          <w:lang w:eastAsia="it-IT"/>
        </w:rPr>
        <w:t xml:space="preserve">ocial </w:t>
      </w:r>
      <w:r w:rsidR="7EE49133" w:rsidRPr="007063A8">
        <w:rPr>
          <w:rFonts w:asciiTheme="minorHAnsi" w:hAnsiTheme="minorHAnsi" w:cstheme="minorHAnsi"/>
          <w:color w:val="000000" w:themeColor="text1"/>
          <w:lang w:eastAsia="it-IT"/>
        </w:rPr>
        <w:t>E</w:t>
      </w:r>
      <w:r w:rsidRPr="007063A8">
        <w:rPr>
          <w:rFonts w:asciiTheme="minorHAnsi" w:hAnsiTheme="minorHAnsi" w:cstheme="minorHAnsi"/>
          <w:color w:val="000000" w:themeColor="text1"/>
          <w:lang w:eastAsia="it-IT"/>
        </w:rPr>
        <w:t xml:space="preserve">nterprises </w:t>
      </w:r>
      <w:r w:rsidR="5FF589CB" w:rsidRPr="007063A8">
        <w:rPr>
          <w:rFonts w:asciiTheme="minorHAnsi" w:hAnsiTheme="minorHAnsi" w:cstheme="minorHAnsi"/>
          <w:color w:val="000000" w:themeColor="text1"/>
          <w:lang w:eastAsia="it-IT"/>
        </w:rPr>
        <w:t>H</w:t>
      </w:r>
      <w:r w:rsidRPr="007063A8">
        <w:rPr>
          <w:rFonts w:asciiTheme="minorHAnsi" w:hAnsiTheme="minorHAnsi" w:cstheme="minorHAnsi"/>
          <w:color w:val="000000" w:themeColor="text1"/>
          <w:lang w:eastAsia="it-IT"/>
        </w:rPr>
        <w:t xml:space="preserve">ow </w:t>
      </w:r>
      <w:r w:rsidR="5C4C0BBF" w:rsidRPr="007063A8">
        <w:rPr>
          <w:rFonts w:asciiTheme="minorHAnsi" w:hAnsiTheme="minorHAnsi" w:cstheme="minorHAnsi"/>
          <w:color w:val="000000" w:themeColor="text1"/>
          <w:lang w:eastAsia="it-IT"/>
        </w:rPr>
        <w:t>D</w:t>
      </w:r>
      <w:r w:rsidRPr="007063A8">
        <w:rPr>
          <w:rFonts w:asciiTheme="minorHAnsi" w:hAnsiTheme="minorHAnsi" w:cstheme="minorHAnsi"/>
          <w:color w:val="000000" w:themeColor="text1"/>
          <w:lang w:eastAsia="it-IT"/>
        </w:rPr>
        <w:t xml:space="preserve">oes </w:t>
      </w:r>
      <w:r w:rsidR="36203C11" w:rsidRPr="007063A8">
        <w:rPr>
          <w:rFonts w:asciiTheme="minorHAnsi" w:hAnsiTheme="minorHAnsi" w:cstheme="minorHAnsi"/>
          <w:color w:val="000000" w:themeColor="text1"/>
          <w:lang w:eastAsia="it-IT"/>
        </w:rPr>
        <w:t>It</w:t>
      </w:r>
      <w:r w:rsidRPr="007063A8">
        <w:rPr>
          <w:rFonts w:asciiTheme="minorHAnsi" w:hAnsiTheme="minorHAnsi" w:cstheme="minorHAnsi"/>
          <w:color w:val="000000" w:themeColor="text1"/>
          <w:lang w:eastAsia="it-IT"/>
        </w:rPr>
        <w:t xml:space="preserve"> </w:t>
      </w:r>
      <w:r w:rsidR="3D166973" w:rsidRPr="007063A8">
        <w:rPr>
          <w:rFonts w:asciiTheme="minorHAnsi" w:hAnsiTheme="minorHAnsi" w:cstheme="minorHAnsi"/>
          <w:color w:val="000000" w:themeColor="text1"/>
          <w:lang w:eastAsia="it-IT"/>
        </w:rPr>
        <w:t>A</w:t>
      </w:r>
      <w:r w:rsidRPr="007063A8">
        <w:rPr>
          <w:rFonts w:asciiTheme="minorHAnsi" w:hAnsiTheme="minorHAnsi" w:cstheme="minorHAnsi"/>
          <w:color w:val="000000" w:themeColor="text1"/>
          <w:lang w:eastAsia="it-IT"/>
        </w:rPr>
        <w:t xml:space="preserve">ffect </w:t>
      </w:r>
      <w:r w:rsidR="2A8352F2" w:rsidRPr="007063A8">
        <w:rPr>
          <w:rFonts w:asciiTheme="minorHAnsi" w:hAnsiTheme="minorHAnsi" w:cstheme="minorHAnsi"/>
          <w:color w:val="000000" w:themeColor="text1"/>
          <w:lang w:eastAsia="it-IT"/>
        </w:rPr>
        <w:t>T</w:t>
      </w:r>
      <w:r w:rsidRPr="007063A8">
        <w:rPr>
          <w:rFonts w:asciiTheme="minorHAnsi" w:hAnsiTheme="minorHAnsi" w:cstheme="minorHAnsi"/>
          <w:color w:val="000000" w:themeColor="text1"/>
          <w:lang w:eastAsia="it-IT"/>
        </w:rPr>
        <w:t xml:space="preserve">heir </w:t>
      </w:r>
      <w:r w:rsidR="3BD7EA93" w:rsidRPr="007063A8">
        <w:rPr>
          <w:rFonts w:asciiTheme="minorHAnsi" w:hAnsiTheme="minorHAnsi" w:cstheme="minorHAnsi"/>
          <w:color w:val="000000" w:themeColor="text1"/>
          <w:lang w:eastAsia="it-IT"/>
        </w:rPr>
        <w:t>R</w:t>
      </w:r>
      <w:r w:rsidRPr="007063A8">
        <w:rPr>
          <w:rFonts w:asciiTheme="minorHAnsi" w:hAnsiTheme="minorHAnsi" w:cstheme="minorHAnsi"/>
          <w:color w:val="000000" w:themeColor="text1"/>
          <w:lang w:eastAsia="it-IT"/>
        </w:rPr>
        <w:t xml:space="preserve">evenue </w:t>
      </w:r>
      <w:r w:rsidR="736F9678" w:rsidRPr="007063A8">
        <w:rPr>
          <w:rFonts w:asciiTheme="minorHAnsi" w:hAnsiTheme="minorHAnsi" w:cstheme="minorHAnsi"/>
          <w:color w:val="000000" w:themeColor="text1"/>
          <w:lang w:eastAsia="it-IT"/>
        </w:rPr>
        <w:t>S</w:t>
      </w:r>
      <w:r w:rsidRPr="007063A8">
        <w:rPr>
          <w:rFonts w:asciiTheme="minorHAnsi" w:hAnsiTheme="minorHAnsi" w:cstheme="minorHAnsi"/>
          <w:color w:val="000000" w:themeColor="text1"/>
          <w:lang w:eastAsia="it-IT"/>
        </w:rPr>
        <w:t xml:space="preserve">ources? Social Enterprise Journal </w:t>
      </w:r>
      <w:r w:rsidR="59032E8C" w:rsidRPr="007063A8">
        <w:rPr>
          <w:rFonts w:asciiTheme="minorHAnsi" w:hAnsiTheme="minorHAnsi" w:cstheme="minorHAnsi"/>
          <w:color w:val="000000" w:themeColor="text1"/>
          <w:lang w:eastAsia="it-IT"/>
        </w:rPr>
        <w:t>18</w:t>
      </w:r>
      <w:r w:rsidRPr="007063A8">
        <w:rPr>
          <w:rFonts w:asciiTheme="minorHAnsi" w:hAnsiTheme="minorHAnsi" w:cstheme="minorHAnsi"/>
          <w:color w:val="000000" w:themeColor="text1"/>
          <w:lang w:eastAsia="it-IT"/>
        </w:rPr>
        <w:t>, p. 321</w:t>
      </w:r>
      <w:r w:rsidR="00AD1CE5" w:rsidRPr="007063A8">
        <w:rPr>
          <w:rFonts w:asciiTheme="minorHAnsi" w:hAnsiTheme="minorHAnsi" w:cstheme="minorHAnsi"/>
          <w:color w:val="000000" w:themeColor="text1"/>
          <w:lang w:eastAsia="it-IT"/>
        </w:rPr>
        <w:t>.</w:t>
      </w:r>
    </w:p>
    <w:p w14:paraId="6966C5BB" w14:textId="155D16B0" w:rsidR="00E00634" w:rsidRPr="007063A8" w:rsidRDefault="00316337" w:rsidP="46A27F0A">
      <w:pPr>
        <w:widowControl/>
        <w:autoSpaceDE w:val="0"/>
        <w:autoSpaceDN w:val="0"/>
        <w:adjustRightInd w:val="0"/>
        <w:ind w:left="396" w:hanging="397"/>
        <w:jc w:val="both"/>
        <w:rPr>
          <w:rFonts w:asciiTheme="minorHAnsi" w:hAnsiTheme="minorHAnsi" w:cstheme="minorHAnsi"/>
          <w:color w:val="000000"/>
          <w:lang w:val="it-IT" w:eastAsia="it-IT"/>
        </w:rPr>
      </w:pPr>
      <w:r w:rsidRPr="007063A8">
        <w:rPr>
          <w:rFonts w:asciiTheme="minorHAnsi" w:hAnsiTheme="minorHAnsi" w:cstheme="minorHAnsi"/>
          <w:color w:val="000000" w:themeColor="text1"/>
          <w:lang w:eastAsia="it-IT"/>
        </w:rPr>
        <w:t xml:space="preserve">Somers, A. B., 2005. Shaping the </w:t>
      </w:r>
      <w:r w:rsidR="1094868D" w:rsidRPr="007063A8">
        <w:rPr>
          <w:rFonts w:asciiTheme="minorHAnsi" w:hAnsiTheme="minorHAnsi" w:cstheme="minorHAnsi"/>
          <w:color w:val="000000" w:themeColor="text1"/>
          <w:lang w:eastAsia="it-IT"/>
        </w:rPr>
        <w:t>B</w:t>
      </w:r>
      <w:r w:rsidRPr="007063A8">
        <w:rPr>
          <w:rFonts w:asciiTheme="minorHAnsi" w:hAnsiTheme="minorHAnsi" w:cstheme="minorHAnsi"/>
          <w:color w:val="000000" w:themeColor="text1"/>
          <w:lang w:eastAsia="it-IT"/>
        </w:rPr>
        <w:t xml:space="preserve">alanced </w:t>
      </w:r>
      <w:r w:rsidR="04E0B9D8" w:rsidRPr="007063A8">
        <w:rPr>
          <w:rFonts w:asciiTheme="minorHAnsi" w:hAnsiTheme="minorHAnsi" w:cstheme="minorHAnsi"/>
          <w:color w:val="000000" w:themeColor="text1"/>
          <w:lang w:eastAsia="it-IT"/>
        </w:rPr>
        <w:t>S</w:t>
      </w:r>
      <w:r w:rsidRPr="007063A8">
        <w:rPr>
          <w:rFonts w:asciiTheme="minorHAnsi" w:hAnsiTheme="minorHAnsi" w:cstheme="minorHAnsi"/>
          <w:color w:val="000000" w:themeColor="text1"/>
          <w:lang w:eastAsia="it-IT"/>
        </w:rPr>
        <w:t xml:space="preserve">corecard for </w:t>
      </w:r>
      <w:r w:rsidR="16039690" w:rsidRPr="007063A8">
        <w:rPr>
          <w:rFonts w:asciiTheme="minorHAnsi" w:hAnsiTheme="minorHAnsi" w:cstheme="minorHAnsi"/>
          <w:color w:val="000000" w:themeColor="text1"/>
          <w:lang w:eastAsia="it-IT"/>
        </w:rPr>
        <w:t>U</w:t>
      </w:r>
      <w:r w:rsidRPr="007063A8">
        <w:rPr>
          <w:rFonts w:asciiTheme="minorHAnsi" w:hAnsiTheme="minorHAnsi" w:cstheme="minorHAnsi"/>
          <w:color w:val="000000" w:themeColor="text1"/>
          <w:lang w:eastAsia="it-IT"/>
        </w:rPr>
        <w:t xml:space="preserve">se in UK </w:t>
      </w:r>
      <w:r w:rsidR="1F52B966" w:rsidRPr="007063A8">
        <w:rPr>
          <w:rFonts w:asciiTheme="minorHAnsi" w:hAnsiTheme="minorHAnsi" w:cstheme="minorHAnsi"/>
          <w:color w:val="000000" w:themeColor="text1"/>
          <w:lang w:eastAsia="it-IT"/>
        </w:rPr>
        <w:t>S</w:t>
      </w:r>
      <w:r w:rsidRPr="007063A8">
        <w:rPr>
          <w:rFonts w:asciiTheme="minorHAnsi" w:hAnsiTheme="minorHAnsi" w:cstheme="minorHAnsi"/>
          <w:color w:val="000000" w:themeColor="text1"/>
          <w:lang w:eastAsia="it-IT"/>
        </w:rPr>
        <w:t xml:space="preserve">ocial </w:t>
      </w:r>
      <w:r w:rsidR="2E04A3F6" w:rsidRPr="007063A8">
        <w:rPr>
          <w:rFonts w:asciiTheme="minorHAnsi" w:hAnsiTheme="minorHAnsi" w:cstheme="minorHAnsi"/>
          <w:color w:val="000000" w:themeColor="text1"/>
          <w:lang w:eastAsia="it-IT"/>
        </w:rPr>
        <w:t>E</w:t>
      </w:r>
      <w:r w:rsidRPr="007063A8">
        <w:rPr>
          <w:rFonts w:asciiTheme="minorHAnsi" w:hAnsiTheme="minorHAnsi" w:cstheme="minorHAnsi"/>
          <w:color w:val="000000" w:themeColor="text1"/>
          <w:lang w:eastAsia="it-IT"/>
        </w:rPr>
        <w:t xml:space="preserve">nterprises. </w:t>
      </w:r>
      <w:r w:rsidRPr="007063A8">
        <w:rPr>
          <w:rFonts w:asciiTheme="minorHAnsi" w:hAnsiTheme="minorHAnsi" w:cstheme="minorHAnsi"/>
          <w:color w:val="000000" w:themeColor="text1"/>
          <w:lang w:val="it-IT" w:eastAsia="it-IT"/>
        </w:rPr>
        <w:t xml:space="preserve">Social Enterprise Journal 1, </w:t>
      </w:r>
      <w:r w:rsidR="46F78C68" w:rsidRPr="007063A8">
        <w:rPr>
          <w:rFonts w:asciiTheme="minorHAnsi" w:hAnsiTheme="minorHAnsi" w:cstheme="minorHAnsi"/>
          <w:color w:val="000000" w:themeColor="text1"/>
          <w:lang w:val="it-IT" w:eastAsia="it-IT"/>
        </w:rPr>
        <w:t xml:space="preserve">p. </w:t>
      </w:r>
      <w:r w:rsidRPr="007063A8">
        <w:rPr>
          <w:rFonts w:asciiTheme="minorHAnsi" w:hAnsiTheme="minorHAnsi" w:cstheme="minorHAnsi"/>
          <w:color w:val="000000" w:themeColor="text1"/>
          <w:lang w:val="it-IT" w:eastAsia="it-IT"/>
        </w:rPr>
        <w:t>43.</w:t>
      </w:r>
    </w:p>
    <w:p w14:paraId="4F5CA88B" w14:textId="4173302D" w:rsidR="00E00634" w:rsidRPr="007063A8" w:rsidRDefault="00A11C8D" w:rsidP="00AD1CE5">
      <w:pPr>
        <w:widowControl/>
        <w:autoSpaceDE w:val="0"/>
        <w:autoSpaceDN w:val="0"/>
        <w:adjustRightInd w:val="0"/>
        <w:ind w:left="396" w:hanging="397"/>
        <w:jc w:val="both"/>
        <w:rPr>
          <w:rFonts w:asciiTheme="minorHAnsi" w:hAnsiTheme="minorHAnsi" w:cstheme="minorHAnsi"/>
          <w:color w:val="000000"/>
          <w:lang w:val="it-IT" w:eastAsia="it-IT"/>
        </w:rPr>
      </w:pPr>
      <w:r w:rsidRPr="007063A8">
        <w:rPr>
          <w:rFonts w:asciiTheme="minorHAnsi" w:hAnsiTheme="minorHAnsi" w:cstheme="minorHAnsi"/>
          <w:color w:val="000000" w:themeColor="text1"/>
          <w:lang w:val="it-IT" w:eastAsia="it-IT"/>
        </w:rPr>
        <w:t>Sostero U.</w:t>
      </w:r>
      <w:r w:rsidR="0D60C8B8" w:rsidRPr="007063A8">
        <w:rPr>
          <w:rFonts w:asciiTheme="minorHAnsi" w:hAnsiTheme="minorHAnsi" w:cstheme="minorHAnsi"/>
          <w:color w:val="000000" w:themeColor="text1"/>
          <w:lang w:val="it-IT" w:eastAsia="it-IT"/>
        </w:rPr>
        <w:t>,</w:t>
      </w:r>
      <w:r w:rsidRPr="007063A8">
        <w:rPr>
          <w:rFonts w:asciiTheme="minorHAnsi" w:hAnsiTheme="minorHAnsi" w:cstheme="minorHAnsi"/>
          <w:color w:val="000000" w:themeColor="text1"/>
          <w:lang w:val="it-IT" w:eastAsia="it-IT"/>
        </w:rPr>
        <w:t xml:space="preserve"> Ferrarese P.</w:t>
      </w:r>
      <w:r w:rsidR="1BE8CAFA" w:rsidRPr="007063A8">
        <w:rPr>
          <w:rFonts w:asciiTheme="minorHAnsi" w:hAnsiTheme="minorHAnsi" w:cstheme="minorHAnsi"/>
          <w:color w:val="000000" w:themeColor="text1"/>
          <w:lang w:val="it-IT" w:eastAsia="it-IT"/>
        </w:rPr>
        <w:t>,</w:t>
      </w:r>
      <w:r w:rsidRPr="007063A8">
        <w:rPr>
          <w:rFonts w:asciiTheme="minorHAnsi" w:hAnsiTheme="minorHAnsi" w:cstheme="minorHAnsi"/>
          <w:color w:val="000000" w:themeColor="text1"/>
          <w:lang w:val="it-IT" w:eastAsia="it-IT"/>
        </w:rPr>
        <w:t xml:space="preserve"> Mancin M.</w:t>
      </w:r>
      <w:r w:rsidR="79E8FDFD" w:rsidRPr="007063A8">
        <w:rPr>
          <w:rFonts w:asciiTheme="minorHAnsi" w:hAnsiTheme="minorHAnsi" w:cstheme="minorHAnsi"/>
          <w:color w:val="000000" w:themeColor="text1"/>
          <w:lang w:val="it-IT" w:eastAsia="it-IT"/>
        </w:rPr>
        <w:t>,</w:t>
      </w:r>
      <w:r w:rsidR="207B353E" w:rsidRPr="007063A8">
        <w:rPr>
          <w:rFonts w:asciiTheme="minorHAnsi" w:hAnsiTheme="minorHAnsi" w:cstheme="minorHAnsi"/>
          <w:color w:val="000000" w:themeColor="text1"/>
          <w:lang w:val="it-IT" w:eastAsia="it-IT"/>
        </w:rPr>
        <w:t xml:space="preserve"> </w:t>
      </w:r>
      <w:r w:rsidRPr="007063A8">
        <w:rPr>
          <w:rFonts w:asciiTheme="minorHAnsi" w:hAnsiTheme="minorHAnsi" w:cstheme="minorHAnsi"/>
          <w:color w:val="000000" w:themeColor="text1"/>
          <w:lang w:val="it-IT" w:eastAsia="it-IT"/>
        </w:rPr>
        <w:t>Marcon C.</w:t>
      </w:r>
      <w:r w:rsidR="35A4FBAF" w:rsidRPr="007063A8">
        <w:rPr>
          <w:rFonts w:asciiTheme="minorHAnsi" w:hAnsiTheme="minorHAnsi" w:cstheme="minorHAnsi"/>
          <w:color w:val="000000" w:themeColor="text1"/>
          <w:lang w:val="it-IT" w:eastAsia="it-IT"/>
        </w:rPr>
        <w:t xml:space="preserve">, </w:t>
      </w:r>
      <w:r w:rsidRPr="007063A8">
        <w:rPr>
          <w:rFonts w:asciiTheme="minorHAnsi" w:hAnsiTheme="minorHAnsi" w:cstheme="minorHAnsi"/>
          <w:color w:val="000000" w:themeColor="text1"/>
          <w:lang w:val="it-IT" w:eastAsia="it-IT"/>
        </w:rPr>
        <w:t>2016</w:t>
      </w:r>
      <w:r w:rsidR="646079F8" w:rsidRPr="007063A8">
        <w:rPr>
          <w:rFonts w:asciiTheme="minorHAnsi" w:hAnsiTheme="minorHAnsi" w:cstheme="minorHAnsi"/>
          <w:color w:val="000000" w:themeColor="text1"/>
          <w:lang w:val="it-IT" w:eastAsia="it-IT"/>
        </w:rPr>
        <w:t>.</w:t>
      </w:r>
      <w:r w:rsidRPr="007063A8">
        <w:rPr>
          <w:rFonts w:asciiTheme="minorHAnsi" w:hAnsiTheme="minorHAnsi" w:cstheme="minorHAnsi"/>
          <w:color w:val="000000" w:themeColor="text1"/>
          <w:lang w:val="it-IT" w:eastAsia="it-IT"/>
        </w:rPr>
        <w:t xml:space="preserve"> </w:t>
      </w:r>
      <w:r w:rsidRPr="007063A8">
        <w:rPr>
          <w:rFonts w:asciiTheme="minorHAnsi" w:hAnsiTheme="minorHAnsi" w:cstheme="minorHAnsi"/>
          <w:i/>
          <w:iCs/>
          <w:color w:val="000000" w:themeColor="text1"/>
          <w:lang w:val="it-IT" w:eastAsia="it-IT"/>
        </w:rPr>
        <w:t>L'analisi economico-finanziaria di bilancio</w:t>
      </w:r>
      <w:r w:rsidRPr="007063A8">
        <w:rPr>
          <w:rFonts w:asciiTheme="minorHAnsi" w:hAnsiTheme="minorHAnsi" w:cstheme="minorHAnsi"/>
          <w:color w:val="000000" w:themeColor="text1"/>
          <w:lang w:val="it-IT" w:eastAsia="it-IT"/>
        </w:rPr>
        <w:t>, Seconda Edizione, Giuffrè, Milano.</w:t>
      </w:r>
    </w:p>
    <w:p w14:paraId="21B9094D" w14:textId="6266D3D0" w:rsidR="00A11C8D" w:rsidRPr="007063A8" w:rsidRDefault="00A11C8D" w:rsidP="00AD1CE5">
      <w:pPr>
        <w:widowControl/>
        <w:autoSpaceDE w:val="0"/>
        <w:autoSpaceDN w:val="0"/>
        <w:adjustRightInd w:val="0"/>
        <w:ind w:left="396" w:hanging="397"/>
        <w:jc w:val="both"/>
        <w:rPr>
          <w:rFonts w:asciiTheme="minorHAnsi" w:hAnsiTheme="minorHAnsi" w:cstheme="minorHAnsi"/>
          <w:color w:val="000000"/>
          <w:lang w:val="it-IT" w:eastAsia="it-IT"/>
        </w:rPr>
      </w:pPr>
      <w:r w:rsidRPr="007063A8">
        <w:rPr>
          <w:rFonts w:asciiTheme="minorHAnsi" w:hAnsiTheme="minorHAnsi" w:cstheme="minorHAnsi"/>
          <w:color w:val="000000" w:themeColor="text1"/>
          <w:lang w:val="it-IT" w:eastAsia="it-IT"/>
        </w:rPr>
        <w:t>Teodori C.</w:t>
      </w:r>
      <w:r w:rsidR="26D00FA4" w:rsidRPr="007063A8">
        <w:rPr>
          <w:rFonts w:asciiTheme="minorHAnsi" w:hAnsiTheme="minorHAnsi" w:cstheme="minorHAnsi"/>
          <w:color w:val="000000" w:themeColor="text1"/>
          <w:lang w:val="it-IT" w:eastAsia="it-IT"/>
        </w:rPr>
        <w:t xml:space="preserve">, </w:t>
      </w:r>
      <w:r w:rsidRPr="007063A8">
        <w:rPr>
          <w:rFonts w:asciiTheme="minorHAnsi" w:hAnsiTheme="minorHAnsi" w:cstheme="minorHAnsi"/>
          <w:color w:val="000000" w:themeColor="text1"/>
          <w:lang w:val="it-IT" w:eastAsia="it-IT"/>
        </w:rPr>
        <w:t>2000</w:t>
      </w:r>
      <w:r w:rsidR="662AAEA3" w:rsidRPr="007063A8">
        <w:rPr>
          <w:rFonts w:asciiTheme="minorHAnsi" w:hAnsiTheme="minorHAnsi" w:cstheme="minorHAnsi"/>
          <w:color w:val="000000" w:themeColor="text1"/>
          <w:lang w:val="it-IT" w:eastAsia="it-IT"/>
        </w:rPr>
        <w:t xml:space="preserve">. </w:t>
      </w:r>
      <w:r w:rsidRPr="007063A8">
        <w:rPr>
          <w:rFonts w:asciiTheme="minorHAnsi" w:hAnsiTheme="minorHAnsi" w:cstheme="minorHAnsi"/>
          <w:i/>
          <w:iCs/>
          <w:color w:val="000000" w:themeColor="text1"/>
          <w:lang w:val="it-IT" w:eastAsia="it-IT"/>
        </w:rPr>
        <w:t>L'analisi di bilancio, Giappichelli</w:t>
      </w:r>
      <w:r w:rsidRPr="007063A8">
        <w:rPr>
          <w:rFonts w:asciiTheme="minorHAnsi" w:hAnsiTheme="minorHAnsi" w:cstheme="minorHAnsi"/>
          <w:color w:val="000000" w:themeColor="text1"/>
          <w:lang w:val="it-IT" w:eastAsia="it-IT"/>
        </w:rPr>
        <w:t>, Torino.</w:t>
      </w:r>
    </w:p>
    <w:p w14:paraId="3866C3B7" w14:textId="5BD2ABD8" w:rsidR="00BE1222" w:rsidRPr="007063A8" w:rsidRDefault="00BE1222"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222222"/>
          <w:shd w:val="clear" w:color="auto" w:fill="FFFFFF"/>
        </w:rPr>
        <w:t>Weaver, R. L.</w:t>
      </w:r>
      <w:r w:rsidR="7C2B622B" w:rsidRPr="007063A8">
        <w:rPr>
          <w:rFonts w:asciiTheme="minorHAnsi" w:hAnsiTheme="minorHAnsi" w:cstheme="minorHAnsi"/>
          <w:color w:val="222222"/>
          <w:shd w:val="clear" w:color="auto" w:fill="FFFFFF"/>
        </w:rPr>
        <w:t xml:space="preserve">, </w:t>
      </w:r>
      <w:r w:rsidRPr="007063A8">
        <w:rPr>
          <w:rFonts w:asciiTheme="minorHAnsi" w:hAnsiTheme="minorHAnsi" w:cstheme="minorHAnsi"/>
          <w:color w:val="222222"/>
          <w:shd w:val="clear" w:color="auto" w:fill="FFFFFF"/>
        </w:rPr>
        <w:t xml:space="preserve">2020. The impact of COVID-19 on the </w:t>
      </w:r>
      <w:r w:rsidR="3F2ECEF8" w:rsidRPr="007063A8">
        <w:rPr>
          <w:rFonts w:asciiTheme="minorHAnsi" w:hAnsiTheme="minorHAnsi" w:cstheme="minorHAnsi"/>
          <w:color w:val="222222"/>
          <w:shd w:val="clear" w:color="auto" w:fill="FFFFFF"/>
        </w:rPr>
        <w:t>S</w:t>
      </w:r>
      <w:r w:rsidRPr="007063A8">
        <w:rPr>
          <w:rFonts w:asciiTheme="minorHAnsi" w:hAnsiTheme="minorHAnsi" w:cstheme="minorHAnsi"/>
          <w:color w:val="222222"/>
          <w:shd w:val="clear" w:color="auto" w:fill="FFFFFF"/>
        </w:rPr>
        <w:t xml:space="preserve">ocial </w:t>
      </w:r>
      <w:r w:rsidR="09C24C45" w:rsidRPr="007063A8">
        <w:rPr>
          <w:rFonts w:asciiTheme="minorHAnsi" w:hAnsiTheme="minorHAnsi" w:cstheme="minorHAnsi"/>
          <w:color w:val="222222"/>
          <w:shd w:val="clear" w:color="auto" w:fill="FFFFFF"/>
        </w:rPr>
        <w:t>E</w:t>
      </w:r>
      <w:r w:rsidRPr="007063A8">
        <w:rPr>
          <w:rFonts w:asciiTheme="minorHAnsi" w:hAnsiTheme="minorHAnsi" w:cstheme="minorHAnsi"/>
          <w:color w:val="222222"/>
          <w:shd w:val="clear" w:color="auto" w:fill="FFFFFF"/>
        </w:rPr>
        <w:t xml:space="preserve">nterprise </w:t>
      </w:r>
      <w:r w:rsidR="7B9913D4" w:rsidRPr="007063A8">
        <w:rPr>
          <w:rFonts w:asciiTheme="minorHAnsi" w:hAnsiTheme="minorHAnsi" w:cstheme="minorHAnsi"/>
          <w:color w:val="222222"/>
          <w:shd w:val="clear" w:color="auto" w:fill="FFFFFF"/>
        </w:rPr>
        <w:t>S</w:t>
      </w:r>
      <w:r w:rsidRPr="007063A8">
        <w:rPr>
          <w:rFonts w:asciiTheme="minorHAnsi" w:hAnsiTheme="minorHAnsi" w:cstheme="minorHAnsi"/>
          <w:color w:val="222222"/>
          <w:shd w:val="clear" w:color="auto" w:fill="FFFFFF"/>
        </w:rPr>
        <w:t>ector.</w:t>
      </w:r>
      <w:r w:rsidRPr="007063A8">
        <w:rPr>
          <w:rStyle w:val="apple-converted-space"/>
          <w:rFonts w:asciiTheme="minorHAnsi" w:hAnsiTheme="minorHAnsi" w:cstheme="minorHAnsi"/>
          <w:color w:val="222222"/>
          <w:shd w:val="clear" w:color="auto" w:fill="FFFFFF"/>
        </w:rPr>
        <w:t> </w:t>
      </w:r>
      <w:r w:rsidRPr="007063A8">
        <w:rPr>
          <w:rFonts w:asciiTheme="minorHAnsi" w:hAnsiTheme="minorHAnsi" w:cstheme="minorHAnsi"/>
          <w:color w:val="222222"/>
        </w:rPr>
        <w:t>Journal of Social Entrepreneurship</w:t>
      </w:r>
      <w:r w:rsidRPr="007063A8">
        <w:rPr>
          <w:rFonts w:asciiTheme="minorHAnsi" w:hAnsiTheme="minorHAnsi" w:cstheme="minorHAnsi"/>
          <w:color w:val="222222"/>
          <w:shd w:val="clear" w:color="auto" w:fill="FFFFFF"/>
        </w:rPr>
        <w:t xml:space="preserve"> 14, </w:t>
      </w:r>
      <w:r w:rsidR="006B0D55" w:rsidRPr="007063A8">
        <w:rPr>
          <w:rFonts w:asciiTheme="minorHAnsi" w:hAnsiTheme="minorHAnsi" w:cstheme="minorHAnsi"/>
          <w:color w:val="222222"/>
          <w:shd w:val="clear" w:color="auto" w:fill="FFFFFF"/>
        </w:rPr>
        <w:t xml:space="preserve">p. </w:t>
      </w:r>
      <w:r w:rsidRPr="007063A8">
        <w:rPr>
          <w:rFonts w:asciiTheme="minorHAnsi" w:hAnsiTheme="minorHAnsi" w:cstheme="minorHAnsi"/>
          <w:color w:val="222222"/>
          <w:shd w:val="clear" w:color="auto" w:fill="FFFFFF"/>
        </w:rPr>
        <w:t>177.</w:t>
      </w:r>
    </w:p>
    <w:p w14:paraId="344AB203" w14:textId="00840761" w:rsidR="00E00634" w:rsidRPr="007063A8" w:rsidRDefault="00E00634" w:rsidP="46A27F0A">
      <w:pPr>
        <w:widowControl/>
        <w:autoSpaceDE w:val="0"/>
        <w:autoSpaceDN w:val="0"/>
        <w:adjustRightInd w:val="0"/>
        <w:ind w:left="396" w:hanging="397"/>
        <w:jc w:val="both"/>
        <w:rPr>
          <w:rFonts w:asciiTheme="minorHAnsi" w:hAnsiTheme="minorHAnsi" w:cstheme="minorHAnsi"/>
          <w:color w:val="000000"/>
          <w:lang w:eastAsia="it-IT"/>
        </w:rPr>
      </w:pPr>
      <w:r w:rsidRPr="007063A8">
        <w:rPr>
          <w:rFonts w:asciiTheme="minorHAnsi" w:hAnsiTheme="minorHAnsi" w:cstheme="minorHAnsi"/>
          <w:color w:val="000000" w:themeColor="text1"/>
          <w:lang w:eastAsia="it-IT"/>
        </w:rPr>
        <w:t>Young, D. R., Searing, E. A. M., Brewer, C. V. (Eds.).</w:t>
      </w:r>
      <w:r w:rsidR="186FE41B" w:rsidRPr="007063A8">
        <w:rPr>
          <w:rFonts w:asciiTheme="minorHAnsi" w:hAnsiTheme="minorHAnsi" w:cstheme="minorHAnsi"/>
          <w:color w:val="000000" w:themeColor="text1"/>
          <w:lang w:eastAsia="it-IT"/>
        </w:rPr>
        <w:t xml:space="preserve">, </w:t>
      </w:r>
      <w:r w:rsidRPr="007063A8">
        <w:rPr>
          <w:rFonts w:asciiTheme="minorHAnsi" w:hAnsiTheme="minorHAnsi" w:cstheme="minorHAnsi"/>
          <w:color w:val="000000" w:themeColor="text1"/>
          <w:lang w:eastAsia="it-IT"/>
        </w:rPr>
        <w:t xml:space="preserve">2016. The social </w:t>
      </w:r>
      <w:r w:rsidR="0FFF1312" w:rsidRPr="007063A8">
        <w:rPr>
          <w:rFonts w:asciiTheme="minorHAnsi" w:hAnsiTheme="minorHAnsi" w:cstheme="minorHAnsi"/>
          <w:color w:val="000000" w:themeColor="text1"/>
          <w:lang w:eastAsia="it-IT"/>
        </w:rPr>
        <w:t>E</w:t>
      </w:r>
      <w:r w:rsidRPr="007063A8">
        <w:rPr>
          <w:rFonts w:asciiTheme="minorHAnsi" w:hAnsiTheme="minorHAnsi" w:cstheme="minorHAnsi"/>
          <w:color w:val="000000" w:themeColor="text1"/>
          <w:lang w:eastAsia="it-IT"/>
        </w:rPr>
        <w:t xml:space="preserve">nterprise </w:t>
      </w:r>
      <w:r w:rsidR="0EF760A5" w:rsidRPr="007063A8">
        <w:rPr>
          <w:rFonts w:asciiTheme="minorHAnsi" w:hAnsiTheme="minorHAnsi" w:cstheme="minorHAnsi"/>
          <w:color w:val="000000" w:themeColor="text1"/>
          <w:lang w:eastAsia="it-IT"/>
        </w:rPr>
        <w:t>Z</w:t>
      </w:r>
      <w:r w:rsidRPr="007063A8">
        <w:rPr>
          <w:rFonts w:asciiTheme="minorHAnsi" w:hAnsiTheme="minorHAnsi" w:cstheme="minorHAnsi"/>
          <w:color w:val="000000" w:themeColor="text1"/>
          <w:lang w:eastAsia="it-IT"/>
        </w:rPr>
        <w:t xml:space="preserve">oo: a </w:t>
      </w:r>
      <w:r w:rsidR="2A6AB1C9" w:rsidRPr="007063A8">
        <w:rPr>
          <w:rFonts w:asciiTheme="minorHAnsi" w:hAnsiTheme="minorHAnsi" w:cstheme="minorHAnsi"/>
          <w:color w:val="000000" w:themeColor="text1"/>
          <w:lang w:eastAsia="it-IT"/>
        </w:rPr>
        <w:t>G</w:t>
      </w:r>
      <w:r w:rsidRPr="007063A8">
        <w:rPr>
          <w:rFonts w:asciiTheme="minorHAnsi" w:hAnsiTheme="minorHAnsi" w:cstheme="minorHAnsi"/>
          <w:color w:val="000000" w:themeColor="text1"/>
          <w:lang w:eastAsia="it-IT"/>
        </w:rPr>
        <w:t xml:space="preserve">uide for </w:t>
      </w:r>
      <w:r w:rsidR="6C4F092C" w:rsidRPr="007063A8">
        <w:rPr>
          <w:rFonts w:asciiTheme="minorHAnsi" w:hAnsiTheme="minorHAnsi" w:cstheme="minorHAnsi"/>
          <w:color w:val="000000" w:themeColor="text1"/>
          <w:lang w:eastAsia="it-IT"/>
        </w:rPr>
        <w:t>Perplexed S</w:t>
      </w:r>
      <w:r w:rsidRPr="007063A8">
        <w:rPr>
          <w:rFonts w:asciiTheme="minorHAnsi" w:hAnsiTheme="minorHAnsi" w:cstheme="minorHAnsi"/>
          <w:color w:val="000000" w:themeColor="text1"/>
          <w:lang w:eastAsia="it-IT"/>
        </w:rPr>
        <w:t xml:space="preserve">cholars, </w:t>
      </w:r>
      <w:r w:rsidR="5F0EA3B2" w:rsidRPr="007063A8">
        <w:rPr>
          <w:rFonts w:asciiTheme="minorHAnsi" w:hAnsiTheme="minorHAnsi" w:cstheme="minorHAnsi"/>
          <w:color w:val="000000" w:themeColor="text1"/>
          <w:lang w:eastAsia="it-IT"/>
        </w:rPr>
        <w:t>E</w:t>
      </w:r>
      <w:r w:rsidRPr="007063A8">
        <w:rPr>
          <w:rFonts w:asciiTheme="minorHAnsi" w:hAnsiTheme="minorHAnsi" w:cstheme="minorHAnsi"/>
          <w:color w:val="000000" w:themeColor="text1"/>
          <w:lang w:eastAsia="it-IT"/>
        </w:rPr>
        <w:t xml:space="preserve">ntrepreneurs, </w:t>
      </w:r>
      <w:r w:rsidR="7FDF1374" w:rsidRPr="007063A8">
        <w:rPr>
          <w:rFonts w:asciiTheme="minorHAnsi" w:hAnsiTheme="minorHAnsi" w:cstheme="minorHAnsi"/>
          <w:color w:val="000000" w:themeColor="text1"/>
          <w:lang w:eastAsia="it-IT"/>
        </w:rPr>
        <w:t>P</w:t>
      </w:r>
      <w:r w:rsidRPr="007063A8">
        <w:rPr>
          <w:rFonts w:asciiTheme="minorHAnsi" w:hAnsiTheme="minorHAnsi" w:cstheme="minorHAnsi"/>
          <w:color w:val="000000" w:themeColor="text1"/>
          <w:lang w:eastAsia="it-IT"/>
        </w:rPr>
        <w:t xml:space="preserve">hilanthropists, </w:t>
      </w:r>
      <w:r w:rsidR="3A638DFC" w:rsidRPr="007063A8">
        <w:rPr>
          <w:rFonts w:asciiTheme="minorHAnsi" w:hAnsiTheme="minorHAnsi" w:cstheme="minorHAnsi"/>
          <w:color w:val="000000" w:themeColor="text1"/>
          <w:lang w:eastAsia="it-IT"/>
        </w:rPr>
        <w:t>L</w:t>
      </w:r>
      <w:r w:rsidRPr="007063A8">
        <w:rPr>
          <w:rFonts w:asciiTheme="minorHAnsi" w:hAnsiTheme="minorHAnsi" w:cstheme="minorHAnsi"/>
          <w:color w:val="000000" w:themeColor="text1"/>
          <w:lang w:eastAsia="it-IT"/>
        </w:rPr>
        <w:t xml:space="preserve">eaders, </w:t>
      </w:r>
      <w:r w:rsidR="3A477D17" w:rsidRPr="007063A8">
        <w:rPr>
          <w:rFonts w:asciiTheme="minorHAnsi" w:hAnsiTheme="minorHAnsi" w:cstheme="minorHAnsi"/>
          <w:color w:val="000000" w:themeColor="text1"/>
          <w:lang w:eastAsia="it-IT"/>
        </w:rPr>
        <w:t>I</w:t>
      </w:r>
      <w:r w:rsidRPr="007063A8">
        <w:rPr>
          <w:rFonts w:asciiTheme="minorHAnsi" w:hAnsiTheme="minorHAnsi" w:cstheme="minorHAnsi"/>
          <w:color w:val="000000" w:themeColor="text1"/>
          <w:lang w:eastAsia="it-IT"/>
        </w:rPr>
        <w:t xml:space="preserve">nvestors, and </w:t>
      </w:r>
      <w:r w:rsidR="669B6A5F" w:rsidRPr="007063A8">
        <w:rPr>
          <w:rFonts w:asciiTheme="minorHAnsi" w:hAnsiTheme="minorHAnsi" w:cstheme="minorHAnsi"/>
          <w:color w:val="000000" w:themeColor="text1"/>
          <w:lang w:eastAsia="it-IT"/>
        </w:rPr>
        <w:t>P</w:t>
      </w:r>
      <w:r w:rsidRPr="007063A8">
        <w:rPr>
          <w:rFonts w:asciiTheme="minorHAnsi" w:hAnsiTheme="minorHAnsi" w:cstheme="minorHAnsi"/>
          <w:color w:val="000000" w:themeColor="text1"/>
          <w:lang w:eastAsia="it-IT"/>
        </w:rPr>
        <w:t>olicymakers. Edward Elgar Publishing.</w:t>
      </w:r>
    </w:p>
    <w:p w14:paraId="6A1EA1DD" w14:textId="1FA7942E" w:rsidR="0004116C" w:rsidRPr="007063A8" w:rsidRDefault="0004116C" w:rsidP="46A27F0A">
      <w:pPr>
        <w:widowControl/>
        <w:pBdr>
          <w:top w:val="nil"/>
          <w:left w:val="nil"/>
          <w:bottom w:val="nil"/>
          <w:right w:val="nil"/>
          <w:between w:val="nil"/>
        </w:pBdr>
        <w:tabs>
          <w:tab w:val="left" w:pos="1980"/>
        </w:tabs>
        <w:spacing w:line="276" w:lineRule="auto"/>
        <w:ind w:left="426" w:hanging="426"/>
        <w:jc w:val="both"/>
        <w:rPr>
          <w:rFonts w:asciiTheme="minorHAnsi" w:eastAsia="Calibri" w:hAnsiTheme="minorHAnsi" w:cstheme="minorHAnsi"/>
          <w:color w:val="FF0000"/>
        </w:rPr>
      </w:pPr>
    </w:p>
    <w:sectPr w:rsidR="0004116C" w:rsidRPr="007063A8" w:rsidSect="00567B01">
      <w:pgSz w:w="10773" w:h="14742"/>
      <w:pgMar w:top="1440" w:right="1440" w:bottom="1440" w:left="1440" w:header="510" w:footer="90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DC28" w14:textId="77777777" w:rsidR="006A62CD" w:rsidRDefault="006A62CD">
      <w:r>
        <w:separator/>
      </w:r>
    </w:p>
  </w:endnote>
  <w:endnote w:type="continuationSeparator" w:id="0">
    <w:p w14:paraId="6605D009" w14:textId="77777777" w:rsidR="006A62CD" w:rsidRDefault="006A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4293" w14:textId="77777777" w:rsidR="00400389" w:rsidRDefault="00400389">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EAB" w14:textId="77777777" w:rsidR="00400389" w:rsidRDefault="00400389">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13D4" w14:textId="77777777" w:rsidR="00400389" w:rsidRDefault="00400389">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E4C5" w14:textId="77777777" w:rsidR="006A62CD" w:rsidRDefault="006A62CD">
      <w:r>
        <w:separator/>
      </w:r>
    </w:p>
  </w:footnote>
  <w:footnote w:type="continuationSeparator" w:id="0">
    <w:p w14:paraId="2C6FD795" w14:textId="77777777" w:rsidR="006A62CD" w:rsidRDefault="006A62CD">
      <w:r>
        <w:continuationSeparator/>
      </w:r>
    </w:p>
  </w:footnote>
  <w:footnote w:id="1">
    <w:p w14:paraId="66EE4CBC" w14:textId="77777777" w:rsidR="00400389" w:rsidRPr="007063A8" w:rsidRDefault="00400389" w:rsidP="007549BF">
      <w:pPr>
        <w:pStyle w:val="FootnoteText"/>
        <w:jc w:val="both"/>
        <w:rPr>
          <w:rFonts w:ascii="Times New Roman" w:hAnsi="Times New Roman"/>
          <w:sz w:val="16"/>
          <w:szCs w:val="18"/>
        </w:rPr>
      </w:pPr>
      <w:r w:rsidRPr="007063A8">
        <w:rPr>
          <w:rStyle w:val="FootnoteReference"/>
          <w:rFonts w:ascii="Times New Roman" w:hAnsi="Times New Roman"/>
          <w:sz w:val="16"/>
          <w:szCs w:val="18"/>
        </w:rPr>
        <w:footnoteRef/>
      </w:r>
      <w:r w:rsidRPr="007063A8">
        <w:rPr>
          <w:rFonts w:ascii="Times New Roman" w:hAnsi="Times New Roman"/>
          <w:sz w:val="16"/>
          <w:szCs w:val="18"/>
        </w:rPr>
        <w:t xml:space="preserve"> AIDA is a database created by Bureau Van Dijk (</w:t>
      </w:r>
      <w:hyperlink r:id="rId1" w:history="1">
        <w:r w:rsidRPr="007063A8">
          <w:rPr>
            <w:rStyle w:val="Hyperlink"/>
            <w:rFonts w:ascii="Times New Roman" w:hAnsi="Times New Roman"/>
            <w:szCs w:val="18"/>
          </w:rPr>
          <w:t>http://bvcinfo.com</w:t>
        </w:r>
      </w:hyperlink>
      <w:r w:rsidRPr="007063A8">
        <w:rPr>
          <w:rFonts w:ascii="Times New Roman" w:hAnsi="Times New Roman"/>
          <w:sz w:val="16"/>
          <w:szCs w:val="18"/>
        </w:rPr>
        <w:t>): it collects economic, financial and contact data of Italian companies.</w:t>
      </w:r>
    </w:p>
  </w:footnote>
  <w:footnote w:id="2">
    <w:p w14:paraId="5F02B0D2" w14:textId="77777777" w:rsidR="00400389" w:rsidRPr="00F51590" w:rsidRDefault="00400389" w:rsidP="007549BF">
      <w:pPr>
        <w:pStyle w:val="FootnoteText"/>
        <w:jc w:val="both"/>
        <w:rPr>
          <w:rFonts w:asciiTheme="minorHAnsi" w:hAnsiTheme="minorHAnsi" w:cstheme="minorHAnsi"/>
          <w:sz w:val="16"/>
          <w:szCs w:val="18"/>
        </w:rPr>
      </w:pPr>
      <w:r w:rsidRPr="007063A8">
        <w:rPr>
          <w:rStyle w:val="FootnoteReference"/>
          <w:rFonts w:ascii="Times New Roman" w:hAnsi="Times New Roman"/>
          <w:sz w:val="16"/>
          <w:szCs w:val="18"/>
        </w:rPr>
        <w:footnoteRef/>
      </w:r>
      <w:r w:rsidRPr="007063A8">
        <w:rPr>
          <w:rFonts w:ascii="Times New Roman" w:hAnsi="Times New Roman"/>
          <w:sz w:val="16"/>
          <w:szCs w:val="18"/>
        </w:rPr>
        <w:t xml:space="preserve"> ATECO is a type of classification adopted by the Italian National Institute of Statistics (ISTAT). It is used for national statistical revelations of an economic nature and represents the nomenclature of economic activities (NACE) created by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8FF0" w14:textId="54B39C62" w:rsidR="00400389" w:rsidRDefault="00400389">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D232AA">
      <w:rPr>
        <w:i/>
        <w:noProof/>
        <w:color w:val="000000"/>
        <w:sz w:val="16"/>
        <w:szCs w:val="16"/>
      </w:rPr>
      <w:t>4</w:t>
    </w:r>
    <w:r>
      <w:rPr>
        <w:i/>
        <w:color w:val="000000"/>
        <w:sz w:val="16"/>
        <w:szCs w:val="16"/>
      </w:rPr>
      <w:fldChar w:fldCharType="end"/>
    </w:r>
  </w:p>
  <w:p w14:paraId="0A61B4BF" w14:textId="77777777" w:rsidR="00400389" w:rsidRDefault="00400389">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3FAD" w14:textId="0C7B8750" w:rsidR="00400389" w:rsidRDefault="00400389">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D232AA">
      <w:rPr>
        <w:i/>
        <w:noProof/>
        <w:color w:val="000000"/>
        <w:sz w:val="16"/>
        <w:szCs w:val="16"/>
      </w:rPr>
      <w:t>3</w:t>
    </w:r>
    <w:r>
      <w:rPr>
        <w:i/>
        <w:color w:val="000000"/>
        <w:sz w:val="16"/>
        <w:szCs w:val="16"/>
      </w:rPr>
      <w:fldChar w:fldCharType="end"/>
    </w:r>
  </w:p>
  <w:p w14:paraId="30309E60" w14:textId="77777777" w:rsidR="00400389" w:rsidRDefault="00400389">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431C" w14:textId="77777777" w:rsidR="00400389" w:rsidRDefault="00400389">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140C6975" w14:textId="77777777" w:rsidR="00400389" w:rsidRDefault="00400389">
    <w:pPr>
      <w:widowControl/>
      <w:pBdr>
        <w:top w:val="nil"/>
        <w:left w:val="nil"/>
        <w:bottom w:val="nil"/>
        <w:right w:val="nil"/>
        <w:between w:val="nil"/>
      </w:pBdr>
      <w:tabs>
        <w:tab w:val="center" w:pos="4706"/>
        <w:tab w:val="right" w:pos="9356"/>
      </w:tabs>
      <w:spacing w:after="240"/>
      <w:rPr>
        <w:i/>
        <w:color w:val="000000"/>
        <w:sz w:val="16"/>
        <w:szCs w:val="16"/>
      </w:rPr>
    </w:pPr>
  </w:p>
</w:hdr>
</file>

<file path=word/intelligence2.xml><?xml version="1.0" encoding="utf-8"?>
<int2:intelligence xmlns:int2="http://schemas.microsoft.com/office/intelligence/2020/intelligence" xmlns:oel="http://schemas.microsoft.com/office/2019/extlst">
  <int2:observations>
    <int2:textHash int2:hashCode="kfvcWodEzjtJ45" int2:id="QWVTOW3e">
      <int2:state int2:value="Rejected" int2:type="AugLoop_Text_Critique"/>
    </int2:textHash>
    <int2:textHash int2:hashCode="q1F+ydmYx6m5DR" int2:id="cmpCS70g">
      <int2:state int2:value="Rejected" int2:type="AugLoop_Text_Critique"/>
    </int2:textHash>
    <int2:textHash int2:hashCode="Qq600vGBOoBCt4" int2:id="YTeNhOyB">
      <int2:state int2:value="Rejected" int2:type="AugLoop_Text_Critique"/>
    </int2:textHash>
    <int2:textHash int2:hashCode="P3iyOlw0U6KTr7" int2:id="jS4bTf7h">
      <int2:state int2:value="Rejected" int2:type="AugLoop_Text_Critique"/>
    </int2:textHash>
    <int2:textHash int2:hashCode="Dy/Vgr1GMTET0s" int2:id="6zDHtXt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F1E"/>
    <w:multiLevelType w:val="hybridMultilevel"/>
    <w:tmpl w:val="BEB481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14BF"/>
    <w:multiLevelType w:val="hybridMultilevel"/>
    <w:tmpl w:val="0C18422C"/>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21822"/>
    <w:multiLevelType w:val="hybridMultilevel"/>
    <w:tmpl w:val="2B6AD462"/>
    <w:lvl w:ilvl="0" w:tplc="0409000F">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884B6D"/>
    <w:multiLevelType w:val="multilevel"/>
    <w:tmpl w:val="8D7407A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0EFF0DE8"/>
    <w:multiLevelType w:val="hybridMultilevel"/>
    <w:tmpl w:val="461C01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6A11"/>
    <w:multiLevelType w:val="hybridMultilevel"/>
    <w:tmpl w:val="9B9E9FDE"/>
    <w:lvl w:ilvl="0" w:tplc="EFD0879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89609E"/>
    <w:multiLevelType w:val="hybridMultilevel"/>
    <w:tmpl w:val="BC8E46A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64FB5"/>
    <w:multiLevelType w:val="hybridMultilevel"/>
    <w:tmpl w:val="C0B68AD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440BB0"/>
    <w:multiLevelType w:val="hybridMultilevel"/>
    <w:tmpl w:val="15FCC706"/>
    <w:lvl w:ilvl="0" w:tplc="1FE61BF4">
      <w:numFmt w:val="bullet"/>
      <w:lvlText w:val="-"/>
      <w:lvlJc w:val="left"/>
      <w:pPr>
        <w:tabs>
          <w:tab w:val="num" w:pos="454"/>
        </w:tabs>
        <w:ind w:left="454" w:hanging="341"/>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77C05A6"/>
    <w:multiLevelType w:val="hybridMultilevel"/>
    <w:tmpl w:val="B4D265E4"/>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B8619E"/>
    <w:multiLevelType w:val="hybridMultilevel"/>
    <w:tmpl w:val="D2B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E5BD2"/>
    <w:multiLevelType w:val="hybridMultilevel"/>
    <w:tmpl w:val="672A15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848A8"/>
    <w:multiLevelType w:val="hybridMultilevel"/>
    <w:tmpl w:val="368ABD5C"/>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CDA29AE"/>
    <w:multiLevelType w:val="hybridMultilevel"/>
    <w:tmpl w:val="5CE4FE52"/>
    <w:lvl w:ilvl="0" w:tplc="EFD08794">
      <w:numFmt w:val="bullet"/>
      <w:lvlText w:val="-"/>
      <w:lvlJc w:val="left"/>
      <w:pPr>
        <w:tabs>
          <w:tab w:val="num" w:pos="360"/>
        </w:tabs>
        <w:ind w:left="360" w:hanging="360"/>
      </w:pPr>
      <w:rPr>
        <w:rFonts w:ascii="Calibri" w:eastAsiaTheme="minorHAnsi" w:hAnsi="Calibri" w:cs="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A285E"/>
    <w:multiLevelType w:val="multilevel"/>
    <w:tmpl w:val="8FCCFDCC"/>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2E053D"/>
    <w:multiLevelType w:val="hybridMultilevel"/>
    <w:tmpl w:val="248A4EC2"/>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93C3C5D"/>
    <w:multiLevelType w:val="hybridMultilevel"/>
    <w:tmpl w:val="9ABE0206"/>
    <w:lvl w:ilvl="0" w:tplc="EFD0879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7519B6"/>
    <w:multiLevelType w:val="hybridMultilevel"/>
    <w:tmpl w:val="F60A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62754"/>
    <w:multiLevelType w:val="multilevel"/>
    <w:tmpl w:val="EB4E9500"/>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4C3971CF"/>
    <w:multiLevelType w:val="hybridMultilevel"/>
    <w:tmpl w:val="C680D628"/>
    <w:lvl w:ilvl="0" w:tplc="1FE61BF4">
      <w:numFmt w:val="bullet"/>
      <w:lvlText w:val="-"/>
      <w:lvlJc w:val="left"/>
      <w:pPr>
        <w:tabs>
          <w:tab w:val="num" w:pos="454"/>
        </w:tabs>
        <w:ind w:left="454" w:hanging="341"/>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2E26A6"/>
    <w:multiLevelType w:val="multilevel"/>
    <w:tmpl w:val="B8BA2F80"/>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54963457"/>
    <w:multiLevelType w:val="hybridMultilevel"/>
    <w:tmpl w:val="73504D0C"/>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69B38CC"/>
    <w:multiLevelType w:val="hybridMultilevel"/>
    <w:tmpl w:val="653E61D4"/>
    <w:lvl w:ilvl="0" w:tplc="F42CEA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15C6E"/>
    <w:multiLevelType w:val="hybridMultilevel"/>
    <w:tmpl w:val="892E0E46"/>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8D62299"/>
    <w:multiLevelType w:val="hybridMultilevel"/>
    <w:tmpl w:val="12F6D49E"/>
    <w:lvl w:ilvl="0" w:tplc="F42CEA7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E761B2"/>
    <w:multiLevelType w:val="hybridMultilevel"/>
    <w:tmpl w:val="97A049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9369B"/>
    <w:multiLevelType w:val="multilevel"/>
    <w:tmpl w:val="1B90C88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7" w15:restartNumberingAfterBreak="0">
    <w:nsid w:val="796974FB"/>
    <w:multiLevelType w:val="hybridMultilevel"/>
    <w:tmpl w:val="AB46446A"/>
    <w:lvl w:ilvl="0" w:tplc="2D94FE92">
      <w:numFmt w:val="bullet"/>
      <w:lvlText w:val="-"/>
      <w:lvlJc w:val="left"/>
      <w:pPr>
        <w:ind w:left="360" w:hanging="360"/>
      </w:pPr>
      <w:rPr>
        <w:rFonts w:ascii="Calibri" w:eastAsia="Times New Roman" w:hAnsi="Calibri" w:cs="Calibri"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A2C3925"/>
    <w:multiLevelType w:val="multilevel"/>
    <w:tmpl w:val="218A0C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6607A3"/>
    <w:multiLevelType w:val="hybridMultilevel"/>
    <w:tmpl w:val="6C3C94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3914">
    <w:abstractNumId w:val="26"/>
  </w:num>
  <w:num w:numId="2" w16cid:durableId="571163779">
    <w:abstractNumId w:val="3"/>
  </w:num>
  <w:num w:numId="3" w16cid:durableId="273100113">
    <w:abstractNumId w:val="18"/>
  </w:num>
  <w:num w:numId="4" w16cid:durableId="1930771393">
    <w:abstractNumId w:val="20"/>
  </w:num>
  <w:num w:numId="5" w16cid:durableId="2085907849">
    <w:abstractNumId w:val="14"/>
  </w:num>
  <w:num w:numId="6" w16cid:durableId="767238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999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2087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505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597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049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979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5211046">
    <w:abstractNumId w:val="19"/>
  </w:num>
  <w:num w:numId="14" w16cid:durableId="1227646135">
    <w:abstractNumId w:val="8"/>
  </w:num>
  <w:num w:numId="15" w16cid:durableId="1045787277">
    <w:abstractNumId w:val="16"/>
  </w:num>
  <w:num w:numId="16" w16cid:durableId="1904214605">
    <w:abstractNumId w:val="5"/>
  </w:num>
  <w:num w:numId="17" w16cid:durableId="204605780">
    <w:abstractNumId w:val="13"/>
  </w:num>
  <w:num w:numId="18" w16cid:durableId="1717468775">
    <w:abstractNumId w:val="27"/>
  </w:num>
  <w:num w:numId="19" w16cid:durableId="574365919">
    <w:abstractNumId w:val="22"/>
  </w:num>
  <w:num w:numId="20" w16cid:durableId="1521704423">
    <w:abstractNumId w:val="15"/>
  </w:num>
  <w:num w:numId="21" w16cid:durableId="428038611">
    <w:abstractNumId w:val="12"/>
  </w:num>
  <w:num w:numId="22" w16cid:durableId="698318065">
    <w:abstractNumId w:val="23"/>
  </w:num>
  <w:num w:numId="23" w16cid:durableId="1525709913">
    <w:abstractNumId w:val="21"/>
  </w:num>
  <w:num w:numId="24" w16cid:durableId="462233292">
    <w:abstractNumId w:val="1"/>
  </w:num>
  <w:num w:numId="25" w16cid:durableId="447093297">
    <w:abstractNumId w:val="24"/>
  </w:num>
  <w:num w:numId="26" w16cid:durableId="2071222039">
    <w:abstractNumId w:val="9"/>
  </w:num>
  <w:num w:numId="27" w16cid:durableId="2011641276">
    <w:abstractNumId w:val="7"/>
  </w:num>
  <w:num w:numId="28" w16cid:durableId="765996909">
    <w:abstractNumId w:val="10"/>
  </w:num>
  <w:num w:numId="29" w16cid:durableId="1075708974">
    <w:abstractNumId w:val="17"/>
  </w:num>
  <w:num w:numId="30" w16cid:durableId="916012370">
    <w:abstractNumId w:val="2"/>
  </w:num>
  <w:num w:numId="31" w16cid:durableId="1926108746">
    <w:abstractNumId w:val="11"/>
  </w:num>
  <w:num w:numId="32" w16cid:durableId="950016958">
    <w:abstractNumId w:val="4"/>
  </w:num>
  <w:num w:numId="33" w16cid:durableId="1553154895">
    <w:abstractNumId w:val="29"/>
  </w:num>
  <w:num w:numId="34" w16cid:durableId="728967196">
    <w:abstractNumId w:val="25"/>
  </w:num>
  <w:num w:numId="35" w16cid:durableId="1629968316">
    <w:abstractNumId w:val="28"/>
  </w:num>
  <w:num w:numId="36" w16cid:durableId="404645899">
    <w:abstractNumId w:val="0"/>
  </w:num>
  <w:num w:numId="37" w16cid:durableId="8977152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DQztjA2BUJDQyUdpeDU4uLM/DyQAsNaAFhohQwsAAAA"/>
  </w:docVars>
  <w:rsids>
    <w:rsidRoot w:val="0004116C"/>
    <w:rsid w:val="00015340"/>
    <w:rsid w:val="00020F80"/>
    <w:rsid w:val="00035C26"/>
    <w:rsid w:val="0004116C"/>
    <w:rsid w:val="0004297E"/>
    <w:rsid w:val="00042B7E"/>
    <w:rsid w:val="000444B1"/>
    <w:rsid w:val="00051760"/>
    <w:rsid w:val="000520C1"/>
    <w:rsid w:val="00056B9B"/>
    <w:rsid w:val="00060B69"/>
    <w:rsid w:val="00062303"/>
    <w:rsid w:val="00080C6C"/>
    <w:rsid w:val="0009110D"/>
    <w:rsid w:val="00092899"/>
    <w:rsid w:val="000A2307"/>
    <w:rsid w:val="000A752E"/>
    <w:rsid w:val="000E30E3"/>
    <w:rsid w:val="000F6E44"/>
    <w:rsid w:val="00102933"/>
    <w:rsid w:val="00115C02"/>
    <w:rsid w:val="001258CF"/>
    <w:rsid w:val="0016593D"/>
    <w:rsid w:val="00187A0D"/>
    <w:rsid w:val="001A077E"/>
    <w:rsid w:val="001A59FC"/>
    <w:rsid w:val="001B1450"/>
    <w:rsid w:val="001D7175"/>
    <w:rsid w:val="001E0DB1"/>
    <w:rsid w:val="001E60DC"/>
    <w:rsid w:val="001F27E5"/>
    <w:rsid w:val="002077EE"/>
    <w:rsid w:val="00210A6F"/>
    <w:rsid w:val="002400FF"/>
    <w:rsid w:val="0026399F"/>
    <w:rsid w:val="0027276D"/>
    <w:rsid w:val="00293BD0"/>
    <w:rsid w:val="00295D58"/>
    <w:rsid w:val="002A4173"/>
    <w:rsid w:val="002B2A9D"/>
    <w:rsid w:val="002B7CBF"/>
    <w:rsid w:val="002B7D17"/>
    <w:rsid w:val="002D3406"/>
    <w:rsid w:val="002E5EC0"/>
    <w:rsid w:val="002E6BBC"/>
    <w:rsid w:val="0031005F"/>
    <w:rsid w:val="00316337"/>
    <w:rsid w:val="00321440"/>
    <w:rsid w:val="00326E80"/>
    <w:rsid w:val="00343ECA"/>
    <w:rsid w:val="003514D8"/>
    <w:rsid w:val="00392E06"/>
    <w:rsid w:val="00392E39"/>
    <w:rsid w:val="00393D0A"/>
    <w:rsid w:val="003B04F6"/>
    <w:rsid w:val="003B374E"/>
    <w:rsid w:val="003D1077"/>
    <w:rsid w:val="003D1B1A"/>
    <w:rsid w:val="003D4CDF"/>
    <w:rsid w:val="003E2A3B"/>
    <w:rsid w:val="00400389"/>
    <w:rsid w:val="00412DA7"/>
    <w:rsid w:val="00415247"/>
    <w:rsid w:val="00432DC8"/>
    <w:rsid w:val="00461201"/>
    <w:rsid w:val="004850BA"/>
    <w:rsid w:val="004F7722"/>
    <w:rsid w:val="0053A8B3"/>
    <w:rsid w:val="00554BA6"/>
    <w:rsid w:val="005653EA"/>
    <w:rsid w:val="00567B01"/>
    <w:rsid w:val="00585570"/>
    <w:rsid w:val="005B6A5E"/>
    <w:rsid w:val="005C0C64"/>
    <w:rsid w:val="005C28FC"/>
    <w:rsid w:val="005C398E"/>
    <w:rsid w:val="005C4C70"/>
    <w:rsid w:val="005F57AB"/>
    <w:rsid w:val="006231BF"/>
    <w:rsid w:val="0062651E"/>
    <w:rsid w:val="00635772"/>
    <w:rsid w:val="00643445"/>
    <w:rsid w:val="006502A1"/>
    <w:rsid w:val="006753A8"/>
    <w:rsid w:val="00676C5E"/>
    <w:rsid w:val="00697A2B"/>
    <w:rsid w:val="006A3DDA"/>
    <w:rsid w:val="006A62CD"/>
    <w:rsid w:val="006B04A1"/>
    <w:rsid w:val="006B0D55"/>
    <w:rsid w:val="006B5AE2"/>
    <w:rsid w:val="006C4A27"/>
    <w:rsid w:val="006C59A3"/>
    <w:rsid w:val="006D0527"/>
    <w:rsid w:val="006D35A8"/>
    <w:rsid w:val="006E07F4"/>
    <w:rsid w:val="0070259D"/>
    <w:rsid w:val="007062DC"/>
    <w:rsid w:val="007063A8"/>
    <w:rsid w:val="00706DE2"/>
    <w:rsid w:val="00715A64"/>
    <w:rsid w:val="00717FC4"/>
    <w:rsid w:val="00730B20"/>
    <w:rsid w:val="00735D0A"/>
    <w:rsid w:val="00750EB3"/>
    <w:rsid w:val="007549BF"/>
    <w:rsid w:val="00766AF5"/>
    <w:rsid w:val="0079516D"/>
    <w:rsid w:val="007A42B7"/>
    <w:rsid w:val="007B0E9B"/>
    <w:rsid w:val="007B514A"/>
    <w:rsid w:val="007B5E10"/>
    <w:rsid w:val="007E1069"/>
    <w:rsid w:val="007E2DA9"/>
    <w:rsid w:val="007E58BB"/>
    <w:rsid w:val="007F7CD4"/>
    <w:rsid w:val="0081013C"/>
    <w:rsid w:val="00844E40"/>
    <w:rsid w:val="00860997"/>
    <w:rsid w:val="00867FF2"/>
    <w:rsid w:val="00874C7F"/>
    <w:rsid w:val="008A0210"/>
    <w:rsid w:val="008D74AB"/>
    <w:rsid w:val="008E17E3"/>
    <w:rsid w:val="008E34A3"/>
    <w:rsid w:val="00900637"/>
    <w:rsid w:val="009317CA"/>
    <w:rsid w:val="0093364A"/>
    <w:rsid w:val="00933C93"/>
    <w:rsid w:val="00935615"/>
    <w:rsid w:val="00943A30"/>
    <w:rsid w:val="00962C11"/>
    <w:rsid w:val="00971CBE"/>
    <w:rsid w:val="009740A3"/>
    <w:rsid w:val="009904AB"/>
    <w:rsid w:val="00990F25"/>
    <w:rsid w:val="00994415"/>
    <w:rsid w:val="009B20CA"/>
    <w:rsid w:val="00A0601F"/>
    <w:rsid w:val="00A10F72"/>
    <w:rsid w:val="00A11C8D"/>
    <w:rsid w:val="00A147D7"/>
    <w:rsid w:val="00A45018"/>
    <w:rsid w:val="00A47772"/>
    <w:rsid w:val="00A50811"/>
    <w:rsid w:val="00A513B7"/>
    <w:rsid w:val="00AA4C35"/>
    <w:rsid w:val="00AD1CE5"/>
    <w:rsid w:val="00AE18EA"/>
    <w:rsid w:val="00AE400E"/>
    <w:rsid w:val="00B145B6"/>
    <w:rsid w:val="00B30697"/>
    <w:rsid w:val="00B50AF4"/>
    <w:rsid w:val="00B579B7"/>
    <w:rsid w:val="00B6713E"/>
    <w:rsid w:val="00B73CA5"/>
    <w:rsid w:val="00B8294B"/>
    <w:rsid w:val="00B82A02"/>
    <w:rsid w:val="00BA628A"/>
    <w:rsid w:val="00BA6817"/>
    <w:rsid w:val="00BB1CA1"/>
    <w:rsid w:val="00BC48CC"/>
    <w:rsid w:val="00BC6539"/>
    <w:rsid w:val="00BD4EE6"/>
    <w:rsid w:val="00BE1222"/>
    <w:rsid w:val="00C10EAC"/>
    <w:rsid w:val="00C24873"/>
    <w:rsid w:val="00C264F4"/>
    <w:rsid w:val="00C36908"/>
    <w:rsid w:val="00C514B5"/>
    <w:rsid w:val="00C53424"/>
    <w:rsid w:val="00C744C0"/>
    <w:rsid w:val="00C77A56"/>
    <w:rsid w:val="00C80858"/>
    <w:rsid w:val="00CA24C0"/>
    <w:rsid w:val="00CA52B9"/>
    <w:rsid w:val="00CC49B9"/>
    <w:rsid w:val="00D09C3B"/>
    <w:rsid w:val="00D12A33"/>
    <w:rsid w:val="00D232AA"/>
    <w:rsid w:val="00D3176B"/>
    <w:rsid w:val="00D45D75"/>
    <w:rsid w:val="00D50990"/>
    <w:rsid w:val="00D63805"/>
    <w:rsid w:val="00D66ACC"/>
    <w:rsid w:val="00D80559"/>
    <w:rsid w:val="00DA3A2F"/>
    <w:rsid w:val="00DD6718"/>
    <w:rsid w:val="00DD7802"/>
    <w:rsid w:val="00DE7C06"/>
    <w:rsid w:val="00DE7D0B"/>
    <w:rsid w:val="00E00634"/>
    <w:rsid w:val="00E1465F"/>
    <w:rsid w:val="00E238CC"/>
    <w:rsid w:val="00E52596"/>
    <w:rsid w:val="00E72AD4"/>
    <w:rsid w:val="00E72CBC"/>
    <w:rsid w:val="00E74F04"/>
    <w:rsid w:val="00E811F8"/>
    <w:rsid w:val="00EB7B8F"/>
    <w:rsid w:val="00ED7810"/>
    <w:rsid w:val="00EF2D39"/>
    <w:rsid w:val="00F32156"/>
    <w:rsid w:val="00F47144"/>
    <w:rsid w:val="00F51590"/>
    <w:rsid w:val="00F516EF"/>
    <w:rsid w:val="00F53618"/>
    <w:rsid w:val="00F604E3"/>
    <w:rsid w:val="00F671A6"/>
    <w:rsid w:val="00F81026"/>
    <w:rsid w:val="00F82D69"/>
    <w:rsid w:val="00FB520C"/>
    <w:rsid w:val="00FB5C7E"/>
    <w:rsid w:val="00FC72E3"/>
    <w:rsid w:val="00FD7720"/>
    <w:rsid w:val="00FE1D4B"/>
    <w:rsid w:val="00FE51F9"/>
    <w:rsid w:val="01018B59"/>
    <w:rsid w:val="0116B241"/>
    <w:rsid w:val="015BED47"/>
    <w:rsid w:val="01793888"/>
    <w:rsid w:val="01900651"/>
    <w:rsid w:val="01BFDC5C"/>
    <w:rsid w:val="01DCFB3D"/>
    <w:rsid w:val="0254E635"/>
    <w:rsid w:val="028DCE8C"/>
    <w:rsid w:val="028E82EE"/>
    <w:rsid w:val="03525321"/>
    <w:rsid w:val="0357A63F"/>
    <w:rsid w:val="03D986E0"/>
    <w:rsid w:val="041F74C0"/>
    <w:rsid w:val="043A4A8E"/>
    <w:rsid w:val="0442E0E6"/>
    <w:rsid w:val="04C344C7"/>
    <w:rsid w:val="04C65CC6"/>
    <w:rsid w:val="04E0B9D8"/>
    <w:rsid w:val="04F7F370"/>
    <w:rsid w:val="051B51D6"/>
    <w:rsid w:val="05462C9D"/>
    <w:rsid w:val="055DF15C"/>
    <w:rsid w:val="05827BF0"/>
    <w:rsid w:val="05949573"/>
    <w:rsid w:val="0598F9CA"/>
    <w:rsid w:val="064F44A0"/>
    <w:rsid w:val="06CCED54"/>
    <w:rsid w:val="06CFAA69"/>
    <w:rsid w:val="074158CD"/>
    <w:rsid w:val="07720F22"/>
    <w:rsid w:val="07D8082E"/>
    <w:rsid w:val="08280E25"/>
    <w:rsid w:val="08581510"/>
    <w:rsid w:val="0868BDB5"/>
    <w:rsid w:val="08725B80"/>
    <w:rsid w:val="0925C2F8"/>
    <w:rsid w:val="096ED3F9"/>
    <w:rsid w:val="097EEF30"/>
    <w:rsid w:val="0996118F"/>
    <w:rsid w:val="09C24C45"/>
    <w:rsid w:val="09F136FB"/>
    <w:rsid w:val="09F23F1F"/>
    <w:rsid w:val="0A074B2B"/>
    <w:rsid w:val="0A6114D9"/>
    <w:rsid w:val="0A7B40FD"/>
    <w:rsid w:val="0ABE9FF8"/>
    <w:rsid w:val="0AF200D2"/>
    <w:rsid w:val="0B1F7E0D"/>
    <w:rsid w:val="0BA05E77"/>
    <w:rsid w:val="0BBB2BC8"/>
    <w:rsid w:val="0BEF12F1"/>
    <w:rsid w:val="0C0F7977"/>
    <w:rsid w:val="0C7AAA6B"/>
    <w:rsid w:val="0C836EC2"/>
    <w:rsid w:val="0C937569"/>
    <w:rsid w:val="0CAD5DFC"/>
    <w:rsid w:val="0D60C8B8"/>
    <w:rsid w:val="0DB5B103"/>
    <w:rsid w:val="0DB785E5"/>
    <w:rsid w:val="0DE174A5"/>
    <w:rsid w:val="0DF68D08"/>
    <w:rsid w:val="0E6B2E78"/>
    <w:rsid w:val="0E89B25D"/>
    <w:rsid w:val="0EAF81C0"/>
    <w:rsid w:val="0ECCD81A"/>
    <w:rsid w:val="0ED82CAF"/>
    <w:rsid w:val="0EDC362E"/>
    <w:rsid w:val="0EE09A94"/>
    <w:rsid w:val="0EF760A5"/>
    <w:rsid w:val="0F00D000"/>
    <w:rsid w:val="0F649194"/>
    <w:rsid w:val="0F748588"/>
    <w:rsid w:val="0F748F54"/>
    <w:rsid w:val="0F7BA062"/>
    <w:rsid w:val="0F7E47B6"/>
    <w:rsid w:val="0FB4AA69"/>
    <w:rsid w:val="0FCB89E9"/>
    <w:rsid w:val="0FE7C065"/>
    <w:rsid w:val="0FFF1312"/>
    <w:rsid w:val="1015228E"/>
    <w:rsid w:val="10426E11"/>
    <w:rsid w:val="1057CD5F"/>
    <w:rsid w:val="1094868D"/>
    <w:rsid w:val="10FA8674"/>
    <w:rsid w:val="10FB9A7C"/>
    <w:rsid w:val="10FC6586"/>
    <w:rsid w:val="120C2F40"/>
    <w:rsid w:val="121CB785"/>
    <w:rsid w:val="125E5475"/>
    <w:rsid w:val="1283606D"/>
    <w:rsid w:val="13032AAB"/>
    <w:rsid w:val="130F0B20"/>
    <w:rsid w:val="13B8ED22"/>
    <w:rsid w:val="13C3BC06"/>
    <w:rsid w:val="147FBABB"/>
    <w:rsid w:val="1488C807"/>
    <w:rsid w:val="149EFB0C"/>
    <w:rsid w:val="151447A6"/>
    <w:rsid w:val="1529EA7B"/>
    <w:rsid w:val="159D05AA"/>
    <w:rsid w:val="15B12C9D"/>
    <w:rsid w:val="15C4B921"/>
    <w:rsid w:val="15C9BE77"/>
    <w:rsid w:val="15D7426D"/>
    <w:rsid w:val="15FFE80D"/>
    <w:rsid w:val="16039690"/>
    <w:rsid w:val="16539EE4"/>
    <w:rsid w:val="165701E9"/>
    <w:rsid w:val="16BFF073"/>
    <w:rsid w:val="17187C4B"/>
    <w:rsid w:val="1723CA6B"/>
    <w:rsid w:val="17C068C9"/>
    <w:rsid w:val="17C45A3E"/>
    <w:rsid w:val="186FE41B"/>
    <w:rsid w:val="18FC59E3"/>
    <w:rsid w:val="1920DC1F"/>
    <w:rsid w:val="1A3139A9"/>
    <w:rsid w:val="1A964BB8"/>
    <w:rsid w:val="1ABCAC80"/>
    <w:rsid w:val="1AE7662C"/>
    <w:rsid w:val="1B42BAB4"/>
    <w:rsid w:val="1B4F655A"/>
    <w:rsid w:val="1B720D25"/>
    <w:rsid w:val="1B72D1F2"/>
    <w:rsid w:val="1BC11CD0"/>
    <w:rsid w:val="1BE8CAFA"/>
    <w:rsid w:val="1BEFD3B6"/>
    <w:rsid w:val="1C4ADB92"/>
    <w:rsid w:val="1C676E42"/>
    <w:rsid w:val="1C85016C"/>
    <w:rsid w:val="1CC7976B"/>
    <w:rsid w:val="1CCF11B5"/>
    <w:rsid w:val="1CE4222E"/>
    <w:rsid w:val="1CF3B68C"/>
    <w:rsid w:val="1D6A2F8E"/>
    <w:rsid w:val="1D8E4B51"/>
    <w:rsid w:val="1D9A7DAD"/>
    <w:rsid w:val="1D9B25EE"/>
    <w:rsid w:val="1DCE6438"/>
    <w:rsid w:val="1DD366BA"/>
    <w:rsid w:val="1DEF4C57"/>
    <w:rsid w:val="1E14EE4E"/>
    <w:rsid w:val="1E8F7AAB"/>
    <w:rsid w:val="1F52B966"/>
    <w:rsid w:val="1F5F7B9C"/>
    <w:rsid w:val="1F659A5B"/>
    <w:rsid w:val="1F681738"/>
    <w:rsid w:val="1FC74802"/>
    <w:rsid w:val="1FD9F0AC"/>
    <w:rsid w:val="2013E9CD"/>
    <w:rsid w:val="207B353E"/>
    <w:rsid w:val="207EFCE1"/>
    <w:rsid w:val="20E18BA4"/>
    <w:rsid w:val="20E3F820"/>
    <w:rsid w:val="20EF38B5"/>
    <w:rsid w:val="20FF955F"/>
    <w:rsid w:val="210F64DD"/>
    <w:rsid w:val="2124B2D9"/>
    <w:rsid w:val="2170A485"/>
    <w:rsid w:val="217DE3CD"/>
    <w:rsid w:val="218ACDE1"/>
    <w:rsid w:val="21C2E85D"/>
    <w:rsid w:val="21EBF0D3"/>
    <w:rsid w:val="21EF4526"/>
    <w:rsid w:val="224AE90C"/>
    <w:rsid w:val="22CEFE80"/>
    <w:rsid w:val="22D94FB4"/>
    <w:rsid w:val="231040E8"/>
    <w:rsid w:val="2319B42E"/>
    <w:rsid w:val="2339CCF7"/>
    <w:rsid w:val="236522F1"/>
    <w:rsid w:val="2390B08A"/>
    <w:rsid w:val="2399C1AD"/>
    <w:rsid w:val="23E59F4B"/>
    <w:rsid w:val="23F6DE63"/>
    <w:rsid w:val="24183626"/>
    <w:rsid w:val="24281131"/>
    <w:rsid w:val="243EE01F"/>
    <w:rsid w:val="245A2774"/>
    <w:rsid w:val="247B84B2"/>
    <w:rsid w:val="2485AE99"/>
    <w:rsid w:val="25331BCC"/>
    <w:rsid w:val="25350D7F"/>
    <w:rsid w:val="25657F83"/>
    <w:rsid w:val="2570C60D"/>
    <w:rsid w:val="25852FEE"/>
    <w:rsid w:val="258BC008"/>
    <w:rsid w:val="263519BE"/>
    <w:rsid w:val="26D00FA4"/>
    <w:rsid w:val="26D19CF7"/>
    <w:rsid w:val="26DE1959"/>
    <w:rsid w:val="26E6B50E"/>
    <w:rsid w:val="278E63E9"/>
    <w:rsid w:val="27F088D6"/>
    <w:rsid w:val="27F6C7DF"/>
    <w:rsid w:val="27F7D003"/>
    <w:rsid w:val="28859595"/>
    <w:rsid w:val="28D27EEC"/>
    <w:rsid w:val="28D33DA2"/>
    <w:rsid w:val="28EF0A05"/>
    <w:rsid w:val="294FAF84"/>
    <w:rsid w:val="296F817D"/>
    <w:rsid w:val="297314CC"/>
    <w:rsid w:val="297B43F5"/>
    <w:rsid w:val="29999911"/>
    <w:rsid w:val="2A0E2846"/>
    <w:rsid w:val="2A38DDBB"/>
    <w:rsid w:val="2A62F8B9"/>
    <w:rsid w:val="2A6AB1C9"/>
    <w:rsid w:val="2A8352F2"/>
    <w:rsid w:val="2B3ACCD6"/>
    <w:rsid w:val="2B3C47AA"/>
    <w:rsid w:val="2B937CCD"/>
    <w:rsid w:val="2B9A7BD1"/>
    <w:rsid w:val="2BD61E84"/>
    <w:rsid w:val="2C177E00"/>
    <w:rsid w:val="2C1B316C"/>
    <w:rsid w:val="2C2FD0FA"/>
    <w:rsid w:val="2D72CEAE"/>
    <w:rsid w:val="2DB52E4B"/>
    <w:rsid w:val="2DB701CD"/>
    <w:rsid w:val="2E04A3F6"/>
    <w:rsid w:val="2E10B7C3"/>
    <w:rsid w:val="2E2262FC"/>
    <w:rsid w:val="2E761006"/>
    <w:rsid w:val="2EA93DB1"/>
    <w:rsid w:val="2EE8B0A2"/>
    <w:rsid w:val="2F66AD91"/>
    <w:rsid w:val="2F90D0D0"/>
    <w:rsid w:val="2FD81C71"/>
    <w:rsid w:val="3070EB4F"/>
    <w:rsid w:val="3134C8B0"/>
    <w:rsid w:val="315DF581"/>
    <w:rsid w:val="31E95944"/>
    <w:rsid w:val="320D5676"/>
    <w:rsid w:val="3233B57D"/>
    <w:rsid w:val="3236C338"/>
    <w:rsid w:val="323CB4E8"/>
    <w:rsid w:val="3279810F"/>
    <w:rsid w:val="32A69426"/>
    <w:rsid w:val="33729CCC"/>
    <w:rsid w:val="33E189CB"/>
    <w:rsid w:val="33F40DB3"/>
    <w:rsid w:val="34933165"/>
    <w:rsid w:val="34DCA66A"/>
    <w:rsid w:val="3509B33C"/>
    <w:rsid w:val="35148136"/>
    <w:rsid w:val="358FAA31"/>
    <w:rsid w:val="35A4FBAF"/>
    <w:rsid w:val="36203C11"/>
    <w:rsid w:val="3636CAB9"/>
    <w:rsid w:val="36607311"/>
    <w:rsid w:val="36706F38"/>
    <w:rsid w:val="367A2F35"/>
    <w:rsid w:val="36DEA642"/>
    <w:rsid w:val="3711BE54"/>
    <w:rsid w:val="37285364"/>
    <w:rsid w:val="378603BA"/>
    <w:rsid w:val="37CC9D06"/>
    <w:rsid w:val="37EF9CE6"/>
    <w:rsid w:val="385FA2E3"/>
    <w:rsid w:val="38624E8C"/>
    <w:rsid w:val="38C5AD3E"/>
    <w:rsid w:val="391708A6"/>
    <w:rsid w:val="39358E38"/>
    <w:rsid w:val="3955010E"/>
    <w:rsid w:val="39C3EB30"/>
    <w:rsid w:val="39E98DF1"/>
    <w:rsid w:val="39F120CA"/>
    <w:rsid w:val="39FF3FFE"/>
    <w:rsid w:val="3A477D17"/>
    <w:rsid w:val="3A638DFC"/>
    <w:rsid w:val="3AA37FCE"/>
    <w:rsid w:val="3AB78D1F"/>
    <w:rsid w:val="3B383B87"/>
    <w:rsid w:val="3B537AC2"/>
    <w:rsid w:val="3B7B98C6"/>
    <w:rsid w:val="3BB87B36"/>
    <w:rsid w:val="3BC9B03A"/>
    <w:rsid w:val="3BD7EA93"/>
    <w:rsid w:val="3C14C93D"/>
    <w:rsid w:val="3C3942BC"/>
    <w:rsid w:val="3CAA27B1"/>
    <w:rsid w:val="3CEA2856"/>
    <w:rsid w:val="3D166973"/>
    <w:rsid w:val="3D71966C"/>
    <w:rsid w:val="3DE18705"/>
    <w:rsid w:val="3DEB3951"/>
    <w:rsid w:val="3DF22289"/>
    <w:rsid w:val="3E4EFE69"/>
    <w:rsid w:val="3E556979"/>
    <w:rsid w:val="3F2ECEF8"/>
    <w:rsid w:val="3F61B27C"/>
    <w:rsid w:val="3F70E37E"/>
    <w:rsid w:val="3F8F1A20"/>
    <w:rsid w:val="3FA3509E"/>
    <w:rsid w:val="403DFD76"/>
    <w:rsid w:val="403F169B"/>
    <w:rsid w:val="4055DA08"/>
    <w:rsid w:val="40DF152D"/>
    <w:rsid w:val="411658BA"/>
    <w:rsid w:val="41664084"/>
    <w:rsid w:val="4181862B"/>
    <w:rsid w:val="419E4D95"/>
    <w:rsid w:val="41A43714"/>
    <w:rsid w:val="42163B78"/>
    <w:rsid w:val="42543208"/>
    <w:rsid w:val="428944E7"/>
    <w:rsid w:val="42AF2801"/>
    <w:rsid w:val="42B1C362"/>
    <w:rsid w:val="4326A476"/>
    <w:rsid w:val="436A1F92"/>
    <w:rsid w:val="4372C02B"/>
    <w:rsid w:val="43908B14"/>
    <w:rsid w:val="443F6E62"/>
    <w:rsid w:val="44DD40B2"/>
    <w:rsid w:val="44E015AE"/>
    <w:rsid w:val="454DDC3A"/>
    <w:rsid w:val="45A5498C"/>
    <w:rsid w:val="45B6A99D"/>
    <w:rsid w:val="45D27600"/>
    <w:rsid w:val="45DC53F9"/>
    <w:rsid w:val="460EC0B3"/>
    <w:rsid w:val="4688F649"/>
    <w:rsid w:val="468E96DD"/>
    <w:rsid w:val="46A27F0A"/>
    <w:rsid w:val="46BF0BFE"/>
    <w:rsid w:val="46F78C68"/>
    <w:rsid w:val="47866AC9"/>
    <w:rsid w:val="47F88021"/>
    <w:rsid w:val="48CB7533"/>
    <w:rsid w:val="497482C8"/>
    <w:rsid w:val="4A0C437C"/>
    <w:rsid w:val="4A214D5D"/>
    <w:rsid w:val="4A45CF99"/>
    <w:rsid w:val="4A64B2BB"/>
    <w:rsid w:val="4B1F8F9C"/>
    <w:rsid w:val="4B938257"/>
    <w:rsid w:val="4BC95317"/>
    <w:rsid w:val="4C020AD3"/>
    <w:rsid w:val="4C0AAD00"/>
    <w:rsid w:val="4C19BAC6"/>
    <w:rsid w:val="4CD6D7D0"/>
    <w:rsid w:val="4CF63879"/>
    <w:rsid w:val="4D54F210"/>
    <w:rsid w:val="4D55842D"/>
    <w:rsid w:val="4DA6DAE5"/>
    <w:rsid w:val="4DCF6624"/>
    <w:rsid w:val="4DF61D6C"/>
    <w:rsid w:val="4E4AB5EF"/>
    <w:rsid w:val="4E8BD65F"/>
    <w:rsid w:val="4EB5E730"/>
    <w:rsid w:val="4EBDA1DF"/>
    <w:rsid w:val="4EDAD592"/>
    <w:rsid w:val="4EE70F7E"/>
    <w:rsid w:val="4F1A652C"/>
    <w:rsid w:val="4F239D6D"/>
    <w:rsid w:val="502EF8C8"/>
    <w:rsid w:val="50BD8EC7"/>
    <w:rsid w:val="50DF1B9C"/>
    <w:rsid w:val="50E195A8"/>
    <w:rsid w:val="50F82327"/>
    <w:rsid w:val="5123F083"/>
    <w:rsid w:val="514E06E6"/>
    <w:rsid w:val="5232B2C4"/>
    <w:rsid w:val="523CFA76"/>
    <w:rsid w:val="526272CD"/>
    <w:rsid w:val="53361453"/>
    <w:rsid w:val="5379CEAB"/>
    <w:rsid w:val="54801661"/>
    <w:rsid w:val="54A0C668"/>
    <w:rsid w:val="5534BAB7"/>
    <w:rsid w:val="553EB7DC"/>
    <w:rsid w:val="55776235"/>
    <w:rsid w:val="55C3DF4B"/>
    <w:rsid w:val="55EB1B68"/>
    <w:rsid w:val="562D3787"/>
    <w:rsid w:val="5657D070"/>
    <w:rsid w:val="56C3FF5F"/>
    <w:rsid w:val="56C5D1CD"/>
    <w:rsid w:val="56DD7C9A"/>
    <w:rsid w:val="575CE3DD"/>
    <w:rsid w:val="5777A8AB"/>
    <w:rsid w:val="579E686A"/>
    <w:rsid w:val="57E691D3"/>
    <w:rsid w:val="57EE5890"/>
    <w:rsid w:val="582564FB"/>
    <w:rsid w:val="5836BE89"/>
    <w:rsid w:val="585C60BB"/>
    <w:rsid w:val="58AC8EB2"/>
    <w:rsid w:val="58FB800D"/>
    <w:rsid w:val="59032E8C"/>
    <w:rsid w:val="5922BC2A"/>
    <w:rsid w:val="593DE42C"/>
    <w:rsid w:val="594C1D46"/>
    <w:rsid w:val="59557F3E"/>
    <w:rsid w:val="59C2875E"/>
    <w:rsid w:val="59E170EE"/>
    <w:rsid w:val="59E8FB44"/>
    <w:rsid w:val="59F0A622"/>
    <w:rsid w:val="5A083137"/>
    <w:rsid w:val="5A17B723"/>
    <w:rsid w:val="5A6F4F91"/>
    <w:rsid w:val="5A9C66DA"/>
    <w:rsid w:val="5B439AEB"/>
    <w:rsid w:val="5B79BB63"/>
    <w:rsid w:val="5B7C3AE1"/>
    <w:rsid w:val="5C01C074"/>
    <w:rsid w:val="5C173B5D"/>
    <w:rsid w:val="5C4C0BBF"/>
    <w:rsid w:val="5CB9D37F"/>
    <w:rsid w:val="5CEAC964"/>
    <w:rsid w:val="5CFD966F"/>
    <w:rsid w:val="5D43E5C8"/>
    <w:rsid w:val="5D6EC097"/>
    <w:rsid w:val="5DB5C8D3"/>
    <w:rsid w:val="5DE5C742"/>
    <w:rsid w:val="5E0F467F"/>
    <w:rsid w:val="5E57105E"/>
    <w:rsid w:val="5E6933A5"/>
    <w:rsid w:val="5EBB29AD"/>
    <w:rsid w:val="5F0EA3B2"/>
    <w:rsid w:val="5F32B5AD"/>
    <w:rsid w:val="5F4AAE3A"/>
    <w:rsid w:val="5FAE857F"/>
    <w:rsid w:val="5FB2CC9F"/>
    <w:rsid w:val="5FF589CB"/>
    <w:rsid w:val="5FFE0211"/>
    <w:rsid w:val="60237370"/>
    <w:rsid w:val="602F9375"/>
    <w:rsid w:val="60361ED0"/>
    <w:rsid w:val="604D8B8D"/>
    <w:rsid w:val="606A16A6"/>
    <w:rsid w:val="607E4D87"/>
    <w:rsid w:val="613ED14B"/>
    <w:rsid w:val="615DA905"/>
    <w:rsid w:val="6166038D"/>
    <w:rsid w:val="6197BA2C"/>
    <w:rsid w:val="6225A6C6"/>
    <w:rsid w:val="62702BB3"/>
    <w:rsid w:val="62F95FEB"/>
    <w:rsid w:val="6305F316"/>
    <w:rsid w:val="630B5591"/>
    <w:rsid w:val="63755E92"/>
    <w:rsid w:val="6383E6F1"/>
    <w:rsid w:val="63A1B768"/>
    <w:rsid w:val="63C9B304"/>
    <w:rsid w:val="643BE798"/>
    <w:rsid w:val="646079F8"/>
    <w:rsid w:val="64795D80"/>
    <w:rsid w:val="64EBCB58"/>
    <w:rsid w:val="650EC2E1"/>
    <w:rsid w:val="6579742C"/>
    <w:rsid w:val="65B19931"/>
    <w:rsid w:val="65CCC9EB"/>
    <w:rsid w:val="65D20801"/>
    <w:rsid w:val="65EBC76B"/>
    <w:rsid w:val="662AAEA3"/>
    <w:rsid w:val="664D8ECE"/>
    <w:rsid w:val="66688042"/>
    <w:rsid w:val="6678000D"/>
    <w:rsid w:val="669B6A5F"/>
    <w:rsid w:val="66B76ACA"/>
    <w:rsid w:val="66C13ADA"/>
    <w:rsid w:val="66C724E5"/>
    <w:rsid w:val="672EF0CE"/>
    <w:rsid w:val="674D6992"/>
    <w:rsid w:val="674ED510"/>
    <w:rsid w:val="67CA7717"/>
    <w:rsid w:val="67EA04AE"/>
    <w:rsid w:val="68062D94"/>
    <w:rsid w:val="681917F0"/>
    <w:rsid w:val="68263317"/>
    <w:rsid w:val="68485508"/>
    <w:rsid w:val="685C002E"/>
    <w:rsid w:val="68D161AA"/>
    <w:rsid w:val="68F19080"/>
    <w:rsid w:val="690224E8"/>
    <w:rsid w:val="69274323"/>
    <w:rsid w:val="69B250D4"/>
    <w:rsid w:val="69E1EE45"/>
    <w:rsid w:val="69F7EB91"/>
    <w:rsid w:val="69FA32FD"/>
    <w:rsid w:val="69FB36E9"/>
    <w:rsid w:val="6A7B03B5"/>
    <w:rsid w:val="6ABC6331"/>
    <w:rsid w:val="6B39DA72"/>
    <w:rsid w:val="6B4BE1E7"/>
    <w:rsid w:val="6BF6FF8B"/>
    <w:rsid w:val="6C4F092C"/>
    <w:rsid w:val="6C9ADFF4"/>
    <w:rsid w:val="6CCA536A"/>
    <w:rsid w:val="6CED4989"/>
    <w:rsid w:val="6CFC1B3A"/>
    <w:rsid w:val="6D1AF537"/>
    <w:rsid w:val="6D1F5230"/>
    <w:rsid w:val="6D21221A"/>
    <w:rsid w:val="6D5828CE"/>
    <w:rsid w:val="6DA145F4"/>
    <w:rsid w:val="6DABD946"/>
    <w:rsid w:val="6DF2379B"/>
    <w:rsid w:val="6E162368"/>
    <w:rsid w:val="6E94372E"/>
    <w:rsid w:val="6E9DDC3F"/>
    <w:rsid w:val="6F0827E6"/>
    <w:rsid w:val="6F39D08B"/>
    <w:rsid w:val="6F47A9A7"/>
    <w:rsid w:val="6F7D7DCA"/>
    <w:rsid w:val="703DDDAF"/>
    <w:rsid w:val="70425794"/>
    <w:rsid w:val="70465D8E"/>
    <w:rsid w:val="70DAC0DC"/>
    <w:rsid w:val="70E19A19"/>
    <w:rsid w:val="70FB4393"/>
    <w:rsid w:val="71314873"/>
    <w:rsid w:val="719D7BA3"/>
    <w:rsid w:val="71BAB2D6"/>
    <w:rsid w:val="71C180A7"/>
    <w:rsid w:val="71E1776B"/>
    <w:rsid w:val="7214D97C"/>
    <w:rsid w:val="729D6A8B"/>
    <w:rsid w:val="72CE8763"/>
    <w:rsid w:val="731023F9"/>
    <w:rsid w:val="736F9678"/>
    <w:rsid w:val="7379F856"/>
    <w:rsid w:val="739200ED"/>
    <w:rsid w:val="739701D2"/>
    <w:rsid w:val="73B0A9DD"/>
    <w:rsid w:val="73C1E315"/>
    <w:rsid w:val="74469653"/>
    <w:rsid w:val="7448EB36"/>
    <w:rsid w:val="7458C217"/>
    <w:rsid w:val="746C3A3B"/>
    <w:rsid w:val="748F130C"/>
    <w:rsid w:val="74E33C0E"/>
    <w:rsid w:val="755FE20C"/>
    <w:rsid w:val="75E7A2F3"/>
    <w:rsid w:val="765B9DA8"/>
    <w:rsid w:val="766AEEE3"/>
    <w:rsid w:val="76943C2F"/>
    <w:rsid w:val="76970911"/>
    <w:rsid w:val="76D37860"/>
    <w:rsid w:val="76F594FA"/>
    <w:rsid w:val="775AA912"/>
    <w:rsid w:val="7770F45F"/>
    <w:rsid w:val="77898FF9"/>
    <w:rsid w:val="7828E0A0"/>
    <w:rsid w:val="784D6979"/>
    <w:rsid w:val="786B8A04"/>
    <w:rsid w:val="787E5976"/>
    <w:rsid w:val="78804335"/>
    <w:rsid w:val="78E5D21B"/>
    <w:rsid w:val="790200D7"/>
    <w:rsid w:val="79412C6C"/>
    <w:rsid w:val="79505E19"/>
    <w:rsid w:val="7971FC2A"/>
    <w:rsid w:val="797FDCB1"/>
    <w:rsid w:val="79914819"/>
    <w:rsid w:val="79E8FDFD"/>
    <w:rsid w:val="79FB773D"/>
    <w:rsid w:val="7A318C7C"/>
    <w:rsid w:val="7A9249D4"/>
    <w:rsid w:val="7A9688AB"/>
    <w:rsid w:val="7A9B9977"/>
    <w:rsid w:val="7B01153B"/>
    <w:rsid w:val="7B2C7F47"/>
    <w:rsid w:val="7B850A3B"/>
    <w:rsid w:val="7B9913D4"/>
    <w:rsid w:val="7BAF34B6"/>
    <w:rsid w:val="7BEF4D9D"/>
    <w:rsid w:val="7BF9ADFB"/>
    <w:rsid w:val="7C21A434"/>
    <w:rsid w:val="7C2A683E"/>
    <w:rsid w:val="7C2B622B"/>
    <w:rsid w:val="7C49E3E2"/>
    <w:rsid w:val="7C56E477"/>
    <w:rsid w:val="7C8B4BB5"/>
    <w:rsid w:val="7C98B061"/>
    <w:rsid w:val="7CA17931"/>
    <w:rsid w:val="7D6DC3B8"/>
    <w:rsid w:val="7DFCE54A"/>
    <w:rsid w:val="7E607CA3"/>
    <w:rsid w:val="7E786642"/>
    <w:rsid w:val="7EA7108A"/>
    <w:rsid w:val="7EE49133"/>
    <w:rsid w:val="7EE72004"/>
    <w:rsid w:val="7EF44D3E"/>
    <w:rsid w:val="7FDF1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2608"/>
  <w15:docId w15:val="{1D329D47-549C-47EE-941C-472FAF04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rPr>
      <w:vertAlign w:val="superscript"/>
    </w:rPr>
  </w:style>
  <w:style w:type="paragraph" w:styleId="FootnoteText">
    <w:name w:val="footnote text"/>
    <w:aliases w:val="Testo nota a piè di pagina franco angeli,Testo nota a piè di pagina1,Testo nota a piè di pagina Carattere1, Carattere Carattere1,Testo nota a piè di pagina franco angeli1,stile 1,Footnote,Footnote1,Footnote2,Footnote3"/>
    <w:basedOn w:val="Normal"/>
    <w:link w:val="FootnoteTextChar"/>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NormalWeb">
    <w:name w:val="Normal (Web)"/>
    <w:basedOn w:val="Normal"/>
    <w:uiPriority w:val="99"/>
    <w:unhideWhenUsed/>
    <w:rsid w:val="00DD7802"/>
    <w:pPr>
      <w:widowControl/>
      <w:spacing w:before="100" w:beforeAutospacing="1" w:after="100" w:afterAutospacing="1"/>
    </w:pPr>
    <w:rPr>
      <w:sz w:val="24"/>
      <w:szCs w:val="24"/>
      <w:lang w:val="it-IT" w:eastAsia="it-IT"/>
    </w:rPr>
  </w:style>
  <w:style w:type="character" w:customStyle="1" w:styleId="FootnoteTextChar">
    <w:name w:val="Footnote Text Char"/>
    <w:aliases w:val="Testo nota a piè di pagina franco angeli Char,Testo nota a piè di pagina1 Char,Testo nota a piè di pagina Carattere1 Char, Carattere Carattere1 Char,Testo nota a piè di pagina franco angeli1 Char,stile 1 Char,Footnote Char"/>
    <w:basedOn w:val="DefaultParagraphFont"/>
    <w:link w:val="FootnoteText"/>
    <w:rsid w:val="007549BF"/>
    <w:rPr>
      <w:rFonts w:ascii="Univers" w:hAnsi="Univers"/>
      <w:lang w:eastAsia="en-US"/>
    </w:rPr>
  </w:style>
  <w:style w:type="character" w:customStyle="1" w:styleId="personname">
    <w:name w:val="person_name"/>
    <w:basedOn w:val="DefaultParagraphFont"/>
    <w:rsid w:val="007549BF"/>
  </w:style>
  <w:style w:type="paragraph" w:styleId="ListParagraph">
    <w:name w:val="List Paragraph"/>
    <w:basedOn w:val="Normal"/>
    <w:uiPriority w:val="34"/>
    <w:qFormat/>
    <w:rsid w:val="007549BF"/>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11C8D"/>
  </w:style>
  <w:style w:type="paragraph" w:styleId="Revision">
    <w:name w:val="Revision"/>
    <w:hidden/>
    <w:uiPriority w:val="99"/>
    <w:semiHidden/>
    <w:rsid w:val="00844E40"/>
    <w:pPr>
      <w:widowControl/>
    </w:pPr>
    <w:rPr>
      <w:lang w:eastAsia="en-US"/>
    </w:rPr>
  </w:style>
  <w:style w:type="table" w:styleId="TableGrid">
    <w:name w:val="Table Grid"/>
    <w:basedOn w:val="TableNormal"/>
    <w:uiPriority w:val="39"/>
    <w:rsid w:val="0070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68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file:////insight/search%3fq=Sushanta%20Kumar%20Mishra"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bvcinfo.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4672EA-2FA0-4D74-9953-1B83778B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6627</Words>
  <Characters>37778</Characters>
  <Application>Microsoft Office Word</Application>
  <DocSecurity>0</DocSecurity>
  <Lines>314</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3</cp:revision>
  <cp:lastPrinted>2023-04-08T07:42:00Z</cp:lastPrinted>
  <dcterms:created xsi:type="dcterms:W3CDTF">2023-06-04T17:30:00Z</dcterms:created>
  <dcterms:modified xsi:type="dcterms:W3CDTF">2023-06-06T07:54:00Z</dcterms:modified>
</cp:coreProperties>
</file>