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CCB7A" w14:textId="77777777" w:rsidR="00946B76" w:rsidRPr="00946B76" w:rsidRDefault="00946B76" w:rsidP="26234BE2">
      <w:pPr>
        <w:spacing w:line="360" w:lineRule="auto"/>
        <w:rPr>
          <w:rFonts w:ascii="Arial" w:hAnsi="Arial" w:cs="Arial"/>
          <w:b/>
          <w:bCs/>
          <w:color w:val="000000"/>
          <w:sz w:val="24"/>
          <w:szCs w:val="24"/>
        </w:rPr>
      </w:pPr>
      <w:r w:rsidRPr="00946B76">
        <w:rPr>
          <w:rFonts w:ascii="Arial" w:hAnsi="Arial" w:cs="Arial"/>
          <w:b/>
          <w:bCs/>
          <w:color w:val="000000"/>
          <w:sz w:val="24"/>
          <w:szCs w:val="24"/>
        </w:rPr>
        <w:t>Understanding volunteering intentions with computational text analysis</w:t>
      </w:r>
    </w:p>
    <w:p w14:paraId="35260520" w14:textId="55D010F3" w:rsidR="00946B76" w:rsidRPr="00023F97" w:rsidRDefault="00946B76" w:rsidP="26234BE2">
      <w:pPr>
        <w:spacing w:line="360" w:lineRule="auto"/>
        <w:rPr>
          <w:rFonts w:ascii="Arial" w:hAnsi="Arial" w:cs="Arial"/>
          <w:color w:val="000000"/>
          <w:sz w:val="24"/>
          <w:szCs w:val="24"/>
          <w:lang w:val="nl-NL"/>
        </w:rPr>
      </w:pPr>
      <w:r w:rsidRPr="00023F97">
        <w:rPr>
          <w:rFonts w:ascii="Arial" w:hAnsi="Arial" w:cs="Arial"/>
          <w:color w:val="000000"/>
          <w:sz w:val="24"/>
          <w:szCs w:val="24"/>
          <w:lang w:val="nl-NL"/>
        </w:rPr>
        <w:t>Elisabet Doodeman (</w:t>
      </w:r>
      <w:r w:rsidR="00000000">
        <w:fldChar w:fldCharType="begin"/>
      </w:r>
      <w:r w:rsidR="00000000" w:rsidRPr="00023F97">
        <w:rPr>
          <w:lang w:val="nl-NL"/>
        </w:rPr>
        <w:instrText xml:space="preserve"> HYPERLINK "mailto:e.g.m.doodeman@student.vu.nl" </w:instrText>
      </w:r>
      <w:r w:rsidR="00000000">
        <w:fldChar w:fldCharType="separate"/>
      </w:r>
      <w:r w:rsidRPr="00023F97">
        <w:rPr>
          <w:rStyle w:val="Hyperlink"/>
          <w:rFonts w:ascii="Arial" w:hAnsi="Arial" w:cs="Arial"/>
          <w:sz w:val="24"/>
          <w:szCs w:val="24"/>
          <w:lang w:val="nl-NL"/>
        </w:rPr>
        <w:t>e.g.m.doodeman@student.vu.nl</w:t>
      </w:r>
      <w:r w:rsidR="00000000">
        <w:rPr>
          <w:rStyle w:val="Hyperlink"/>
          <w:rFonts w:ascii="Arial" w:hAnsi="Arial" w:cs="Arial"/>
          <w:sz w:val="24"/>
          <w:szCs w:val="24"/>
        </w:rPr>
        <w:fldChar w:fldCharType="end"/>
      </w:r>
      <w:r w:rsidRPr="00023F97">
        <w:rPr>
          <w:rFonts w:ascii="Arial" w:hAnsi="Arial" w:cs="Arial"/>
          <w:color w:val="000000"/>
          <w:sz w:val="24"/>
          <w:szCs w:val="24"/>
          <w:lang w:val="nl-NL"/>
        </w:rPr>
        <w:t>) VU Amsterdam</w:t>
      </w:r>
    </w:p>
    <w:p w14:paraId="66939B3C" w14:textId="461241C2" w:rsidR="00946B76" w:rsidRPr="00023F97" w:rsidRDefault="00946B76" w:rsidP="26234BE2">
      <w:pPr>
        <w:spacing w:line="360" w:lineRule="auto"/>
        <w:rPr>
          <w:rFonts w:ascii="Arial" w:hAnsi="Arial" w:cs="Arial"/>
          <w:color w:val="000000"/>
          <w:sz w:val="24"/>
          <w:szCs w:val="24"/>
          <w:lang w:val="nl-NL"/>
        </w:rPr>
      </w:pPr>
      <w:r w:rsidRPr="00023F97">
        <w:rPr>
          <w:rFonts w:ascii="Arial" w:hAnsi="Arial" w:cs="Arial"/>
          <w:color w:val="000000"/>
          <w:sz w:val="24"/>
          <w:szCs w:val="24"/>
          <w:lang w:val="nl-NL"/>
        </w:rPr>
        <w:t>Arjen De Wit (a.de.wit@vu.nl ) VU Amsterdam)</w:t>
      </w:r>
    </w:p>
    <w:p w14:paraId="0A2B3413" w14:textId="0B53A246" w:rsidR="00946B76" w:rsidRPr="00946B76" w:rsidRDefault="00946B76" w:rsidP="26234BE2">
      <w:pPr>
        <w:spacing w:line="360" w:lineRule="auto"/>
        <w:rPr>
          <w:rFonts w:ascii="Arial" w:hAnsi="Arial" w:cs="Arial"/>
          <w:color w:val="000000"/>
          <w:sz w:val="24"/>
          <w:szCs w:val="24"/>
        </w:rPr>
      </w:pPr>
      <w:r w:rsidRPr="00946B76">
        <w:rPr>
          <w:rFonts w:ascii="Arial" w:hAnsi="Arial" w:cs="Arial"/>
          <w:color w:val="000000"/>
          <w:sz w:val="24"/>
          <w:szCs w:val="24"/>
        </w:rPr>
        <w:t>John Mohan (</w:t>
      </w:r>
      <w:hyperlink r:id="rId7" w:history="1">
        <w:r w:rsidRPr="00DD77F8">
          <w:rPr>
            <w:rStyle w:val="Hyperlink"/>
            <w:rFonts w:ascii="Arial" w:hAnsi="Arial" w:cs="Arial"/>
            <w:sz w:val="24"/>
            <w:szCs w:val="24"/>
          </w:rPr>
          <w:t>j.mohan@bham.ac.uk</w:t>
        </w:r>
      </w:hyperlink>
      <w:r>
        <w:rPr>
          <w:rFonts w:ascii="Arial" w:hAnsi="Arial" w:cs="Arial"/>
          <w:color w:val="000000"/>
          <w:sz w:val="24"/>
          <w:szCs w:val="24"/>
        </w:rPr>
        <w:t>) TSRC, University of Birmingham</w:t>
      </w:r>
    </w:p>
    <w:p w14:paraId="7B5CAEB5" w14:textId="19B68579" w:rsidR="00583171" w:rsidRPr="00946B76" w:rsidRDefault="26234BE2" w:rsidP="26234BE2">
      <w:pPr>
        <w:spacing w:line="360" w:lineRule="auto"/>
        <w:rPr>
          <w:rFonts w:ascii="Arial" w:eastAsiaTheme="majorEastAsia" w:hAnsi="Arial" w:cs="Arial"/>
          <w:b/>
          <w:bCs/>
          <w:sz w:val="24"/>
          <w:szCs w:val="24"/>
        </w:rPr>
      </w:pPr>
      <w:r w:rsidRPr="00946B76">
        <w:rPr>
          <w:rFonts w:ascii="Arial" w:eastAsiaTheme="majorEastAsia" w:hAnsi="Arial" w:cs="Arial"/>
          <w:b/>
          <w:bCs/>
          <w:sz w:val="24"/>
          <w:szCs w:val="24"/>
        </w:rPr>
        <w:t xml:space="preserve">1. </w:t>
      </w:r>
      <w:r w:rsidR="11E1383F" w:rsidRPr="00946B76">
        <w:rPr>
          <w:rFonts w:ascii="Arial" w:eastAsiaTheme="majorEastAsia" w:hAnsi="Arial" w:cs="Arial"/>
          <w:b/>
          <w:bCs/>
          <w:sz w:val="24"/>
          <w:szCs w:val="24"/>
        </w:rPr>
        <w:t xml:space="preserve">Introduction </w:t>
      </w:r>
    </w:p>
    <w:p w14:paraId="49C823E7" w14:textId="120EB580" w:rsidR="734F710A" w:rsidRPr="00946B76" w:rsidRDefault="21AB6B46" w:rsidP="0120D1DF">
      <w:pPr>
        <w:spacing w:line="360" w:lineRule="auto"/>
        <w:rPr>
          <w:rFonts w:ascii="Arial" w:eastAsiaTheme="majorEastAsia" w:hAnsi="Arial" w:cs="Arial"/>
          <w:sz w:val="24"/>
          <w:szCs w:val="24"/>
        </w:rPr>
      </w:pPr>
      <w:r w:rsidRPr="00946B76">
        <w:rPr>
          <w:rFonts w:ascii="Arial" w:eastAsiaTheme="majorEastAsia" w:hAnsi="Arial" w:cs="Arial"/>
          <w:sz w:val="24"/>
          <w:szCs w:val="24"/>
        </w:rPr>
        <w:t>There is a wealth of empirical work on different forms of volunteering</w:t>
      </w:r>
      <w:r w:rsidR="716F7B30" w:rsidRPr="00946B76">
        <w:rPr>
          <w:rFonts w:ascii="Arial" w:eastAsiaTheme="majorEastAsia" w:hAnsi="Arial" w:cs="Arial"/>
          <w:sz w:val="24"/>
          <w:szCs w:val="24"/>
        </w:rPr>
        <w:t xml:space="preserve">, but criticisms have been raised about </w:t>
      </w:r>
      <w:r w:rsidRPr="00946B76">
        <w:rPr>
          <w:rFonts w:ascii="Arial" w:eastAsiaTheme="majorEastAsia" w:hAnsi="Arial" w:cs="Arial"/>
          <w:sz w:val="24"/>
          <w:szCs w:val="24"/>
        </w:rPr>
        <w:t xml:space="preserve">the operationalization of concepts </w:t>
      </w:r>
      <w:r w:rsidR="70636C5D" w:rsidRPr="00946B76">
        <w:rPr>
          <w:rFonts w:ascii="Arial" w:eastAsiaTheme="majorEastAsia" w:hAnsi="Arial" w:cs="Arial"/>
          <w:sz w:val="24"/>
          <w:szCs w:val="24"/>
        </w:rPr>
        <w:t xml:space="preserve">such as volunteering </w:t>
      </w:r>
      <w:r w:rsidRPr="00946B76">
        <w:rPr>
          <w:rFonts w:ascii="Arial" w:eastAsiaTheme="majorEastAsia" w:hAnsi="Arial" w:cs="Arial"/>
          <w:sz w:val="24"/>
          <w:szCs w:val="24"/>
        </w:rPr>
        <w:t xml:space="preserve">in </w:t>
      </w:r>
      <w:r w:rsidR="6092FC3C" w:rsidRPr="00946B76">
        <w:rPr>
          <w:rFonts w:ascii="Arial" w:eastAsiaTheme="majorEastAsia" w:hAnsi="Arial" w:cs="Arial"/>
          <w:sz w:val="24"/>
          <w:szCs w:val="24"/>
        </w:rPr>
        <w:t>resear</w:t>
      </w:r>
      <w:r w:rsidRPr="00946B76">
        <w:rPr>
          <w:rFonts w:ascii="Arial" w:eastAsiaTheme="majorEastAsia" w:hAnsi="Arial" w:cs="Arial"/>
          <w:sz w:val="24"/>
          <w:szCs w:val="24"/>
        </w:rPr>
        <w:t xml:space="preserve">ch studies. The main argument being made here is that conceptualizations said to encapsulate voluntary action </w:t>
      </w:r>
      <w:r w:rsidR="70F51E19" w:rsidRPr="00946B76">
        <w:rPr>
          <w:rFonts w:ascii="Arial" w:eastAsiaTheme="majorEastAsia" w:hAnsi="Arial" w:cs="Arial"/>
          <w:sz w:val="24"/>
          <w:szCs w:val="24"/>
        </w:rPr>
        <w:t>are</w:t>
      </w:r>
      <w:r w:rsidRPr="00946B76">
        <w:rPr>
          <w:rFonts w:ascii="Arial" w:eastAsiaTheme="majorEastAsia" w:hAnsi="Arial" w:cs="Arial"/>
          <w:sz w:val="24"/>
          <w:szCs w:val="24"/>
        </w:rPr>
        <w:t xml:space="preserve"> grounded in formal, traditional, and static interpretations of voluntary action</w:t>
      </w:r>
      <w:r w:rsidR="7677352D" w:rsidRPr="00946B76">
        <w:rPr>
          <w:rFonts w:ascii="Arial" w:eastAsiaTheme="majorEastAsia" w:hAnsi="Arial" w:cs="Arial"/>
          <w:sz w:val="24"/>
          <w:szCs w:val="24"/>
        </w:rPr>
        <w:t xml:space="preserve"> – not least because the questions asked about volunteering are restrictive, and presume a shared understanding of volunteering on the part of those responding to them </w:t>
      </w:r>
      <w:r w:rsidRPr="00946B76">
        <w:rPr>
          <w:rFonts w:ascii="Arial" w:eastAsiaTheme="majorEastAsia" w:hAnsi="Arial" w:cs="Arial"/>
          <w:sz w:val="24"/>
          <w:szCs w:val="24"/>
        </w:rPr>
        <w:t xml:space="preserve">(Steinberg, Rooney &amp; Chin, 2016; </w:t>
      </w:r>
      <w:proofErr w:type="spellStart"/>
      <w:r w:rsidRPr="00946B76">
        <w:rPr>
          <w:rFonts w:ascii="Arial" w:eastAsiaTheme="majorEastAsia" w:hAnsi="Arial" w:cs="Arial"/>
          <w:sz w:val="24"/>
          <w:szCs w:val="24"/>
        </w:rPr>
        <w:t>Wiepking</w:t>
      </w:r>
      <w:proofErr w:type="spellEnd"/>
      <w:r w:rsidRPr="00946B76">
        <w:rPr>
          <w:rFonts w:ascii="Arial" w:eastAsiaTheme="majorEastAsia" w:hAnsi="Arial" w:cs="Arial"/>
          <w:sz w:val="24"/>
          <w:szCs w:val="24"/>
        </w:rPr>
        <w:t xml:space="preserve">, 2021). </w:t>
      </w:r>
    </w:p>
    <w:p w14:paraId="79A9A61D" w14:textId="595557D9" w:rsidR="734F710A" w:rsidRPr="00946B76" w:rsidRDefault="21AB6B46" w:rsidP="26234BE2">
      <w:pPr>
        <w:spacing w:line="360" w:lineRule="auto"/>
        <w:rPr>
          <w:rFonts w:ascii="Arial" w:eastAsiaTheme="majorEastAsia" w:hAnsi="Arial" w:cs="Arial"/>
          <w:sz w:val="24"/>
          <w:szCs w:val="24"/>
        </w:rPr>
      </w:pPr>
      <w:r w:rsidRPr="00946B76">
        <w:rPr>
          <w:rFonts w:ascii="Arial" w:eastAsiaTheme="majorEastAsia" w:hAnsi="Arial" w:cs="Arial"/>
          <w:sz w:val="24"/>
          <w:szCs w:val="24"/>
        </w:rPr>
        <w:t xml:space="preserve">        </w:t>
      </w:r>
      <w:r w:rsidR="734F710A" w:rsidRPr="00946B76">
        <w:rPr>
          <w:rFonts w:ascii="Arial" w:hAnsi="Arial" w:cs="Arial"/>
          <w:sz w:val="24"/>
          <w:szCs w:val="24"/>
        </w:rPr>
        <w:tab/>
      </w:r>
      <w:r w:rsidR="5EDE7FF4" w:rsidRPr="00946B76">
        <w:rPr>
          <w:rFonts w:ascii="Arial" w:eastAsiaTheme="majorEastAsia" w:hAnsi="Arial" w:cs="Arial"/>
          <w:sz w:val="24"/>
          <w:szCs w:val="24"/>
        </w:rPr>
        <w:t xml:space="preserve">Furthermore, such work </w:t>
      </w:r>
      <w:r w:rsidRPr="00946B76">
        <w:rPr>
          <w:rFonts w:ascii="Arial" w:eastAsiaTheme="majorEastAsia" w:hAnsi="Arial" w:cs="Arial"/>
          <w:sz w:val="24"/>
          <w:szCs w:val="24"/>
        </w:rPr>
        <w:t>has generally focussed on the characteristics of the active volunteer force in the specific time period of the study itself (</w:t>
      </w:r>
      <w:proofErr w:type="spellStart"/>
      <w:r w:rsidRPr="00946B76">
        <w:rPr>
          <w:rFonts w:ascii="Arial" w:eastAsiaTheme="majorEastAsia" w:hAnsi="Arial" w:cs="Arial"/>
          <w:sz w:val="24"/>
          <w:szCs w:val="24"/>
        </w:rPr>
        <w:t>Musick</w:t>
      </w:r>
      <w:proofErr w:type="spellEnd"/>
      <w:r w:rsidRPr="00946B76">
        <w:rPr>
          <w:rFonts w:ascii="Arial" w:eastAsiaTheme="majorEastAsia" w:hAnsi="Arial" w:cs="Arial"/>
          <w:sz w:val="24"/>
          <w:szCs w:val="24"/>
        </w:rPr>
        <w:t xml:space="preserve"> &amp; Wilson, </w:t>
      </w:r>
      <w:r w:rsidR="7947C995" w:rsidRPr="00946B76">
        <w:rPr>
          <w:rFonts w:ascii="Arial" w:eastAsiaTheme="majorEastAsia" w:hAnsi="Arial" w:cs="Arial"/>
          <w:sz w:val="24"/>
          <w:szCs w:val="24"/>
        </w:rPr>
        <w:t>2018</w:t>
      </w:r>
      <w:r w:rsidRPr="00946B76">
        <w:rPr>
          <w:rFonts w:ascii="Arial" w:eastAsiaTheme="majorEastAsia" w:hAnsi="Arial" w:cs="Arial"/>
          <w:sz w:val="24"/>
          <w:szCs w:val="24"/>
        </w:rPr>
        <w:t xml:space="preserve">). </w:t>
      </w:r>
      <w:r w:rsidR="135EA8E9" w:rsidRPr="00946B76">
        <w:rPr>
          <w:rFonts w:ascii="Arial" w:eastAsiaTheme="majorEastAsia" w:hAnsi="Arial" w:cs="Arial"/>
          <w:sz w:val="24"/>
          <w:szCs w:val="24"/>
        </w:rPr>
        <w:t xml:space="preserve">Thus we know much about </w:t>
      </w:r>
      <w:r w:rsidRPr="00946B76">
        <w:rPr>
          <w:rFonts w:ascii="Arial" w:eastAsiaTheme="majorEastAsia" w:hAnsi="Arial" w:cs="Arial"/>
          <w:sz w:val="24"/>
          <w:szCs w:val="24"/>
        </w:rPr>
        <w:t>particular type</w:t>
      </w:r>
      <w:r w:rsidR="6E697CFC" w:rsidRPr="00946B76">
        <w:rPr>
          <w:rFonts w:ascii="Arial" w:eastAsiaTheme="majorEastAsia" w:hAnsi="Arial" w:cs="Arial"/>
          <w:sz w:val="24"/>
          <w:szCs w:val="24"/>
        </w:rPr>
        <w:t>s</w:t>
      </w:r>
      <w:r w:rsidRPr="00946B76">
        <w:rPr>
          <w:rFonts w:ascii="Arial" w:eastAsiaTheme="majorEastAsia" w:hAnsi="Arial" w:cs="Arial"/>
          <w:sz w:val="24"/>
          <w:szCs w:val="24"/>
        </w:rPr>
        <w:t xml:space="preserve"> of citizen: th</w:t>
      </w:r>
      <w:r w:rsidR="43FE960C" w:rsidRPr="00946B76">
        <w:rPr>
          <w:rFonts w:ascii="Arial" w:eastAsiaTheme="majorEastAsia" w:hAnsi="Arial" w:cs="Arial"/>
          <w:sz w:val="24"/>
          <w:szCs w:val="24"/>
        </w:rPr>
        <w:t xml:space="preserve">ose who identify </w:t>
      </w:r>
      <w:r w:rsidRPr="00946B76">
        <w:rPr>
          <w:rFonts w:ascii="Arial" w:eastAsiaTheme="majorEastAsia" w:hAnsi="Arial" w:cs="Arial"/>
          <w:sz w:val="24"/>
          <w:szCs w:val="24"/>
        </w:rPr>
        <w:t xml:space="preserve">themselves with the conceptualizations discussed above. Studies have shown that this subset represents a relatively small group of people that tends to be (already) highly active in the voluntary sector. </w:t>
      </w:r>
      <w:r w:rsidR="4BCBC935" w:rsidRPr="00946B76">
        <w:rPr>
          <w:rFonts w:ascii="Arial" w:eastAsiaTheme="majorEastAsia" w:hAnsi="Arial" w:cs="Arial"/>
          <w:sz w:val="24"/>
          <w:szCs w:val="24"/>
        </w:rPr>
        <w:t xml:space="preserve">A corollary is that a </w:t>
      </w:r>
      <w:r w:rsidRPr="00946B76">
        <w:rPr>
          <w:rFonts w:ascii="Arial" w:eastAsiaTheme="majorEastAsia" w:hAnsi="Arial" w:cs="Arial"/>
          <w:sz w:val="24"/>
          <w:szCs w:val="24"/>
        </w:rPr>
        <w:t xml:space="preserve">possibly larger group of contributors remains invisible to us. Firstly, there are those who are expressing behaviours that can be seen as a contribution to the sector, yet do not fit into the classical volunteer profile or even identify as such. Missing out on their contribution could further skew the picture we have painted at this point. A similar argument could be made for the absence of any real overview of </w:t>
      </w:r>
      <w:r w:rsidRPr="00946B76">
        <w:rPr>
          <w:rFonts w:ascii="Arial" w:eastAsiaTheme="majorEastAsia" w:hAnsi="Arial" w:cs="Arial"/>
          <w:i/>
          <w:iCs/>
          <w:sz w:val="24"/>
          <w:szCs w:val="24"/>
        </w:rPr>
        <w:t xml:space="preserve">potential </w:t>
      </w:r>
      <w:r w:rsidRPr="00946B76">
        <w:rPr>
          <w:rFonts w:ascii="Arial" w:eastAsiaTheme="majorEastAsia" w:hAnsi="Arial" w:cs="Arial"/>
          <w:sz w:val="24"/>
          <w:szCs w:val="24"/>
        </w:rPr>
        <w:t>volunteers</w:t>
      </w:r>
      <w:r w:rsidR="0586B848" w:rsidRPr="00946B76">
        <w:rPr>
          <w:rFonts w:ascii="Arial" w:eastAsiaTheme="majorEastAsia" w:hAnsi="Arial" w:cs="Arial"/>
          <w:sz w:val="24"/>
          <w:szCs w:val="24"/>
        </w:rPr>
        <w:t xml:space="preserve">, </w:t>
      </w:r>
      <w:r w:rsidRPr="00946B76">
        <w:rPr>
          <w:rFonts w:ascii="Arial" w:eastAsiaTheme="majorEastAsia" w:hAnsi="Arial" w:cs="Arial"/>
          <w:sz w:val="24"/>
          <w:szCs w:val="24"/>
        </w:rPr>
        <w:t xml:space="preserve">yet understanding this group and their motives to engage with the sector could be the key to unlocking a great potential force. Some time ago now, </w:t>
      </w:r>
      <w:proofErr w:type="spellStart"/>
      <w:r w:rsidRPr="00946B76">
        <w:rPr>
          <w:rFonts w:ascii="Arial" w:eastAsiaTheme="majorEastAsia" w:hAnsi="Arial" w:cs="Arial"/>
          <w:sz w:val="24"/>
          <w:szCs w:val="24"/>
        </w:rPr>
        <w:t>Tonkens</w:t>
      </w:r>
      <w:proofErr w:type="spellEnd"/>
      <w:r w:rsidRPr="00946B76">
        <w:rPr>
          <w:rFonts w:ascii="Arial" w:eastAsiaTheme="majorEastAsia" w:hAnsi="Arial" w:cs="Arial"/>
          <w:sz w:val="24"/>
          <w:szCs w:val="24"/>
        </w:rPr>
        <w:t xml:space="preserve"> (2010) referred to these two groups as one ‘altruistic surplus’ that was ought to be recognized and exploited accordingly.</w:t>
      </w:r>
    </w:p>
    <w:p w14:paraId="1D5DA535" w14:textId="1B8E0131" w:rsidR="734F710A" w:rsidRPr="00946B76" w:rsidRDefault="21AB6B46" w:rsidP="26234BE2">
      <w:pPr>
        <w:spacing w:line="360" w:lineRule="auto"/>
        <w:ind w:firstLine="708"/>
        <w:rPr>
          <w:rFonts w:ascii="Arial" w:eastAsiaTheme="majorEastAsia" w:hAnsi="Arial" w:cs="Arial"/>
          <w:sz w:val="24"/>
          <w:szCs w:val="24"/>
        </w:rPr>
      </w:pPr>
      <w:r w:rsidRPr="00946B76">
        <w:rPr>
          <w:rFonts w:ascii="Arial" w:eastAsiaTheme="majorEastAsia" w:hAnsi="Arial" w:cs="Arial"/>
          <w:sz w:val="24"/>
          <w:szCs w:val="24"/>
        </w:rPr>
        <w:lastRenderedPageBreak/>
        <w:t>A third issue we would like to draw attention toward is rooted in the general nature of previous studies, which have come under scrutiny for largely ignoring cultural and contextual factors (</w:t>
      </w:r>
      <w:proofErr w:type="spellStart"/>
      <w:r w:rsidRPr="00946B76">
        <w:rPr>
          <w:rFonts w:ascii="Arial" w:eastAsiaTheme="majorEastAsia" w:hAnsi="Arial" w:cs="Arial"/>
          <w:sz w:val="24"/>
          <w:szCs w:val="24"/>
        </w:rPr>
        <w:t>Hu</w:t>
      </w:r>
      <w:r w:rsidR="0ABF1359" w:rsidRPr="00946B76">
        <w:rPr>
          <w:rFonts w:ascii="Arial" w:eastAsiaTheme="majorEastAsia" w:hAnsi="Arial" w:cs="Arial"/>
          <w:sz w:val="24"/>
          <w:szCs w:val="24"/>
        </w:rPr>
        <w:t>stinx</w:t>
      </w:r>
      <w:proofErr w:type="spellEnd"/>
      <w:r w:rsidRPr="00946B76">
        <w:rPr>
          <w:rFonts w:ascii="Arial" w:eastAsiaTheme="majorEastAsia" w:hAnsi="Arial" w:cs="Arial"/>
          <w:sz w:val="24"/>
          <w:szCs w:val="24"/>
        </w:rPr>
        <w:t xml:space="preserve"> et al., 2022). Questions surrounding different interpretations and biographical factors are coming to the forefront (</w:t>
      </w:r>
      <w:proofErr w:type="spellStart"/>
      <w:r w:rsidRPr="00946B76">
        <w:rPr>
          <w:rFonts w:ascii="Arial" w:eastAsiaTheme="majorEastAsia" w:hAnsi="Arial" w:cs="Arial"/>
          <w:sz w:val="24"/>
          <w:szCs w:val="24"/>
        </w:rPr>
        <w:t>Shachar</w:t>
      </w:r>
      <w:proofErr w:type="spellEnd"/>
      <w:r w:rsidRPr="00946B76">
        <w:rPr>
          <w:rFonts w:ascii="Arial" w:eastAsiaTheme="majorEastAsia" w:hAnsi="Arial" w:cs="Arial"/>
          <w:sz w:val="24"/>
          <w:szCs w:val="24"/>
        </w:rPr>
        <w:t xml:space="preserve"> et al., 2019). The conceptual issues presented above can be largely attributed to the research methods of these studies. Data collection has mostly </w:t>
      </w:r>
      <w:r w:rsidR="1A7A65EC" w:rsidRPr="00946B76">
        <w:rPr>
          <w:rFonts w:ascii="Arial" w:eastAsiaTheme="majorEastAsia" w:hAnsi="Arial" w:cs="Arial"/>
          <w:sz w:val="24"/>
          <w:szCs w:val="24"/>
        </w:rPr>
        <w:t xml:space="preserve">involved </w:t>
      </w:r>
      <w:r w:rsidRPr="00946B76">
        <w:rPr>
          <w:rFonts w:ascii="Arial" w:eastAsiaTheme="majorEastAsia" w:hAnsi="Arial" w:cs="Arial"/>
          <w:sz w:val="24"/>
          <w:szCs w:val="24"/>
        </w:rPr>
        <w:t xml:space="preserve">large-scale survey research </w:t>
      </w:r>
      <w:r w:rsidR="47FCF0EB" w:rsidRPr="00946B76">
        <w:rPr>
          <w:rFonts w:ascii="Arial" w:eastAsiaTheme="majorEastAsia" w:hAnsi="Arial" w:cs="Arial"/>
          <w:sz w:val="24"/>
          <w:szCs w:val="24"/>
        </w:rPr>
        <w:t xml:space="preserve">which requires individuals to respond to a menu of </w:t>
      </w:r>
      <w:r w:rsidRPr="00946B76">
        <w:rPr>
          <w:rFonts w:ascii="Arial" w:eastAsiaTheme="majorEastAsia" w:hAnsi="Arial" w:cs="Arial"/>
          <w:sz w:val="24"/>
          <w:szCs w:val="24"/>
        </w:rPr>
        <w:t>pre-set conceptualizations</w:t>
      </w:r>
      <w:r w:rsidR="2F669195" w:rsidRPr="00946B76">
        <w:rPr>
          <w:rFonts w:ascii="Arial" w:eastAsiaTheme="majorEastAsia" w:hAnsi="Arial" w:cs="Arial"/>
          <w:sz w:val="24"/>
          <w:szCs w:val="24"/>
        </w:rPr>
        <w:t xml:space="preserve">, which may </w:t>
      </w:r>
      <w:r w:rsidRPr="00946B76">
        <w:rPr>
          <w:rFonts w:ascii="Arial" w:eastAsiaTheme="majorEastAsia" w:hAnsi="Arial" w:cs="Arial"/>
          <w:sz w:val="24"/>
          <w:szCs w:val="24"/>
        </w:rPr>
        <w:t xml:space="preserve">limit the exploration of complex contextual factors. </w:t>
      </w:r>
      <w:r w:rsidR="0EEC75E4" w:rsidRPr="00946B76">
        <w:rPr>
          <w:rFonts w:ascii="Arial" w:eastAsiaTheme="majorEastAsia" w:hAnsi="Arial" w:cs="Arial"/>
          <w:sz w:val="24"/>
          <w:szCs w:val="24"/>
        </w:rPr>
        <w:t xml:space="preserve">Of course we do have </w:t>
      </w:r>
      <w:r w:rsidRPr="00946B76">
        <w:rPr>
          <w:rFonts w:ascii="Arial" w:eastAsiaTheme="majorEastAsia" w:hAnsi="Arial" w:cs="Arial"/>
          <w:sz w:val="24"/>
          <w:szCs w:val="24"/>
        </w:rPr>
        <w:t xml:space="preserve">qualitative </w:t>
      </w:r>
      <w:r w:rsidR="266722DB" w:rsidRPr="00946B76">
        <w:rPr>
          <w:rFonts w:ascii="Arial" w:eastAsiaTheme="majorEastAsia" w:hAnsi="Arial" w:cs="Arial"/>
          <w:sz w:val="24"/>
          <w:szCs w:val="24"/>
        </w:rPr>
        <w:t xml:space="preserve">studies of the meaning of volunteering and its place in people’s lives, but these are small scale and this raises </w:t>
      </w:r>
      <w:r w:rsidRPr="00946B76">
        <w:rPr>
          <w:rFonts w:ascii="Arial" w:eastAsiaTheme="majorEastAsia" w:hAnsi="Arial" w:cs="Arial"/>
          <w:sz w:val="24"/>
          <w:szCs w:val="24"/>
        </w:rPr>
        <w:t>questions about the generalisability of findings.</w:t>
      </w:r>
    </w:p>
    <w:p w14:paraId="0C33783A" w14:textId="6A0E8892" w:rsidR="734F710A" w:rsidRPr="00946B76" w:rsidRDefault="21AB6B46" w:rsidP="26234BE2">
      <w:pPr>
        <w:spacing w:line="360" w:lineRule="auto"/>
        <w:ind w:firstLine="708"/>
        <w:rPr>
          <w:rFonts w:ascii="Arial" w:eastAsiaTheme="majorEastAsia" w:hAnsi="Arial" w:cs="Arial"/>
          <w:sz w:val="24"/>
          <w:szCs w:val="24"/>
        </w:rPr>
      </w:pPr>
      <w:r w:rsidRPr="00946B76">
        <w:rPr>
          <w:rFonts w:ascii="Arial" w:eastAsiaTheme="majorEastAsia" w:hAnsi="Arial" w:cs="Arial"/>
          <w:sz w:val="24"/>
          <w:szCs w:val="24"/>
        </w:rPr>
        <w:t xml:space="preserve">In order to address the issues presented above, we have attempted to </w:t>
      </w:r>
      <w:r w:rsidR="3FA641C7" w:rsidRPr="00946B76">
        <w:rPr>
          <w:rFonts w:ascii="Arial" w:eastAsiaTheme="majorEastAsia" w:hAnsi="Arial" w:cs="Arial"/>
          <w:sz w:val="24"/>
          <w:szCs w:val="24"/>
        </w:rPr>
        <w:t xml:space="preserve">capture a dimension of the attitudes of citizens to volunteering, namely whether such pro-social actions feature spontaneously in descriptions by individuals of their imagined future lives. </w:t>
      </w:r>
      <w:r w:rsidRPr="00946B76">
        <w:rPr>
          <w:rFonts w:ascii="Arial" w:eastAsiaTheme="majorEastAsia" w:hAnsi="Arial" w:cs="Arial"/>
          <w:sz w:val="24"/>
          <w:szCs w:val="24"/>
        </w:rPr>
        <w:t>We opted for a study design that would embrace the benefits of both quantitative and qualitative research methods while avoiding the pitfall described before. Th</w:t>
      </w:r>
      <w:r w:rsidR="1A75AA68" w:rsidRPr="00946B76">
        <w:rPr>
          <w:rFonts w:ascii="Arial" w:eastAsiaTheme="majorEastAsia" w:hAnsi="Arial" w:cs="Arial"/>
          <w:sz w:val="24"/>
          <w:szCs w:val="24"/>
        </w:rPr>
        <w:t>is</w:t>
      </w:r>
      <w:r w:rsidRPr="00946B76">
        <w:rPr>
          <w:rFonts w:ascii="Arial" w:eastAsiaTheme="majorEastAsia" w:hAnsi="Arial" w:cs="Arial"/>
          <w:sz w:val="24"/>
          <w:szCs w:val="24"/>
        </w:rPr>
        <w:t xml:space="preserve"> </w:t>
      </w:r>
      <w:r w:rsidR="5AA7EC68" w:rsidRPr="00946B76">
        <w:rPr>
          <w:rFonts w:ascii="Arial" w:eastAsiaTheme="majorEastAsia" w:hAnsi="Arial" w:cs="Arial"/>
          <w:sz w:val="24"/>
          <w:szCs w:val="24"/>
        </w:rPr>
        <w:t>initial</w:t>
      </w:r>
      <w:r w:rsidR="1DFA32E3" w:rsidRPr="00946B76">
        <w:rPr>
          <w:rFonts w:ascii="Arial" w:eastAsiaTheme="majorEastAsia" w:hAnsi="Arial" w:cs="Arial"/>
          <w:sz w:val="24"/>
          <w:szCs w:val="24"/>
        </w:rPr>
        <w:t xml:space="preserve"> paper</w:t>
      </w:r>
      <w:r w:rsidRPr="00946B76">
        <w:rPr>
          <w:rFonts w:ascii="Arial" w:eastAsiaTheme="majorEastAsia" w:hAnsi="Arial" w:cs="Arial"/>
          <w:sz w:val="24"/>
          <w:szCs w:val="24"/>
        </w:rPr>
        <w:t xml:space="preserve"> will lay out the process in phases, from the start to the current state of our project.</w:t>
      </w:r>
    </w:p>
    <w:p w14:paraId="2D4ADDD8" w14:textId="01A203AC" w:rsidR="26234BE2" w:rsidRPr="00946B76" w:rsidRDefault="26234BE2" w:rsidP="26234BE2">
      <w:pPr>
        <w:spacing w:line="360" w:lineRule="auto"/>
        <w:rPr>
          <w:rFonts w:ascii="Arial" w:eastAsiaTheme="majorEastAsia" w:hAnsi="Arial" w:cs="Arial"/>
          <w:sz w:val="24"/>
          <w:szCs w:val="24"/>
        </w:rPr>
      </w:pPr>
    </w:p>
    <w:p w14:paraId="2850449B" w14:textId="5BF78BF2" w:rsidR="6B3DFBF7" w:rsidRPr="00946B76" w:rsidRDefault="6B3DFBF7" w:rsidP="26234BE2">
      <w:pPr>
        <w:spacing w:line="360" w:lineRule="auto"/>
        <w:rPr>
          <w:rFonts w:ascii="Arial" w:eastAsiaTheme="majorEastAsia" w:hAnsi="Arial" w:cs="Arial"/>
          <w:b/>
          <w:bCs/>
          <w:sz w:val="24"/>
          <w:szCs w:val="24"/>
        </w:rPr>
      </w:pPr>
      <w:r w:rsidRPr="00946B76">
        <w:rPr>
          <w:rFonts w:ascii="Arial" w:eastAsiaTheme="majorEastAsia" w:hAnsi="Arial" w:cs="Arial"/>
          <w:b/>
          <w:bCs/>
          <w:sz w:val="24"/>
          <w:szCs w:val="24"/>
        </w:rPr>
        <w:t xml:space="preserve">2. </w:t>
      </w:r>
      <w:r w:rsidR="7CE23613" w:rsidRPr="00946B76">
        <w:rPr>
          <w:rFonts w:ascii="Arial" w:eastAsiaTheme="majorEastAsia" w:hAnsi="Arial" w:cs="Arial"/>
          <w:b/>
          <w:bCs/>
          <w:sz w:val="24"/>
          <w:szCs w:val="24"/>
        </w:rPr>
        <w:t xml:space="preserve"> Background</w:t>
      </w:r>
    </w:p>
    <w:p w14:paraId="6469850A" w14:textId="75589EF7" w:rsidR="27228884" w:rsidRPr="00946B76" w:rsidRDefault="3A9D01B0" w:rsidP="26234BE2">
      <w:pPr>
        <w:spacing w:line="360" w:lineRule="auto"/>
        <w:rPr>
          <w:rFonts w:ascii="Arial" w:eastAsiaTheme="majorEastAsia" w:hAnsi="Arial" w:cs="Arial"/>
          <w:sz w:val="24"/>
          <w:szCs w:val="24"/>
        </w:rPr>
      </w:pPr>
      <w:r w:rsidRPr="00946B76">
        <w:rPr>
          <w:rFonts w:ascii="Arial" w:eastAsiaTheme="majorEastAsia" w:hAnsi="Arial" w:cs="Arial"/>
          <w:sz w:val="24"/>
          <w:szCs w:val="24"/>
        </w:rPr>
        <w:t>In the UK, much</w:t>
      </w:r>
      <w:r w:rsidR="58F13DFE" w:rsidRPr="00946B76">
        <w:rPr>
          <w:rFonts w:ascii="Arial" w:eastAsiaTheme="majorEastAsia" w:hAnsi="Arial" w:cs="Arial"/>
          <w:sz w:val="24"/>
          <w:szCs w:val="24"/>
        </w:rPr>
        <w:t xml:space="preserve"> faith has been invested in the idea that as prosperous baby-boomers retired they would become active in their communities. </w:t>
      </w:r>
      <w:r w:rsidR="5741FD90" w:rsidRPr="00946B76">
        <w:rPr>
          <w:rFonts w:ascii="Arial" w:eastAsiaTheme="majorEastAsia" w:hAnsi="Arial" w:cs="Arial"/>
          <w:sz w:val="24"/>
          <w:szCs w:val="24"/>
        </w:rPr>
        <w:t xml:space="preserve">In a </w:t>
      </w:r>
      <w:r w:rsidR="13986226" w:rsidRPr="00946B76">
        <w:rPr>
          <w:rFonts w:ascii="Arial" w:eastAsiaTheme="majorEastAsia" w:hAnsi="Arial" w:cs="Arial"/>
          <w:sz w:val="24"/>
          <w:szCs w:val="24"/>
        </w:rPr>
        <w:t xml:space="preserve">1981 </w:t>
      </w:r>
      <w:r w:rsidR="5741FD90" w:rsidRPr="00946B76">
        <w:rPr>
          <w:rFonts w:ascii="Arial" w:eastAsiaTheme="majorEastAsia" w:hAnsi="Arial" w:cs="Arial"/>
          <w:sz w:val="24"/>
          <w:szCs w:val="24"/>
        </w:rPr>
        <w:t>speech t</w:t>
      </w:r>
      <w:r w:rsidR="53A833A8" w:rsidRPr="00946B76">
        <w:rPr>
          <w:rFonts w:ascii="Arial" w:eastAsiaTheme="majorEastAsia" w:hAnsi="Arial" w:cs="Arial"/>
          <w:sz w:val="24"/>
          <w:szCs w:val="24"/>
        </w:rPr>
        <w:t xml:space="preserve">he </w:t>
      </w:r>
      <w:r w:rsidR="74901568" w:rsidRPr="00946B76">
        <w:rPr>
          <w:rFonts w:ascii="Arial" w:eastAsiaTheme="majorEastAsia" w:hAnsi="Arial" w:cs="Arial"/>
          <w:sz w:val="24"/>
          <w:szCs w:val="24"/>
        </w:rPr>
        <w:t xml:space="preserve">then </w:t>
      </w:r>
      <w:r w:rsidR="53A833A8" w:rsidRPr="00946B76">
        <w:rPr>
          <w:rFonts w:ascii="Arial" w:eastAsiaTheme="majorEastAsia" w:hAnsi="Arial" w:cs="Arial"/>
          <w:sz w:val="24"/>
          <w:szCs w:val="24"/>
        </w:rPr>
        <w:t xml:space="preserve">Prime Minister </w:t>
      </w:r>
      <w:r w:rsidR="5741FD90" w:rsidRPr="00946B76">
        <w:rPr>
          <w:rFonts w:ascii="Arial" w:eastAsiaTheme="majorEastAsia" w:hAnsi="Arial" w:cs="Arial"/>
          <w:sz w:val="24"/>
          <w:szCs w:val="24"/>
        </w:rPr>
        <w:t>Margaret Thatcher anticipated that the</w:t>
      </w:r>
      <w:r w:rsidR="174424AE" w:rsidRPr="00946B76">
        <w:rPr>
          <w:rFonts w:ascii="Arial" w:eastAsiaTheme="majorEastAsia" w:hAnsi="Arial" w:cs="Arial"/>
          <w:sz w:val="24"/>
          <w:szCs w:val="24"/>
        </w:rPr>
        <w:t xml:space="preserve">re </w:t>
      </w:r>
      <w:r w:rsidR="5741FD90" w:rsidRPr="00946B76">
        <w:rPr>
          <w:rFonts w:ascii="Arial" w:eastAsiaTheme="majorEastAsia" w:hAnsi="Arial" w:cs="Arial"/>
          <w:sz w:val="24"/>
          <w:szCs w:val="24"/>
        </w:rPr>
        <w:t>would be “many more retired people, hale and hearty, wanting to do something to help others.”</w:t>
      </w:r>
      <w:r w:rsidR="0C4DEE68" w:rsidRPr="00946B76">
        <w:rPr>
          <w:rFonts w:ascii="Arial" w:eastAsiaTheme="majorEastAsia" w:hAnsi="Arial" w:cs="Arial"/>
          <w:sz w:val="24"/>
          <w:szCs w:val="24"/>
        </w:rPr>
        <w:t xml:space="preserve"> (Thatcher, 1981). Some </w:t>
      </w:r>
      <w:r w:rsidR="5741FD90" w:rsidRPr="00946B76">
        <w:rPr>
          <w:rFonts w:ascii="Arial" w:eastAsiaTheme="majorEastAsia" w:hAnsi="Arial" w:cs="Arial"/>
          <w:sz w:val="24"/>
          <w:szCs w:val="24"/>
        </w:rPr>
        <w:t xml:space="preserve">twenty years later, </w:t>
      </w:r>
      <w:r w:rsidR="27962459" w:rsidRPr="00946B76">
        <w:rPr>
          <w:rFonts w:ascii="Arial" w:eastAsiaTheme="majorEastAsia" w:hAnsi="Arial" w:cs="Arial"/>
          <w:sz w:val="24"/>
          <w:szCs w:val="24"/>
        </w:rPr>
        <w:t xml:space="preserve">volunteering rates hadn’t changed much, and </w:t>
      </w:r>
      <w:r w:rsidR="5741FD90" w:rsidRPr="00946B76">
        <w:rPr>
          <w:rFonts w:ascii="Arial" w:eastAsiaTheme="majorEastAsia" w:hAnsi="Arial" w:cs="Arial"/>
          <w:sz w:val="24"/>
          <w:szCs w:val="24"/>
        </w:rPr>
        <w:t xml:space="preserve">the Conservative MP Oliver Letwin </w:t>
      </w:r>
      <w:r w:rsidR="7A2A3078" w:rsidRPr="00946B76">
        <w:rPr>
          <w:rFonts w:ascii="Arial" w:eastAsiaTheme="majorEastAsia" w:hAnsi="Arial" w:cs="Arial"/>
          <w:sz w:val="24"/>
          <w:szCs w:val="24"/>
        </w:rPr>
        <w:t xml:space="preserve">was </w:t>
      </w:r>
      <w:r w:rsidR="0B8B26DE" w:rsidRPr="00946B76">
        <w:rPr>
          <w:rFonts w:ascii="Arial" w:eastAsiaTheme="majorEastAsia" w:hAnsi="Arial" w:cs="Arial"/>
          <w:sz w:val="24"/>
          <w:szCs w:val="24"/>
        </w:rPr>
        <w:t>to be hear</w:t>
      </w:r>
      <w:r w:rsidR="5741FD90" w:rsidRPr="00946B76">
        <w:rPr>
          <w:rFonts w:ascii="Arial" w:eastAsiaTheme="majorEastAsia" w:hAnsi="Arial" w:cs="Arial"/>
          <w:sz w:val="24"/>
          <w:szCs w:val="24"/>
        </w:rPr>
        <w:t xml:space="preserve">d </w:t>
      </w:r>
      <w:r w:rsidR="600EA602" w:rsidRPr="00946B76">
        <w:rPr>
          <w:rFonts w:ascii="Arial" w:eastAsiaTheme="majorEastAsia" w:hAnsi="Arial" w:cs="Arial"/>
          <w:sz w:val="24"/>
          <w:szCs w:val="24"/>
        </w:rPr>
        <w:t xml:space="preserve">expressing </w:t>
      </w:r>
      <w:r w:rsidR="5741FD90" w:rsidRPr="00946B76">
        <w:rPr>
          <w:rFonts w:ascii="Arial" w:eastAsiaTheme="majorEastAsia" w:hAnsi="Arial" w:cs="Arial"/>
          <w:sz w:val="24"/>
          <w:szCs w:val="24"/>
        </w:rPr>
        <w:t>the hope, nevertheless, that increased longevity meant that a “huge new well” of active, healthy, energetic, experienced, and intelligent people who were retired or approaching it</w:t>
      </w:r>
      <w:r w:rsidR="52C79FED" w:rsidRPr="00946B76">
        <w:rPr>
          <w:rFonts w:ascii="Arial" w:eastAsiaTheme="majorEastAsia" w:hAnsi="Arial" w:cs="Arial"/>
          <w:sz w:val="24"/>
          <w:szCs w:val="24"/>
        </w:rPr>
        <w:t xml:space="preserve"> would be available</w:t>
      </w:r>
      <w:r w:rsidR="5741FD90" w:rsidRPr="00946B76">
        <w:rPr>
          <w:rFonts w:ascii="Arial" w:eastAsiaTheme="majorEastAsia" w:hAnsi="Arial" w:cs="Arial"/>
          <w:sz w:val="24"/>
          <w:szCs w:val="24"/>
        </w:rPr>
        <w:t>; what was needed was a way of tapping that resource.</w:t>
      </w:r>
    </w:p>
    <w:p w14:paraId="14089908" w14:textId="0BEC67B8" w:rsidR="27228884" w:rsidRPr="00946B76" w:rsidRDefault="5741FD90" w:rsidP="26234BE2">
      <w:pPr>
        <w:spacing w:line="360" w:lineRule="auto"/>
        <w:ind w:firstLine="708"/>
        <w:rPr>
          <w:rFonts w:ascii="Arial" w:eastAsiaTheme="majorEastAsia" w:hAnsi="Arial" w:cs="Arial"/>
          <w:sz w:val="24"/>
          <w:szCs w:val="24"/>
        </w:rPr>
      </w:pPr>
      <w:r w:rsidRPr="00946B76">
        <w:rPr>
          <w:rFonts w:ascii="Arial" w:eastAsiaTheme="majorEastAsia" w:hAnsi="Arial" w:cs="Arial"/>
          <w:sz w:val="24"/>
          <w:szCs w:val="24"/>
        </w:rPr>
        <w:lastRenderedPageBreak/>
        <w:t xml:space="preserve">Letwin didn’t develop ideas on how that well might have been tapped. Unlike a natural resource which can be extracted, gushing forth as the drill breaks into the subterranean reservoir, volunteers do not automatically come when they are summoned. In recent decades optimistic commentators have nevertheless anticipated a sustained increase in volunteering </w:t>
      </w:r>
      <w:r w:rsidR="173EE1EF" w:rsidRPr="00946B76">
        <w:rPr>
          <w:rFonts w:ascii="Arial" w:eastAsiaTheme="majorEastAsia" w:hAnsi="Arial" w:cs="Arial"/>
          <w:sz w:val="24"/>
          <w:szCs w:val="24"/>
        </w:rPr>
        <w:t xml:space="preserve">partly </w:t>
      </w:r>
      <w:r w:rsidRPr="00946B76">
        <w:rPr>
          <w:rFonts w:ascii="Arial" w:eastAsiaTheme="majorEastAsia" w:hAnsi="Arial" w:cs="Arial"/>
          <w:sz w:val="24"/>
          <w:szCs w:val="24"/>
        </w:rPr>
        <w:t xml:space="preserve">because of favourable demographics </w:t>
      </w:r>
      <w:r w:rsidR="669753E9" w:rsidRPr="00946B76">
        <w:rPr>
          <w:rFonts w:ascii="Arial" w:eastAsiaTheme="majorEastAsia" w:hAnsi="Arial" w:cs="Arial"/>
          <w:sz w:val="24"/>
          <w:szCs w:val="24"/>
        </w:rPr>
        <w:t xml:space="preserve">and partly because of a sense that </w:t>
      </w:r>
      <w:r w:rsidRPr="00946B76">
        <w:rPr>
          <w:rFonts w:ascii="Arial" w:eastAsiaTheme="majorEastAsia" w:hAnsi="Arial" w:cs="Arial"/>
          <w:sz w:val="24"/>
          <w:szCs w:val="24"/>
        </w:rPr>
        <w:t>people wanted to be part of something bigger than themselves – whether this be major sporting events or national celebrations (Commonwealth and Olympic</w:t>
      </w:r>
      <w:r w:rsidR="1271CC44" w:rsidRPr="00946B76">
        <w:rPr>
          <w:rFonts w:ascii="Arial" w:eastAsiaTheme="majorEastAsia" w:hAnsi="Arial" w:cs="Arial"/>
          <w:sz w:val="24"/>
          <w:szCs w:val="24"/>
        </w:rPr>
        <w:t xml:space="preserve"> Games</w:t>
      </w:r>
      <w:r w:rsidRPr="00946B76">
        <w:rPr>
          <w:rFonts w:ascii="Arial" w:eastAsiaTheme="majorEastAsia" w:hAnsi="Arial" w:cs="Arial"/>
          <w:sz w:val="24"/>
          <w:szCs w:val="24"/>
        </w:rPr>
        <w:t xml:space="preserve">; </w:t>
      </w:r>
      <w:r w:rsidR="0EB2C836" w:rsidRPr="00946B76">
        <w:rPr>
          <w:rFonts w:ascii="Arial" w:eastAsiaTheme="majorEastAsia" w:hAnsi="Arial" w:cs="Arial"/>
          <w:sz w:val="24"/>
          <w:szCs w:val="24"/>
        </w:rPr>
        <w:t xml:space="preserve">most recently, the coronation of </w:t>
      </w:r>
      <w:r w:rsidRPr="00946B76">
        <w:rPr>
          <w:rFonts w:ascii="Arial" w:eastAsiaTheme="majorEastAsia" w:hAnsi="Arial" w:cs="Arial"/>
          <w:sz w:val="24"/>
          <w:szCs w:val="24"/>
        </w:rPr>
        <w:t xml:space="preserve">King Charles) in which volunteers have played prominent roles. Others pointed to the compassionate response to support neighbours and front-line workers in the Covid emergency as something on which to build.  Yet it is incontestable that volunteering </w:t>
      </w:r>
      <w:r w:rsidR="45608FA0" w:rsidRPr="00946B76">
        <w:rPr>
          <w:rFonts w:ascii="Arial" w:eastAsiaTheme="majorEastAsia" w:hAnsi="Arial" w:cs="Arial"/>
          <w:sz w:val="24"/>
          <w:szCs w:val="24"/>
        </w:rPr>
        <w:t xml:space="preserve">in the UK </w:t>
      </w:r>
      <w:r w:rsidRPr="00946B76">
        <w:rPr>
          <w:rFonts w:ascii="Arial" w:eastAsiaTheme="majorEastAsia" w:hAnsi="Arial" w:cs="Arial"/>
          <w:sz w:val="24"/>
          <w:szCs w:val="24"/>
        </w:rPr>
        <w:t>has not increased, despite all the attention given to it. Why might this be so?</w:t>
      </w:r>
    </w:p>
    <w:p w14:paraId="67E164B7" w14:textId="64B55879" w:rsidR="6F986AC6" w:rsidRPr="00946B76" w:rsidRDefault="5741FD90" w:rsidP="25F722A2">
      <w:pPr>
        <w:spacing w:line="360" w:lineRule="auto"/>
        <w:ind w:firstLine="708"/>
        <w:rPr>
          <w:rFonts w:ascii="Arial" w:eastAsiaTheme="majorEastAsia" w:hAnsi="Arial" w:cs="Arial"/>
          <w:sz w:val="24"/>
          <w:szCs w:val="24"/>
        </w:rPr>
      </w:pPr>
      <w:r w:rsidRPr="00946B76">
        <w:rPr>
          <w:rFonts w:ascii="Arial" w:eastAsiaTheme="majorEastAsia" w:hAnsi="Arial" w:cs="Arial"/>
          <w:sz w:val="24"/>
          <w:szCs w:val="24"/>
        </w:rPr>
        <w:t xml:space="preserve">Answers might be found in a combination of social attitudes and economic circumstances and it’s the former that we discuss in this paper. We know relatively little about attitudes to volunteering. The small number of robust </w:t>
      </w:r>
      <w:r w:rsidR="40F908FD" w:rsidRPr="00946B76">
        <w:rPr>
          <w:rFonts w:ascii="Arial" w:eastAsiaTheme="majorEastAsia" w:hAnsi="Arial" w:cs="Arial"/>
          <w:sz w:val="24"/>
          <w:szCs w:val="24"/>
        </w:rPr>
        <w:t xml:space="preserve">UK </w:t>
      </w:r>
      <w:r w:rsidRPr="00946B76">
        <w:rPr>
          <w:rFonts w:ascii="Arial" w:eastAsiaTheme="majorEastAsia" w:hAnsi="Arial" w:cs="Arial"/>
          <w:sz w:val="24"/>
          <w:szCs w:val="24"/>
        </w:rPr>
        <w:t xml:space="preserve">surveys on this topic are now </w:t>
      </w:r>
      <w:r w:rsidR="72EB0D25" w:rsidRPr="00946B76">
        <w:rPr>
          <w:rFonts w:ascii="Arial" w:eastAsiaTheme="majorEastAsia" w:hAnsi="Arial" w:cs="Arial"/>
          <w:sz w:val="24"/>
          <w:szCs w:val="24"/>
        </w:rPr>
        <w:t xml:space="preserve">some thirty years old, </w:t>
      </w:r>
      <w:r w:rsidR="5A1DD303" w:rsidRPr="00946B76">
        <w:rPr>
          <w:rFonts w:ascii="Arial" w:eastAsiaTheme="majorEastAsia" w:hAnsi="Arial" w:cs="Arial"/>
          <w:sz w:val="24"/>
          <w:szCs w:val="24"/>
        </w:rPr>
        <w:t>but</w:t>
      </w:r>
      <w:r w:rsidRPr="00946B76">
        <w:rPr>
          <w:rFonts w:ascii="Arial" w:eastAsiaTheme="majorEastAsia" w:hAnsi="Arial" w:cs="Arial"/>
          <w:sz w:val="24"/>
          <w:szCs w:val="24"/>
        </w:rPr>
        <w:t xml:space="preserve"> are revealing about individuals’ perceptions as to the necessity and desirability of voluntary action – albeit at a specific time period, the years of John Major’s premiership, a period of Conservative disharmony and also disinvestment </w:t>
      </w:r>
      <w:r w:rsidR="23FF1543" w:rsidRPr="00946B76">
        <w:rPr>
          <w:rFonts w:ascii="Arial" w:eastAsiaTheme="majorEastAsia" w:hAnsi="Arial" w:cs="Arial"/>
          <w:sz w:val="24"/>
          <w:szCs w:val="24"/>
        </w:rPr>
        <w:t xml:space="preserve">from </w:t>
      </w:r>
      <w:r w:rsidRPr="00946B76">
        <w:rPr>
          <w:rFonts w:ascii="Arial" w:eastAsiaTheme="majorEastAsia" w:hAnsi="Arial" w:cs="Arial"/>
          <w:sz w:val="24"/>
          <w:szCs w:val="24"/>
        </w:rPr>
        <w:t>public services</w:t>
      </w:r>
      <w:r w:rsidR="0AECDE8D" w:rsidRPr="00946B76">
        <w:rPr>
          <w:rFonts w:ascii="Arial" w:eastAsiaTheme="majorEastAsia" w:hAnsi="Arial" w:cs="Arial"/>
          <w:sz w:val="24"/>
          <w:szCs w:val="24"/>
        </w:rPr>
        <w:t xml:space="preserve"> (a period which therefore has much in common with the present day)</w:t>
      </w:r>
      <w:r w:rsidRPr="00946B76">
        <w:rPr>
          <w:rFonts w:ascii="Arial" w:eastAsiaTheme="majorEastAsia" w:hAnsi="Arial" w:cs="Arial"/>
          <w:sz w:val="24"/>
          <w:szCs w:val="24"/>
        </w:rPr>
        <w:t xml:space="preserve">. Nor do we know very much about future </w:t>
      </w:r>
      <w:r w:rsidRPr="00946B76">
        <w:rPr>
          <w:rFonts w:ascii="Arial" w:eastAsiaTheme="majorEastAsia" w:hAnsi="Arial" w:cs="Arial"/>
          <w:i/>
          <w:iCs/>
          <w:sz w:val="24"/>
          <w:szCs w:val="24"/>
        </w:rPr>
        <w:t>intentions</w:t>
      </w:r>
      <w:r w:rsidRPr="00946B76">
        <w:rPr>
          <w:rFonts w:ascii="Arial" w:eastAsiaTheme="majorEastAsia" w:hAnsi="Arial" w:cs="Arial"/>
          <w:sz w:val="24"/>
          <w:szCs w:val="24"/>
        </w:rPr>
        <w:t xml:space="preserve"> regarding voluntary action. </w:t>
      </w:r>
      <w:r w:rsidR="047CB1DD" w:rsidRPr="00946B76">
        <w:rPr>
          <w:rFonts w:ascii="Arial" w:eastAsiaTheme="majorEastAsia" w:hAnsi="Arial" w:cs="Arial"/>
          <w:sz w:val="24"/>
          <w:szCs w:val="24"/>
        </w:rPr>
        <w:t xml:space="preserve">Those claiming a sudden upturn in volunteering have been known to overplay their hand. </w:t>
      </w:r>
      <w:r w:rsidR="294D4C70" w:rsidRPr="00946B76">
        <w:rPr>
          <w:rFonts w:ascii="Arial" w:eastAsiaTheme="majorEastAsia" w:hAnsi="Arial" w:cs="Arial"/>
          <w:sz w:val="24"/>
          <w:szCs w:val="24"/>
        </w:rPr>
        <w:t>In the</w:t>
      </w:r>
      <w:r w:rsidR="58DCA943" w:rsidRPr="00946B76">
        <w:rPr>
          <w:rFonts w:ascii="Arial" w:eastAsiaTheme="majorEastAsia" w:hAnsi="Arial" w:cs="Arial"/>
          <w:sz w:val="24"/>
          <w:szCs w:val="24"/>
        </w:rPr>
        <w:t xml:space="preserve"> </w:t>
      </w:r>
      <w:r w:rsidR="294D4C70" w:rsidRPr="00946B76">
        <w:rPr>
          <w:rFonts w:ascii="Arial" w:eastAsiaTheme="majorEastAsia" w:hAnsi="Arial" w:cs="Arial"/>
          <w:sz w:val="24"/>
          <w:szCs w:val="24"/>
        </w:rPr>
        <w:t xml:space="preserve">UK </w:t>
      </w:r>
      <w:r w:rsidR="17F735A6" w:rsidRPr="00946B76">
        <w:rPr>
          <w:rFonts w:ascii="Arial" w:eastAsiaTheme="majorEastAsia" w:hAnsi="Arial" w:cs="Arial"/>
          <w:sz w:val="24"/>
          <w:szCs w:val="24"/>
        </w:rPr>
        <w:t xml:space="preserve">a prominent think tank closely associated with the new government </w:t>
      </w:r>
      <w:r w:rsidR="6DF3C288" w:rsidRPr="00946B76">
        <w:rPr>
          <w:rFonts w:ascii="Arial" w:eastAsiaTheme="majorEastAsia" w:hAnsi="Arial" w:cs="Arial"/>
          <w:sz w:val="24"/>
          <w:szCs w:val="24"/>
        </w:rPr>
        <w:t xml:space="preserve">proclaimed </w:t>
      </w:r>
      <w:r w:rsidR="294D4C70" w:rsidRPr="00946B76">
        <w:rPr>
          <w:rFonts w:ascii="Arial" w:eastAsiaTheme="majorEastAsia" w:hAnsi="Arial" w:cs="Arial"/>
          <w:sz w:val="24"/>
          <w:szCs w:val="24"/>
        </w:rPr>
        <w:t xml:space="preserve">that </w:t>
      </w:r>
      <w:r w:rsidR="58DCA943" w:rsidRPr="00946B76">
        <w:rPr>
          <w:rFonts w:ascii="Arial" w:eastAsiaTheme="majorEastAsia" w:hAnsi="Arial" w:cs="Arial"/>
          <w:sz w:val="24"/>
          <w:szCs w:val="24"/>
        </w:rPr>
        <w:t>volunteering rates had</w:t>
      </w:r>
      <w:r w:rsidR="0BF75144" w:rsidRPr="00946B76">
        <w:rPr>
          <w:rFonts w:ascii="Arial" w:eastAsiaTheme="majorEastAsia" w:hAnsi="Arial" w:cs="Arial"/>
          <w:sz w:val="24"/>
          <w:szCs w:val="24"/>
        </w:rPr>
        <w:t xml:space="preserve"> allegedly</w:t>
      </w:r>
      <w:r w:rsidR="58DCA943" w:rsidRPr="00946B76">
        <w:rPr>
          <w:rFonts w:ascii="Arial" w:eastAsiaTheme="majorEastAsia" w:hAnsi="Arial" w:cs="Arial"/>
          <w:sz w:val="24"/>
          <w:szCs w:val="24"/>
        </w:rPr>
        <w:t xml:space="preserve"> “doubled” in a short time period</w:t>
      </w:r>
      <w:r w:rsidR="3405D349" w:rsidRPr="00946B76">
        <w:rPr>
          <w:rFonts w:ascii="Arial" w:eastAsiaTheme="majorEastAsia" w:hAnsi="Arial" w:cs="Arial"/>
          <w:sz w:val="24"/>
          <w:szCs w:val="24"/>
        </w:rPr>
        <w:t xml:space="preserve">. The evidence base for this appeared to </w:t>
      </w:r>
      <w:r w:rsidR="3FD02F3A" w:rsidRPr="00946B76">
        <w:rPr>
          <w:rFonts w:ascii="Arial" w:eastAsiaTheme="majorEastAsia" w:hAnsi="Arial" w:cs="Arial"/>
          <w:sz w:val="24"/>
          <w:szCs w:val="24"/>
        </w:rPr>
        <w:t xml:space="preserve">have been </w:t>
      </w:r>
      <w:r w:rsidR="58DCA943" w:rsidRPr="00946B76">
        <w:rPr>
          <w:rFonts w:ascii="Arial" w:eastAsiaTheme="majorEastAsia" w:hAnsi="Arial" w:cs="Arial"/>
          <w:sz w:val="24"/>
          <w:szCs w:val="24"/>
        </w:rPr>
        <w:t xml:space="preserve">newspaper reports </w:t>
      </w:r>
      <w:r w:rsidR="5EF849F6" w:rsidRPr="00946B76">
        <w:rPr>
          <w:rFonts w:ascii="Arial" w:eastAsiaTheme="majorEastAsia" w:hAnsi="Arial" w:cs="Arial"/>
          <w:sz w:val="24"/>
          <w:szCs w:val="24"/>
        </w:rPr>
        <w:t>which</w:t>
      </w:r>
      <w:r w:rsidR="58DCA943" w:rsidRPr="00946B76">
        <w:rPr>
          <w:rFonts w:ascii="Arial" w:eastAsiaTheme="majorEastAsia" w:hAnsi="Arial" w:cs="Arial"/>
          <w:sz w:val="24"/>
          <w:szCs w:val="24"/>
        </w:rPr>
        <w:t xml:space="preserve"> suggest</w:t>
      </w:r>
      <w:r w:rsidR="30F811D1" w:rsidRPr="00946B76">
        <w:rPr>
          <w:rFonts w:ascii="Arial" w:eastAsiaTheme="majorEastAsia" w:hAnsi="Arial" w:cs="Arial"/>
          <w:sz w:val="24"/>
          <w:szCs w:val="24"/>
        </w:rPr>
        <w:t>ed</w:t>
      </w:r>
      <w:r w:rsidR="58DCA943" w:rsidRPr="00946B76">
        <w:rPr>
          <w:rFonts w:ascii="Arial" w:eastAsiaTheme="majorEastAsia" w:hAnsi="Arial" w:cs="Arial"/>
          <w:sz w:val="24"/>
          <w:szCs w:val="24"/>
        </w:rPr>
        <w:t xml:space="preserve"> a relationship between an increase in the demand for volunteering opportunities</w:t>
      </w:r>
      <w:r w:rsidR="09DE291C" w:rsidRPr="00946B76">
        <w:rPr>
          <w:rFonts w:ascii="Arial" w:eastAsiaTheme="majorEastAsia" w:hAnsi="Arial" w:cs="Arial"/>
          <w:sz w:val="24"/>
          <w:szCs w:val="24"/>
        </w:rPr>
        <w:t xml:space="preserve"> and </w:t>
      </w:r>
      <w:r w:rsidR="3B65FC2D" w:rsidRPr="00946B76">
        <w:rPr>
          <w:rFonts w:ascii="Arial" w:eastAsiaTheme="majorEastAsia" w:hAnsi="Arial" w:cs="Arial"/>
          <w:sz w:val="24"/>
          <w:szCs w:val="24"/>
        </w:rPr>
        <w:t xml:space="preserve">the rise in </w:t>
      </w:r>
      <w:r w:rsidR="09DE291C" w:rsidRPr="00946B76">
        <w:rPr>
          <w:rFonts w:ascii="Arial" w:eastAsiaTheme="majorEastAsia" w:hAnsi="Arial" w:cs="Arial"/>
          <w:sz w:val="24"/>
          <w:szCs w:val="24"/>
        </w:rPr>
        <w:t>unemployment induced by the Great Recession</w:t>
      </w:r>
      <w:r w:rsidR="2B3D9259" w:rsidRPr="00946B76">
        <w:rPr>
          <w:rFonts w:ascii="Arial" w:eastAsiaTheme="majorEastAsia" w:hAnsi="Arial" w:cs="Arial"/>
          <w:sz w:val="24"/>
          <w:szCs w:val="24"/>
        </w:rPr>
        <w:t xml:space="preserve"> of 2008-9</w:t>
      </w:r>
      <w:r w:rsidR="09DE291C" w:rsidRPr="00946B76">
        <w:rPr>
          <w:rFonts w:ascii="Arial" w:eastAsiaTheme="majorEastAsia" w:hAnsi="Arial" w:cs="Arial"/>
          <w:sz w:val="24"/>
          <w:szCs w:val="24"/>
        </w:rPr>
        <w:t xml:space="preserve">. </w:t>
      </w:r>
      <w:r w:rsidR="58DCA943" w:rsidRPr="00946B76">
        <w:rPr>
          <w:rFonts w:ascii="Arial" w:eastAsiaTheme="majorEastAsia" w:hAnsi="Arial" w:cs="Arial"/>
          <w:sz w:val="24"/>
          <w:szCs w:val="24"/>
        </w:rPr>
        <w:t xml:space="preserve">A more recent Pro Bono Economics study (2023) claimed that there is substantial evidence of pent-up demand to become engaged in volunteering, and the authors projected an increase of several million volunteers on the back of a survey which stated that a quarter of adults </w:t>
      </w:r>
      <w:r w:rsidR="58DCA943" w:rsidRPr="00946B76">
        <w:rPr>
          <w:rFonts w:ascii="Arial" w:eastAsiaTheme="majorEastAsia" w:hAnsi="Arial" w:cs="Arial"/>
          <w:i/>
          <w:iCs/>
          <w:sz w:val="24"/>
          <w:szCs w:val="24"/>
        </w:rPr>
        <w:t xml:space="preserve">intended to volunteer </w:t>
      </w:r>
      <w:r w:rsidR="58DCA943" w:rsidRPr="00946B76">
        <w:rPr>
          <w:rFonts w:ascii="Arial" w:eastAsiaTheme="majorEastAsia" w:hAnsi="Arial" w:cs="Arial"/>
          <w:sz w:val="24"/>
          <w:szCs w:val="24"/>
        </w:rPr>
        <w:t xml:space="preserve">during 2023.[3] If shown to be true, this would be a completely unprecedented </w:t>
      </w:r>
      <w:r w:rsidR="58DCA943" w:rsidRPr="00946B76">
        <w:rPr>
          <w:rFonts w:ascii="Arial" w:eastAsiaTheme="majorEastAsia" w:hAnsi="Arial" w:cs="Arial"/>
          <w:sz w:val="24"/>
          <w:szCs w:val="24"/>
        </w:rPr>
        <w:lastRenderedPageBreak/>
        <w:t xml:space="preserve">increase, but as far as can be judged the survey didn’t distinguish those who intended to continue volunteering from those who were contemplating doing so for the first time (a proportion actually likely to be quite low, </w:t>
      </w:r>
      <w:r w:rsidR="6079DFCC" w:rsidRPr="00946B76">
        <w:rPr>
          <w:rFonts w:ascii="Arial" w:eastAsiaTheme="majorEastAsia" w:hAnsi="Arial" w:cs="Arial"/>
          <w:sz w:val="24"/>
          <w:szCs w:val="24"/>
        </w:rPr>
        <w:t>because</w:t>
      </w:r>
      <w:r w:rsidR="58DCA943" w:rsidRPr="00946B76">
        <w:rPr>
          <w:rFonts w:ascii="Arial" w:eastAsiaTheme="majorEastAsia" w:hAnsi="Arial" w:cs="Arial"/>
          <w:sz w:val="24"/>
          <w:szCs w:val="24"/>
        </w:rPr>
        <w:t xml:space="preserve"> </w:t>
      </w:r>
      <w:r w:rsidR="0CE62FE4" w:rsidRPr="00946B76">
        <w:rPr>
          <w:rFonts w:ascii="Arial" w:eastAsiaTheme="majorEastAsia" w:hAnsi="Arial" w:cs="Arial"/>
          <w:sz w:val="24"/>
          <w:szCs w:val="24"/>
        </w:rPr>
        <w:t xml:space="preserve">people move into and out of volunteering during their lives, and therefore not all will be entirely new to volunteering). </w:t>
      </w:r>
    </w:p>
    <w:p w14:paraId="4BB70923" w14:textId="6915952E" w:rsidR="5DF6A59B" w:rsidRPr="00946B76" w:rsidRDefault="58DCA943" w:rsidP="0120D1DF">
      <w:pPr>
        <w:spacing w:line="360" w:lineRule="auto"/>
        <w:ind w:firstLine="708"/>
        <w:rPr>
          <w:rFonts w:ascii="Arial" w:eastAsiaTheme="majorEastAsia" w:hAnsi="Arial" w:cs="Arial"/>
          <w:sz w:val="24"/>
          <w:szCs w:val="24"/>
        </w:rPr>
      </w:pPr>
      <w:r w:rsidRPr="00946B76">
        <w:rPr>
          <w:rFonts w:ascii="Arial" w:eastAsiaTheme="majorEastAsia" w:hAnsi="Arial" w:cs="Arial"/>
          <w:sz w:val="24"/>
          <w:szCs w:val="24"/>
        </w:rPr>
        <w:t xml:space="preserve">The problem is the reliability of </w:t>
      </w:r>
      <w:r w:rsidR="01500F66" w:rsidRPr="00946B76">
        <w:rPr>
          <w:rFonts w:ascii="Arial" w:eastAsiaTheme="majorEastAsia" w:hAnsi="Arial" w:cs="Arial"/>
          <w:sz w:val="24"/>
          <w:szCs w:val="24"/>
        </w:rPr>
        <w:t xml:space="preserve">such statements </w:t>
      </w:r>
      <w:r w:rsidRPr="00946B76">
        <w:rPr>
          <w:rFonts w:ascii="Arial" w:eastAsiaTheme="majorEastAsia" w:hAnsi="Arial" w:cs="Arial"/>
          <w:sz w:val="24"/>
          <w:szCs w:val="24"/>
        </w:rPr>
        <w:t xml:space="preserve">of intentions. Volunteering is a </w:t>
      </w:r>
      <w:r w:rsidR="49F10303" w:rsidRPr="00946B76">
        <w:rPr>
          <w:rFonts w:ascii="Arial" w:eastAsiaTheme="majorEastAsia" w:hAnsi="Arial" w:cs="Arial"/>
          <w:sz w:val="24"/>
          <w:szCs w:val="24"/>
        </w:rPr>
        <w:t>socially desirable</w:t>
      </w:r>
      <w:r w:rsidRPr="00946B76">
        <w:rPr>
          <w:rFonts w:ascii="Arial" w:eastAsiaTheme="majorEastAsia" w:hAnsi="Arial" w:cs="Arial"/>
          <w:sz w:val="24"/>
          <w:szCs w:val="24"/>
        </w:rPr>
        <w:t xml:space="preserve"> activity, and we’re naturally predisposed to give the responses to questions that we think will elicit approbation. But we shouldn’t believe that such responses are a sure guide to how people will actually behave. </w:t>
      </w:r>
      <w:r w:rsidR="5264BC4C" w:rsidRPr="00946B76">
        <w:rPr>
          <w:rFonts w:ascii="Arial" w:eastAsiaTheme="majorEastAsia" w:hAnsi="Arial" w:cs="Arial"/>
          <w:sz w:val="24"/>
          <w:szCs w:val="24"/>
        </w:rPr>
        <w:t xml:space="preserve"> </w:t>
      </w:r>
      <w:r w:rsidRPr="00946B76">
        <w:rPr>
          <w:rFonts w:ascii="Arial" w:eastAsiaTheme="majorEastAsia" w:hAnsi="Arial" w:cs="Arial"/>
          <w:sz w:val="24"/>
          <w:szCs w:val="24"/>
        </w:rPr>
        <w:t xml:space="preserve">Attitudes and behaviours are also framed by context; people do not act in a vacuum. The economic and social context influences the resources that people possess and the social networks they </w:t>
      </w:r>
      <w:r w:rsidR="3956D56A" w:rsidRPr="00946B76">
        <w:rPr>
          <w:rFonts w:ascii="Arial" w:eastAsiaTheme="majorEastAsia" w:hAnsi="Arial" w:cs="Arial"/>
          <w:sz w:val="24"/>
          <w:szCs w:val="24"/>
        </w:rPr>
        <w:t>have but</w:t>
      </w:r>
      <w:r w:rsidRPr="00946B76">
        <w:rPr>
          <w:rFonts w:ascii="Arial" w:eastAsiaTheme="majorEastAsia" w:hAnsi="Arial" w:cs="Arial"/>
          <w:sz w:val="24"/>
          <w:szCs w:val="24"/>
        </w:rPr>
        <w:t xml:space="preserve"> appeals to volunteer are framed very much against particular circumstances. There is no way of telling whether the Big Society project of David Cameron would have received a more positive reception had it been launched in more auspicious times, but it was widely perceived as a cover for substantial cuts in public expenditure</w:t>
      </w:r>
      <w:r w:rsidR="269753D1" w:rsidRPr="00946B76">
        <w:rPr>
          <w:rFonts w:ascii="Arial" w:eastAsiaTheme="majorEastAsia" w:hAnsi="Arial" w:cs="Arial"/>
          <w:sz w:val="24"/>
          <w:szCs w:val="24"/>
        </w:rPr>
        <w:t>, and attitudes were therefore negative</w:t>
      </w:r>
      <w:r w:rsidRPr="00946B76">
        <w:rPr>
          <w:rFonts w:ascii="Arial" w:eastAsiaTheme="majorEastAsia" w:hAnsi="Arial" w:cs="Arial"/>
          <w:sz w:val="24"/>
          <w:szCs w:val="24"/>
        </w:rPr>
        <w:t xml:space="preserve">. </w:t>
      </w:r>
      <w:r w:rsidR="5592197F" w:rsidRPr="00946B76">
        <w:rPr>
          <w:rFonts w:ascii="Arial" w:eastAsiaTheme="majorEastAsia" w:hAnsi="Arial" w:cs="Arial"/>
          <w:sz w:val="24"/>
          <w:szCs w:val="24"/>
        </w:rPr>
        <w:t xml:space="preserve">(Lindsey and </w:t>
      </w:r>
      <w:proofErr w:type="spellStart"/>
      <w:r w:rsidR="5592197F" w:rsidRPr="00946B76">
        <w:rPr>
          <w:rFonts w:ascii="Arial" w:eastAsiaTheme="majorEastAsia" w:hAnsi="Arial" w:cs="Arial"/>
          <w:sz w:val="24"/>
          <w:szCs w:val="24"/>
        </w:rPr>
        <w:t>Bulloch</w:t>
      </w:r>
      <w:proofErr w:type="spellEnd"/>
      <w:r w:rsidR="5592197F" w:rsidRPr="00946B76">
        <w:rPr>
          <w:rFonts w:ascii="Arial" w:eastAsiaTheme="majorEastAsia" w:hAnsi="Arial" w:cs="Arial"/>
          <w:sz w:val="24"/>
          <w:szCs w:val="24"/>
        </w:rPr>
        <w:t>, 2013).</w:t>
      </w:r>
    </w:p>
    <w:p w14:paraId="754F74F3" w14:textId="448736DA" w:rsidR="5DF6A59B" w:rsidRPr="00946B76" w:rsidRDefault="5592197F" w:rsidP="0120D1DF">
      <w:pPr>
        <w:spacing w:line="360" w:lineRule="auto"/>
        <w:ind w:firstLine="708"/>
        <w:rPr>
          <w:rFonts w:ascii="Arial" w:eastAsiaTheme="majorEastAsia" w:hAnsi="Arial" w:cs="Arial"/>
          <w:sz w:val="24"/>
          <w:szCs w:val="24"/>
        </w:rPr>
      </w:pPr>
      <w:r w:rsidRPr="00946B76">
        <w:rPr>
          <w:rFonts w:ascii="Arial" w:eastAsiaTheme="majorEastAsia" w:hAnsi="Arial" w:cs="Arial"/>
          <w:sz w:val="24"/>
          <w:szCs w:val="24"/>
        </w:rPr>
        <w:t xml:space="preserve">However, while </w:t>
      </w:r>
      <w:r w:rsidR="15F243D6" w:rsidRPr="00946B76">
        <w:rPr>
          <w:rFonts w:ascii="Arial" w:eastAsiaTheme="majorEastAsia" w:hAnsi="Arial" w:cs="Arial"/>
          <w:sz w:val="24"/>
          <w:szCs w:val="24"/>
        </w:rPr>
        <w:t xml:space="preserve">the UK possesses an exceptional time series of data on social attitudes, only rarely have questions been posed about attitudes to volunteering. </w:t>
      </w:r>
      <w:r w:rsidR="4A24240F" w:rsidRPr="00946B76">
        <w:rPr>
          <w:rFonts w:ascii="Arial" w:eastAsiaTheme="majorEastAsia" w:hAnsi="Arial" w:cs="Arial"/>
          <w:sz w:val="24"/>
          <w:szCs w:val="24"/>
        </w:rPr>
        <w:t xml:space="preserve">National </w:t>
      </w:r>
      <w:r w:rsidR="15F243D6" w:rsidRPr="00946B76">
        <w:rPr>
          <w:rFonts w:ascii="Arial" w:eastAsiaTheme="majorEastAsia" w:hAnsi="Arial" w:cs="Arial"/>
          <w:sz w:val="24"/>
          <w:szCs w:val="24"/>
        </w:rPr>
        <w:t>surveys of volunteering conducted in 1981 and 1991</w:t>
      </w:r>
      <w:r w:rsidR="27813ACD" w:rsidRPr="00946B76">
        <w:rPr>
          <w:rFonts w:ascii="Arial" w:eastAsiaTheme="majorEastAsia" w:hAnsi="Arial" w:cs="Arial"/>
          <w:sz w:val="24"/>
          <w:szCs w:val="24"/>
        </w:rPr>
        <w:t xml:space="preserve"> asked</w:t>
      </w:r>
      <w:r w:rsidR="15F243D6" w:rsidRPr="00946B76">
        <w:rPr>
          <w:rFonts w:ascii="Arial" w:eastAsiaTheme="majorEastAsia" w:hAnsi="Arial" w:cs="Arial"/>
          <w:sz w:val="24"/>
          <w:szCs w:val="24"/>
        </w:rPr>
        <w:t xml:space="preserve"> respondents were asked to react to propositions that “a society with voluntary workers shows that it is a caring society” and that voluntary workers “offer something different that can never be provided by the state”. </w:t>
      </w:r>
      <w:r w:rsidR="65E45452" w:rsidRPr="00946B76">
        <w:rPr>
          <w:rFonts w:ascii="Arial" w:eastAsiaTheme="majorEastAsia" w:hAnsi="Arial" w:cs="Arial"/>
          <w:sz w:val="24"/>
          <w:szCs w:val="24"/>
        </w:rPr>
        <w:t xml:space="preserve">More </w:t>
      </w:r>
      <w:r w:rsidR="15F243D6" w:rsidRPr="00946B76">
        <w:rPr>
          <w:rFonts w:ascii="Arial" w:eastAsiaTheme="majorEastAsia" w:hAnsi="Arial" w:cs="Arial"/>
          <w:sz w:val="24"/>
          <w:szCs w:val="24"/>
        </w:rPr>
        <w:t>specific questions on volunt</w:t>
      </w:r>
      <w:r w:rsidR="1D9BCC70" w:rsidRPr="00946B76">
        <w:rPr>
          <w:rFonts w:ascii="Arial" w:eastAsiaTheme="majorEastAsia" w:hAnsi="Arial" w:cs="Arial"/>
          <w:sz w:val="24"/>
          <w:szCs w:val="24"/>
        </w:rPr>
        <w:t xml:space="preserve">ary action </w:t>
      </w:r>
      <w:r w:rsidR="15F243D6" w:rsidRPr="00946B76">
        <w:rPr>
          <w:rFonts w:ascii="Arial" w:eastAsiaTheme="majorEastAsia" w:hAnsi="Arial" w:cs="Arial"/>
          <w:sz w:val="24"/>
          <w:szCs w:val="24"/>
        </w:rPr>
        <w:t>were asked by the British Social Attitudes Survey (BSAS)</w:t>
      </w:r>
      <w:r w:rsidR="49541A4D" w:rsidRPr="00946B76">
        <w:rPr>
          <w:rFonts w:ascii="Arial" w:eastAsiaTheme="majorEastAsia" w:hAnsi="Arial" w:cs="Arial"/>
          <w:sz w:val="24"/>
          <w:szCs w:val="24"/>
        </w:rPr>
        <w:t xml:space="preserve">, probing the extent of agreement with statements about </w:t>
      </w:r>
      <w:r w:rsidR="15F243D6" w:rsidRPr="00946B76">
        <w:rPr>
          <w:rFonts w:ascii="Arial" w:eastAsiaTheme="majorEastAsia" w:hAnsi="Arial" w:cs="Arial"/>
          <w:sz w:val="24"/>
          <w:szCs w:val="24"/>
        </w:rPr>
        <w:t xml:space="preserve">whether or not they agreed that “everyone has a duty to do voluntary work”, </w:t>
      </w:r>
      <w:r w:rsidR="59D611DB" w:rsidRPr="00946B76">
        <w:rPr>
          <w:rFonts w:ascii="Arial" w:eastAsiaTheme="majorEastAsia" w:hAnsi="Arial" w:cs="Arial"/>
          <w:sz w:val="24"/>
          <w:szCs w:val="24"/>
        </w:rPr>
        <w:t xml:space="preserve">whether </w:t>
      </w:r>
      <w:r w:rsidR="15F243D6" w:rsidRPr="00946B76">
        <w:rPr>
          <w:rFonts w:ascii="Arial" w:eastAsiaTheme="majorEastAsia" w:hAnsi="Arial" w:cs="Arial"/>
          <w:sz w:val="24"/>
          <w:szCs w:val="24"/>
        </w:rPr>
        <w:t xml:space="preserve">“as a society, we rely too much on volunteers”, and </w:t>
      </w:r>
      <w:r w:rsidR="640568E9" w:rsidRPr="00946B76">
        <w:rPr>
          <w:rFonts w:ascii="Arial" w:eastAsiaTheme="majorEastAsia" w:hAnsi="Arial" w:cs="Arial"/>
          <w:sz w:val="24"/>
          <w:szCs w:val="24"/>
        </w:rPr>
        <w:t xml:space="preserve">whether </w:t>
      </w:r>
      <w:r w:rsidR="15F243D6" w:rsidRPr="00946B76">
        <w:rPr>
          <w:rFonts w:ascii="Arial" w:eastAsiaTheme="majorEastAsia" w:hAnsi="Arial" w:cs="Arial"/>
          <w:sz w:val="24"/>
          <w:szCs w:val="24"/>
        </w:rPr>
        <w:t>“voluntary work is a good thing for volunteers because it makes them feel they are contributing to society”. These survey findings are interesting particularly in relation to society’s reliance on volunteers and the question of whether there ought to be a duty to volunteer</w:t>
      </w:r>
      <w:r w:rsidR="0BC79DB6" w:rsidRPr="00946B76">
        <w:rPr>
          <w:rFonts w:ascii="Arial" w:eastAsiaTheme="majorEastAsia" w:hAnsi="Arial" w:cs="Arial"/>
          <w:sz w:val="24"/>
          <w:szCs w:val="24"/>
        </w:rPr>
        <w:t xml:space="preserve">. </w:t>
      </w:r>
    </w:p>
    <w:p w14:paraId="27E75AEB" w14:textId="72BBA417" w:rsidR="5DF6A59B" w:rsidRPr="00946B76" w:rsidRDefault="029C614B" w:rsidP="0120D1DF">
      <w:pPr>
        <w:spacing w:line="360" w:lineRule="auto"/>
        <w:ind w:firstLine="708"/>
        <w:rPr>
          <w:rFonts w:ascii="Arial" w:eastAsiaTheme="majorEastAsia" w:hAnsi="Arial" w:cs="Arial"/>
          <w:sz w:val="24"/>
          <w:szCs w:val="24"/>
        </w:rPr>
      </w:pPr>
      <w:r w:rsidRPr="00946B76">
        <w:rPr>
          <w:rFonts w:ascii="Arial" w:eastAsiaTheme="majorEastAsia" w:hAnsi="Arial" w:cs="Arial"/>
          <w:sz w:val="24"/>
          <w:szCs w:val="24"/>
        </w:rPr>
        <w:lastRenderedPageBreak/>
        <w:t>UK</w:t>
      </w:r>
      <w:r w:rsidR="15F243D6" w:rsidRPr="00946B76">
        <w:rPr>
          <w:rFonts w:ascii="Arial" w:eastAsiaTheme="majorEastAsia" w:hAnsi="Arial" w:cs="Arial"/>
          <w:sz w:val="24"/>
          <w:szCs w:val="24"/>
        </w:rPr>
        <w:t xml:space="preserve"> </w:t>
      </w:r>
      <w:r w:rsidRPr="00946B76">
        <w:rPr>
          <w:rFonts w:ascii="Arial" w:eastAsiaTheme="majorEastAsia" w:hAnsi="Arial" w:cs="Arial"/>
          <w:sz w:val="24"/>
          <w:szCs w:val="24"/>
        </w:rPr>
        <w:t xml:space="preserve">attitudinal surveys have also explored </w:t>
      </w:r>
      <w:r w:rsidR="6E6D8897" w:rsidRPr="00946B76">
        <w:rPr>
          <w:rFonts w:ascii="Arial" w:eastAsiaTheme="majorEastAsia" w:hAnsi="Arial" w:cs="Arial"/>
          <w:sz w:val="24"/>
          <w:szCs w:val="24"/>
        </w:rPr>
        <w:t xml:space="preserve">views about </w:t>
      </w:r>
      <w:r w:rsidR="4CBB34A1" w:rsidRPr="00946B76">
        <w:rPr>
          <w:rFonts w:ascii="Arial" w:eastAsiaTheme="majorEastAsia" w:hAnsi="Arial" w:cs="Arial"/>
          <w:sz w:val="24"/>
          <w:szCs w:val="24"/>
        </w:rPr>
        <w:t xml:space="preserve">the relative roles of </w:t>
      </w:r>
      <w:r w:rsidR="15F243D6" w:rsidRPr="00946B76">
        <w:rPr>
          <w:rFonts w:ascii="Arial" w:eastAsiaTheme="majorEastAsia" w:hAnsi="Arial" w:cs="Arial"/>
          <w:sz w:val="24"/>
          <w:szCs w:val="24"/>
        </w:rPr>
        <w:t xml:space="preserve">statutory </w:t>
      </w:r>
      <w:r w:rsidR="4057D764" w:rsidRPr="00946B76">
        <w:rPr>
          <w:rFonts w:ascii="Arial" w:eastAsiaTheme="majorEastAsia" w:hAnsi="Arial" w:cs="Arial"/>
          <w:sz w:val="24"/>
          <w:szCs w:val="24"/>
        </w:rPr>
        <w:t>and</w:t>
      </w:r>
      <w:r w:rsidR="15F243D6" w:rsidRPr="00946B76">
        <w:rPr>
          <w:rFonts w:ascii="Arial" w:eastAsiaTheme="majorEastAsia" w:hAnsi="Arial" w:cs="Arial"/>
          <w:sz w:val="24"/>
          <w:szCs w:val="24"/>
        </w:rPr>
        <w:t xml:space="preserve"> private responsibility for welfare. The B</w:t>
      </w:r>
      <w:r w:rsidR="36A8D725" w:rsidRPr="00946B76">
        <w:rPr>
          <w:rFonts w:ascii="Arial" w:eastAsiaTheme="majorEastAsia" w:hAnsi="Arial" w:cs="Arial"/>
          <w:sz w:val="24"/>
          <w:szCs w:val="24"/>
        </w:rPr>
        <w:t xml:space="preserve">ritish data </w:t>
      </w:r>
      <w:r w:rsidR="15F243D6" w:rsidRPr="00946B76">
        <w:rPr>
          <w:rFonts w:ascii="Arial" w:eastAsiaTheme="majorEastAsia" w:hAnsi="Arial" w:cs="Arial"/>
          <w:sz w:val="24"/>
          <w:szCs w:val="24"/>
        </w:rPr>
        <w:t xml:space="preserve">demonstrates a cyclical pattern of attitudes either for or against greater government intervention, self-reliance, and higher welfare payments. </w:t>
      </w:r>
      <w:r w:rsidR="130D5456" w:rsidRPr="00946B76">
        <w:rPr>
          <w:rFonts w:ascii="Arial" w:eastAsiaTheme="majorEastAsia" w:hAnsi="Arial" w:cs="Arial"/>
          <w:sz w:val="24"/>
          <w:szCs w:val="24"/>
        </w:rPr>
        <w:t xml:space="preserve">Generally </w:t>
      </w:r>
      <w:r w:rsidR="15F243D6" w:rsidRPr="00946B76">
        <w:rPr>
          <w:rFonts w:ascii="Arial" w:eastAsiaTheme="majorEastAsia" w:hAnsi="Arial" w:cs="Arial"/>
          <w:sz w:val="24"/>
          <w:szCs w:val="24"/>
        </w:rPr>
        <w:t xml:space="preserve">Support for government intervention rose </w:t>
      </w:r>
      <w:r w:rsidR="36204FD3" w:rsidRPr="00946B76">
        <w:rPr>
          <w:rFonts w:ascii="Arial" w:eastAsiaTheme="majorEastAsia" w:hAnsi="Arial" w:cs="Arial"/>
          <w:sz w:val="24"/>
          <w:szCs w:val="24"/>
        </w:rPr>
        <w:t>and fell</w:t>
      </w:r>
      <w:r w:rsidR="2FA3F18E" w:rsidRPr="00946B76">
        <w:rPr>
          <w:rFonts w:ascii="Arial" w:eastAsiaTheme="majorEastAsia" w:hAnsi="Arial" w:cs="Arial"/>
          <w:sz w:val="24"/>
          <w:szCs w:val="24"/>
        </w:rPr>
        <w:t>, broadly in inverse relationship to</w:t>
      </w:r>
      <w:r w:rsidR="36204FD3" w:rsidRPr="00946B76">
        <w:rPr>
          <w:rFonts w:ascii="Arial" w:eastAsiaTheme="majorEastAsia" w:hAnsi="Arial" w:cs="Arial"/>
          <w:sz w:val="24"/>
          <w:szCs w:val="24"/>
        </w:rPr>
        <w:t xml:space="preserve"> the state of the economy and the </w:t>
      </w:r>
      <w:r w:rsidR="7E65544C" w:rsidRPr="00946B76">
        <w:rPr>
          <w:rFonts w:ascii="Arial" w:eastAsiaTheme="majorEastAsia" w:hAnsi="Arial" w:cs="Arial"/>
          <w:sz w:val="24"/>
          <w:szCs w:val="24"/>
        </w:rPr>
        <w:t xml:space="preserve">paucity of </w:t>
      </w:r>
      <w:r w:rsidR="36204FD3" w:rsidRPr="00946B76">
        <w:rPr>
          <w:rFonts w:ascii="Arial" w:eastAsiaTheme="majorEastAsia" w:hAnsi="Arial" w:cs="Arial"/>
          <w:sz w:val="24"/>
          <w:szCs w:val="24"/>
        </w:rPr>
        <w:t xml:space="preserve">government support for those in need. </w:t>
      </w:r>
      <w:r w:rsidR="7BA12C7F" w:rsidRPr="00946B76">
        <w:rPr>
          <w:rFonts w:ascii="Arial" w:eastAsiaTheme="majorEastAsia" w:hAnsi="Arial" w:cs="Arial"/>
          <w:sz w:val="24"/>
          <w:szCs w:val="24"/>
        </w:rPr>
        <w:t xml:space="preserve">While </w:t>
      </w:r>
      <w:r w:rsidR="15F243D6" w:rsidRPr="00946B76">
        <w:rPr>
          <w:rFonts w:ascii="Arial" w:eastAsiaTheme="majorEastAsia" w:hAnsi="Arial" w:cs="Arial"/>
          <w:sz w:val="24"/>
          <w:szCs w:val="24"/>
        </w:rPr>
        <w:t xml:space="preserve">attitudes </w:t>
      </w:r>
      <w:r w:rsidR="65B4711F" w:rsidRPr="00946B76">
        <w:rPr>
          <w:rFonts w:ascii="Arial" w:eastAsiaTheme="majorEastAsia" w:hAnsi="Arial" w:cs="Arial"/>
          <w:sz w:val="24"/>
          <w:szCs w:val="24"/>
        </w:rPr>
        <w:t>have at t</w:t>
      </w:r>
      <w:r w:rsidR="2701696C" w:rsidRPr="00946B76">
        <w:rPr>
          <w:rFonts w:ascii="Arial" w:eastAsiaTheme="majorEastAsia" w:hAnsi="Arial" w:cs="Arial"/>
          <w:sz w:val="24"/>
          <w:szCs w:val="24"/>
        </w:rPr>
        <w:t xml:space="preserve">imes </w:t>
      </w:r>
      <w:r w:rsidR="65B4711F" w:rsidRPr="00946B76">
        <w:rPr>
          <w:rFonts w:ascii="Arial" w:eastAsiaTheme="majorEastAsia" w:hAnsi="Arial" w:cs="Arial"/>
          <w:sz w:val="24"/>
          <w:szCs w:val="24"/>
        </w:rPr>
        <w:t xml:space="preserve">swung </w:t>
      </w:r>
      <w:r w:rsidR="15F243D6" w:rsidRPr="00946B76">
        <w:rPr>
          <w:rFonts w:ascii="Arial" w:eastAsiaTheme="majorEastAsia" w:hAnsi="Arial" w:cs="Arial"/>
          <w:sz w:val="24"/>
          <w:szCs w:val="24"/>
        </w:rPr>
        <w:t xml:space="preserve">away from support for state intervention, </w:t>
      </w:r>
      <w:r w:rsidR="0B4CD36A" w:rsidRPr="00946B76">
        <w:rPr>
          <w:rFonts w:ascii="Arial" w:eastAsiaTheme="majorEastAsia" w:hAnsi="Arial" w:cs="Arial"/>
          <w:sz w:val="24"/>
          <w:szCs w:val="24"/>
        </w:rPr>
        <w:t xml:space="preserve">there has been no shift in levels of voluntary action; </w:t>
      </w:r>
      <w:r w:rsidR="15F243D6" w:rsidRPr="00946B76">
        <w:rPr>
          <w:rFonts w:ascii="Arial" w:eastAsiaTheme="majorEastAsia" w:hAnsi="Arial" w:cs="Arial"/>
          <w:sz w:val="24"/>
          <w:szCs w:val="24"/>
        </w:rPr>
        <w:t xml:space="preserve">behaviour was not switching in favour of greater voluntarism by individuals. Unfortunately, we do not have survey data on which we might base further discussion – for example, more comprehensive data on attitudes to voluntarism – which would enable us to explore the relationships between attitudes and pro-social behaviours in more depth.  </w:t>
      </w:r>
      <w:r w:rsidR="58481B1E" w:rsidRPr="00946B76">
        <w:rPr>
          <w:rFonts w:ascii="Arial" w:eastAsiaTheme="majorEastAsia" w:hAnsi="Arial" w:cs="Arial"/>
          <w:sz w:val="24"/>
          <w:szCs w:val="24"/>
        </w:rPr>
        <w:t xml:space="preserve">Importantly, </w:t>
      </w:r>
      <w:r w:rsidR="67C5F51E" w:rsidRPr="00946B76">
        <w:rPr>
          <w:rFonts w:ascii="Arial" w:eastAsiaTheme="majorEastAsia" w:hAnsi="Arial" w:cs="Arial"/>
          <w:sz w:val="24"/>
          <w:szCs w:val="24"/>
        </w:rPr>
        <w:t xml:space="preserve">none of these surveys, </w:t>
      </w:r>
      <w:r w:rsidR="1B31E682" w:rsidRPr="00946B76">
        <w:rPr>
          <w:rFonts w:ascii="Arial" w:eastAsiaTheme="majorEastAsia" w:hAnsi="Arial" w:cs="Arial"/>
          <w:sz w:val="24"/>
          <w:szCs w:val="24"/>
        </w:rPr>
        <w:t xml:space="preserve">which indicate </w:t>
      </w:r>
      <w:r w:rsidR="58481B1E" w:rsidRPr="00946B76">
        <w:rPr>
          <w:rFonts w:ascii="Arial" w:eastAsiaTheme="majorEastAsia" w:hAnsi="Arial" w:cs="Arial"/>
          <w:sz w:val="24"/>
          <w:szCs w:val="24"/>
        </w:rPr>
        <w:t>broadly supportive attitudes</w:t>
      </w:r>
      <w:r w:rsidR="5A93150C" w:rsidRPr="00946B76">
        <w:rPr>
          <w:rFonts w:ascii="Arial" w:eastAsiaTheme="majorEastAsia" w:hAnsi="Arial" w:cs="Arial"/>
          <w:sz w:val="24"/>
          <w:szCs w:val="24"/>
        </w:rPr>
        <w:t xml:space="preserve"> towards voluntary action</w:t>
      </w:r>
      <w:r w:rsidR="48E976D1" w:rsidRPr="00946B76">
        <w:rPr>
          <w:rFonts w:ascii="Arial" w:eastAsiaTheme="majorEastAsia" w:hAnsi="Arial" w:cs="Arial"/>
          <w:sz w:val="24"/>
          <w:szCs w:val="24"/>
        </w:rPr>
        <w:t xml:space="preserve">, </w:t>
      </w:r>
      <w:r w:rsidR="36C50222" w:rsidRPr="00946B76">
        <w:rPr>
          <w:rFonts w:ascii="Arial" w:eastAsiaTheme="majorEastAsia" w:hAnsi="Arial" w:cs="Arial"/>
          <w:sz w:val="24"/>
          <w:szCs w:val="24"/>
        </w:rPr>
        <w:t>contain</w:t>
      </w:r>
      <w:r w:rsidR="48E976D1" w:rsidRPr="00946B76">
        <w:rPr>
          <w:rFonts w:ascii="Arial" w:eastAsiaTheme="majorEastAsia" w:hAnsi="Arial" w:cs="Arial"/>
          <w:sz w:val="24"/>
          <w:szCs w:val="24"/>
        </w:rPr>
        <w:t xml:space="preserve"> any information about </w:t>
      </w:r>
      <w:r w:rsidR="58481B1E" w:rsidRPr="00946B76">
        <w:rPr>
          <w:rFonts w:ascii="Arial" w:eastAsiaTheme="majorEastAsia" w:hAnsi="Arial" w:cs="Arial"/>
          <w:sz w:val="24"/>
          <w:szCs w:val="24"/>
        </w:rPr>
        <w:t xml:space="preserve">whether people </w:t>
      </w:r>
      <w:r w:rsidR="59B12405" w:rsidRPr="00946B76">
        <w:rPr>
          <w:rFonts w:ascii="Arial" w:eastAsiaTheme="majorEastAsia" w:hAnsi="Arial" w:cs="Arial"/>
          <w:sz w:val="24"/>
          <w:szCs w:val="24"/>
        </w:rPr>
        <w:t>felt they we</w:t>
      </w:r>
      <w:r w:rsidR="58481B1E" w:rsidRPr="00946B76">
        <w:rPr>
          <w:rFonts w:ascii="Arial" w:eastAsiaTheme="majorEastAsia" w:hAnsi="Arial" w:cs="Arial"/>
          <w:sz w:val="24"/>
          <w:szCs w:val="24"/>
        </w:rPr>
        <w:t>re likely to volunteer in the future</w:t>
      </w:r>
      <w:r w:rsidR="43560B07" w:rsidRPr="00946B76">
        <w:rPr>
          <w:rFonts w:ascii="Arial" w:eastAsiaTheme="majorEastAsia" w:hAnsi="Arial" w:cs="Arial"/>
          <w:sz w:val="24"/>
          <w:szCs w:val="24"/>
        </w:rPr>
        <w:t>, or not</w:t>
      </w:r>
      <w:r w:rsidR="58481B1E" w:rsidRPr="00946B76">
        <w:rPr>
          <w:rFonts w:ascii="Arial" w:eastAsiaTheme="majorEastAsia" w:hAnsi="Arial" w:cs="Arial"/>
          <w:sz w:val="24"/>
          <w:szCs w:val="24"/>
        </w:rPr>
        <w:t xml:space="preserve">. </w:t>
      </w:r>
    </w:p>
    <w:p w14:paraId="2B20BB18" w14:textId="68956321" w:rsidR="5DF6A59B" w:rsidRPr="00946B76" w:rsidRDefault="1121BCDE" w:rsidP="0120D1DF">
      <w:pPr>
        <w:spacing w:line="360" w:lineRule="auto"/>
        <w:ind w:firstLine="708"/>
        <w:rPr>
          <w:rFonts w:ascii="Arial" w:eastAsiaTheme="majorEastAsia" w:hAnsi="Arial" w:cs="Arial"/>
          <w:sz w:val="24"/>
          <w:szCs w:val="24"/>
        </w:rPr>
      </w:pPr>
      <w:r w:rsidRPr="00946B76">
        <w:rPr>
          <w:rFonts w:ascii="Arial" w:eastAsiaTheme="majorEastAsia" w:hAnsi="Arial" w:cs="Arial"/>
          <w:sz w:val="24"/>
          <w:szCs w:val="24"/>
        </w:rPr>
        <w:t xml:space="preserve">One way into this </w:t>
      </w:r>
      <w:r w:rsidR="44C1C532" w:rsidRPr="00946B76">
        <w:rPr>
          <w:rFonts w:ascii="Arial" w:eastAsiaTheme="majorEastAsia" w:hAnsi="Arial" w:cs="Arial"/>
          <w:sz w:val="24"/>
          <w:szCs w:val="24"/>
        </w:rPr>
        <w:t xml:space="preserve">subject </w:t>
      </w:r>
      <w:r w:rsidRPr="00946B76">
        <w:rPr>
          <w:rFonts w:ascii="Arial" w:eastAsiaTheme="majorEastAsia" w:hAnsi="Arial" w:cs="Arial"/>
          <w:sz w:val="24"/>
          <w:szCs w:val="24"/>
        </w:rPr>
        <w:t xml:space="preserve">is </w:t>
      </w:r>
      <w:r w:rsidR="15F243D6" w:rsidRPr="00946B76">
        <w:rPr>
          <w:rFonts w:ascii="Arial" w:eastAsiaTheme="majorEastAsia" w:hAnsi="Arial" w:cs="Arial"/>
          <w:sz w:val="24"/>
          <w:szCs w:val="24"/>
        </w:rPr>
        <w:t>a module of questions issued to a subset of participants in the BHPS / Understanding Society longitudinal surveys, namely people aged over 45 who were not retired, and those of pensionable age</w:t>
      </w:r>
      <w:r w:rsidR="72FBD353" w:rsidRPr="00946B76">
        <w:rPr>
          <w:rFonts w:ascii="Arial" w:eastAsiaTheme="majorEastAsia" w:hAnsi="Arial" w:cs="Arial"/>
          <w:sz w:val="24"/>
          <w:szCs w:val="24"/>
        </w:rPr>
        <w:t xml:space="preserve"> (</w:t>
      </w:r>
      <w:r w:rsidR="52F6BD93" w:rsidRPr="00946B76">
        <w:rPr>
          <w:rFonts w:ascii="Arial" w:eastAsiaTheme="majorEastAsia" w:hAnsi="Arial" w:cs="Arial"/>
          <w:sz w:val="24"/>
          <w:szCs w:val="24"/>
        </w:rPr>
        <w:t xml:space="preserve">this was </w:t>
      </w:r>
      <w:r w:rsidR="72FBD353" w:rsidRPr="00946B76">
        <w:rPr>
          <w:rFonts w:ascii="Arial" w:eastAsiaTheme="majorEastAsia" w:hAnsi="Arial" w:cs="Arial"/>
          <w:sz w:val="24"/>
          <w:szCs w:val="24"/>
        </w:rPr>
        <w:t>65 in the UK</w:t>
      </w:r>
      <w:r w:rsidR="47CA5843" w:rsidRPr="00946B76">
        <w:rPr>
          <w:rFonts w:ascii="Arial" w:eastAsiaTheme="majorEastAsia" w:hAnsi="Arial" w:cs="Arial"/>
          <w:sz w:val="24"/>
          <w:szCs w:val="24"/>
        </w:rPr>
        <w:t xml:space="preserve"> but was raised to </w:t>
      </w:r>
      <w:r w:rsidR="42BB4FA9" w:rsidRPr="00946B76">
        <w:rPr>
          <w:rFonts w:ascii="Arial" w:eastAsiaTheme="majorEastAsia" w:hAnsi="Arial" w:cs="Arial"/>
          <w:sz w:val="24"/>
          <w:szCs w:val="24"/>
        </w:rPr>
        <w:t>66 from 2020</w:t>
      </w:r>
      <w:r w:rsidR="72FBD353" w:rsidRPr="00946B76">
        <w:rPr>
          <w:rFonts w:ascii="Arial" w:eastAsiaTheme="majorEastAsia" w:hAnsi="Arial" w:cs="Arial"/>
          <w:sz w:val="24"/>
          <w:szCs w:val="24"/>
        </w:rPr>
        <w:t>)</w:t>
      </w:r>
      <w:r w:rsidR="15F243D6" w:rsidRPr="00946B76">
        <w:rPr>
          <w:rFonts w:ascii="Arial" w:eastAsiaTheme="majorEastAsia" w:hAnsi="Arial" w:cs="Arial"/>
          <w:sz w:val="24"/>
          <w:szCs w:val="24"/>
        </w:rPr>
        <w:t xml:space="preserve">, aged under 71, who did not consider themselves to be retired. They were offered “a list of things that some people say are important about retirement” -  being one’s own boss, having time to take things easy, the opportunity to travel, time for family and friends, time for leisure, and time for voluntary work – and asked to say whether these were very important, moderately  important, somewhat important, or not important. </w:t>
      </w:r>
    </w:p>
    <w:p w14:paraId="4D3D2D7E" w14:textId="2D2DF250" w:rsidR="5DF6A59B" w:rsidRPr="00946B76" w:rsidRDefault="15F243D6" w:rsidP="588AD3AF">
      <w:pPr>
        <w:spacing w:line="360" w:lineRule="auto"/>
        <w:ind w:firstLine="708"/>
        <w:rPr>
          <w:rFonts w:ascii="Arial" w:eastAsiaTheme="majorEastAsia" w:hAnsi="Arial" w:cs="Arial"/>
          <w:sz w:val="24"/>
          <w:szCs w:val="24"/>
        </w:rPr>
      </w:pPr>
      <w:r w:rsidRPr="00946B76">
        <w:rPr>
          <w:rFonts w:ascii="Arial" w:eastAsiaTheme="majorEastAsia" w:hAnsi="Arial" w:cs="Arial"/>
          <w:sz w:val="24"/>
          <w:szCs w:val="24"/>
        </w:rPr>
        <w:t>Having time for voluntary work was the least popular of these options – around 12% regarded it as “very” important and 28% rated it of “moderate” importance. In contrast, between two-third</w:t>
      </w:r>
      <w:r w:rsidR="07A23393" w:rsidRPr="00946B76">
        <w:rPr>
          <w:rFonts w:ascii="Arial" w:eastAsiaTheme="majorEastAsia" w:hAnsi="Arial" w:cs="Arial"/>
          <w:sz w:val="24"/>
          <w:szCs w:val="24"/>
        </w:rPr>
        <w:t>s</w:t>
      </w:r>
      <w:r w:rsidRPr="00946B76">
        <w:rPr>
          <w:rFonts w:ascii="Arial" w:eastAsiaTheme="majorEastAsia" w:hAnsi="Arial" w:cs="Arial"/>
          <w:sz w:val="24"/>
          <w:szCs w:val="24"/>
        </w:rPr>
        <w:t xml:space="preserve"> and over four fifths of respondents rated the options of relaxation, travel, time for friends and family, and leisure pursuits as either very or moderately important, with over 55% indicating that family and friends were very important to them. The relative rankings and proportions involved have been broadly constant over time – voluntary work is always the response that </w:t>
      </w:r>
      <w:r w:rsidRPr="00946B76">
        <w:rPr>
          <w:rFonts w:ascii="Arial" w:eastAsiaTheme="majorEastAsia" w:hAnsi="Arial" w:cs="Arial"/>
          <w:sz w:val="24"/>
          <w:szCs w:val="24"/>
        </w:rPr>
        <w:lastRenderedPageBreak/>
        <w:t xml:space="preserve">attracts the least positive endorsement, </w:t>
      </w:r>
      <w:r w:rsidR="4C53B954" w:rsidRPr="00946B76">
        <w:rPr>
          <w:rFonts w:ascii="Arial" w:eastAsiaTheme="majorEastAsia" w:hAnsi="Arial" w:cs="Arial"/>
          <w:sz w:val="24"/>
          <w:szCs w:val="24"/>
        </w:rPr>
        <w:t>while when</w:t>
      </w:r>
      <w:r w:rsidRPr="00946B76">
        <w:rPr>
          <w:rFonts w:ascii="Arial" w:eastAsiaTheme="majorEastAsia" w:hAnsi="Arial" w:cs="Arial"/>
          <w:sz w:val="24"/>
          <w:szCs w:val="24"/>
        </w:rPr>
        <w:t xml:space="preserve"> these questions were first posed in 2001, 11% and 27% indicated that time for voluntary work was </w:t>
      </w:r>
      <w:r w:rsidR="048BB984" w:rsidRPr="00946B76">
        <w:rPr>
          <w:rFonts w:ascii="Arial" w:eastAsiaTheme="majorEastAsia" w:hAnsi="Arial" w:cs="Arial"/>
          <w:sz w:val="24"/>
          <w:szCs w:val="24"/>
        </w:rPr>
        <w:t>very and</w:t>
      </w:r>
      <w:r w:rsidRPr="00946B76">
        <w:rPr>
          <w:rFonts w:ascii="Arial" w:eastAsiaTheme="majorEastAsia" w:hAnsi="Arial" w:cs="Arial"/>
          <w:sz w:val="24"/>
          <w:szCs w:val="24"/>
        </w:rPr>
        <w:t xml:space="preserve"> moderately important, respectively. Even among those who were already active volunteers, voluntary work was the least popular </w:t>
      </w:r>
      <w:r w:rsidR="0E0CD16D" w:rsidRPr="00946B76">
        <w:rPr>
          <w:rFonts w:ascii="Arial" w:eastAsiaTheme="majorEastAsia" w:hAnsi="Arial" w:cs="Arial"/>
          <w:sz w:val="24"/>
          <w:szCs w:val="24"/>
        </w:rPr>
        <w:t>choice</w:t>
      </w:r>
      <w:r w:rsidRPr="00946B76">
        <w:rPr>
          <w:rFonts w:ascii="Arial" w:eastAsiaTheme="majorEastAsia" w:hAnsi="Arial" w:cs="Arial"/>
          <w:sz w:val="24"/>
          <w:szCs w:val="24"/>
        </w:rPr>
        <w:t xml:space="preserve">. </w:t>
      </w:r>
      <w:r w:rsidR="40C8BA7D" w:rsidRPr="00946B76">
        <w:rPr>
          <w:rFonts w:ascii="Arial" w:eastAsiaTheme="majorEastAsia" w:hAnsi="Arial" w:cs="Arial"/>
          <w:sz w:val="24"/>
          <w:szCs w:val="24"/>
        </w:rPr>
        <w:t xml:space="preserve">This gives us a broad ordering of people’s priorities </w:t>
      </w:r>
      <w:r w:rsidR="5CFB770F" w:rsidRPr="00946B76">
        <w:rPr>
          <w:rFonts w:ascii="Arial" w:eastAsiaTheme="majorEastAsia" w:hAnsi="Arial" w:cs="Arial"/>
          <w:sz w:val="24"/>
          <w:szCs w:val="24"/>
        </w:rPr>
        <w:t xml:space="preserve">and clearly indicates that </w:t>
      </w:r>
      <w:r w:rsidR="4368F81D" w:rsidRPr="00946B76">
        <w:rPr>
          <w:rFonts w:ascii="Arial" w:eastAsiaTheme="majorEastAsia" w:hAnsi="Arial" w:cs="Arial"/>
          <w:sz w:val="24"/>
          <w:szCs w:val="24"/>
        </w:rPr>
        <w:t xml:space="preserve">volunteering is by no means uppermost in people’s minds when compared with other potential priorities. </w:t>
      </w:r>
    </w:p>
    <w:p w14:paraId="598138CF" w14:textId="08CE43D8" w:rsidR="5B1098B2" w:rsidRPr="00946B76" w:rsidRDefault="50F8DB50" w:rsidP="26234BE2">
      <w:pPr>
        <w:spacing w:line="360" w:lineRule="auto"/>
        <w:rPr>
          <w:rFonts w:ascii="Arial" w:eastAsiaTheme="majorEastAsia" w:hAnsi="Arial" w:cs="Arial"/>
          <w:b/>
          <w:bCs/>
          <w:sz w:val="24"/>
          <w:szCs w:val="24"/>
        </w:rPr>
      </w:pPr>
      <w:r w:rsidRPr="00946B76">
        <w:rPr>
          <w:rFonts w:ascii="Arial" w:eastAsiaTheme="majorEastAsia" w:hAnsi="Arial" w:cs="Arial"/>
          <w:b/>
          <w:bCs/>
          <w:sz w:val="24"/>
          <w:szCs w:val="24"/>
        </w:rPr>
        <w:t>3</w:t>
      </w:r>
      <w:r w:rsidR="5B1098B2" w:rsidRPr="00946B76">
        <w:rPr>
          <w:rFonts w:ascii="Arial" w:eastAsiaTheme="majorEastAsia" w:hAnsi="Arial" w:cs="Arial"/>
          <w:b/>
          <w:bCs/>
          <w:sz w:val="24"/>
          <w:szCs w:val="24"/>
        </w:rPr>
        <w:t>. Data and Descriptives</w:t>
      </w:r>
    </w:p>
    <w:p w14:paraId="064B29BD" w14:textId="52695C3C" w:rsidR="53BE37E0" w:rsidRPr="00946B76" w:rsidRDefault="3B40DCD3" w:rsidP="588AD3AF">
      <w:pPr>
        <w:spacing w:line="360" w:lineRule="auto"/>
        <w:rPr>
          <w:rFonts w:ascii="Arial" w:eastAsiaTheme="majorEastAsia" w:hAnsi="Arial" w:cs="Arial"/>
          <w:sz w:val="24"/>
          <w:szCs w:val="24"/>
        </w:rPr>
      </w:pPr>
      <w:r w:rsidRPr="00946B76">
        <w:rPr>
          <w:rFonts w:ascii="Arial" w:eastAsiaTheme="majorEastAsia" w:hAnsi="Arial" w:cs="Arial"/>
          <w:sz w:val="24"/>
          <w:szCs w:val="24"/>
        </w:rPr>
        <w:t>How can we move beyond the frequency counts and rankings of survey data? We now describe a source and method which to our knowledge h</w:t>
      </w:r>
      <w:r w:rsidR="05E539E8" w:rsidRPr="00946B76">
        <w:rPr>
          <w:rFonts w:ascii="Arial" w:eastAsiaTheme="majorEastAsia" w:hAnsi="Arial" w:cs="Arial"/>
          <w:sz w:val="24"/>
          <w:szCs w:val="24"/>
        </w:rPr>
        <w:t xml:space="preserve">as </w:t>
      </w:r>
      <w:r w:rsidRPr="00946B76">
        <w:rPr>
          <w:rFonts w:ascii="Arial" w:eastAsiaTheme="majorEastAsia" w:hAnsi="Arial" w:cs="Arial"/>
          <w:sz w:val="24"/>
          <w:szCs w:val="24"/>
        </w:rPr>
        <w:t xml:space="preserve">not previously been deployed in this field. Our </w:t>
      </w:r>
      <w:r w:rsidR="4EA31B58" w:rsidRPr="00946B76">
        <w:rPr>
          <w:rFonts w:ascii="Arial" w:eastAsiaTheme="majorEastAsia" w:hAnsi="Arial" w:cs="Arial"/>
          <w:sz w:val="24"/>
          <w:szCs w:val="24"/>
        </w:rPr>
        <w:t xml:space="preserve">data were drawn from the tenth sweep of the National Child Development Survey (2008). The NCDS is currently conducted by the Centre for Longitudinal Studies </w:t>
      </w:r>
      <w:r w:rsidR="141DB0AD" w:rsidRPr="00946B76">
        <w:rPr>
          <w:rFonts w:ascii="Arial" w:eastAsiaTheme="majorEastAsia" w:hAnsi="Arial" w:cs="Arial"/>
          <w:sz w:val="24"/>
          <w:szCs w:val="24"/>
        </w:rPr>
        <w:t>as part of a wider suite of British longitudinal s</w:t>
      </w:r>
      <w:r w:rsidR="27F1E85A" w:rsidRPr="00946B76">
        <w:rPr>
          <w:rFonts w:ascii="Arial" w:eastAsiaTheme="majorEastAsia" w:hAnsi="Arial" w:cs="Arial"/>
          <w:sz w:val="24"/>
          <w:szCs w:val="24"/>
        </w:rPr>
        <w:t>urvey</w:t>
      </w:r>
      <w:r w:rsidR="141DB0AD" w:rsidRPr="00946B76">
        <w:rPr>
          <w:rFonts w:ascii="Arial" w:eastAsiaTheme="majorEastAsia" w:hAnsi="Arial" w:cs="Arial"/>
          <w:sz w:val="24"/>
          <w:szCs w:val="24"/>
        </w:rPr>
        <w:t>s</w:t>
      </w:r>
      <w:r w:rsidR="283E3593" w:rsidRPr="00946B76">
        <w:rPr>
          <w:rFonts w:ascii="Arial" w:eastAsiaTheme="majorEastAsia" w:hAnsi="Arial" w:cs="Arial"/>
          <w:sz w:val="24"/>
          <w:szCs w:val="24"/>
        </w:rPr>
        <w:t xml:space="preserve"> (see </w:t>
      </w:r>
      <w:hyperlink r:id="rId8">
        <w:r w:rsidR="283E3593" w:rsidRPr="00946B76">
          <w:rPr>
            <w:rStyle w:val="Hyperlink"/>
            <w:rFonts w:ascii="Arial" w:eastAsiaTheme="majorEastAsia" w:hAnsi="Arial" w:cs="Arial"/>
            <w:sz w:val="24"/>
            <w:szCs w:val="24"/>
          </w:rPr>
          <w:t>https://www.closer.ac.uk</w:t>
        </w:r>
      </w:hyperlink>
      <w:r w:rsidR="283E3593" w:rsidRPr="00946B76">
        <w:rPr>
          <w:rFonts w:ascii="Arial" w:eastAsiaTheme="majorEastAsia" w:hAnsi="Arial" w:cs="Arial"/>
          <w:sz w:val="24"/>
          <w:szCs w:val="24"/>
        </w:rPr>
        <w:t>)</w:t>
      </w:r>
      <w:r w:rsidR="4EA31B58" w:rsidRPr="00946B76">
        <w:rPr>
          <w:rFonts w:ascii="Arial" w:eastAsiaTheme="majorEastAsia" w:hAnsi="Arial" w:cs="Arial"/>
          <w:sz w:val="24"/>
          <w:szCs w:val="24"/>
        </w:rPr>
        <w:t xml:space="preserve">. The study, which has been collecting data since the birth of its </w:t>
      </w:r>
      <w:r w:rsidR="3D33CDEF" w:rsidRPr="00946B76">
        <w:rPr>
          <w:rFonts w:ascii="Arial" w:eastAsiaTheme="majorEastAsia" w:hAnsi="Arial" w:cs="Arial"/>
          <w:sz w:val="24"/>
          <w:szCs w:val="24"/>
        </w:rPr>
        <w:t xml:space="preserve">12000 initial </w:t>
      </w:r>
      <w:r w:rsidR="4EA31B58" w:rsidRPr="00946B76">
        <w:rPr>
          <w:rFonts w:ascii="Arial" w:eastAsiaTheme="majorEastAsia" w:hAnsi="Arial" w:cs="Arial"/>
          <w:sz w:val="24"/>
          <w:szCs w:val="24"/>
        </w:rPr>
        <w:t>participants</w:t>
      </w:r>
      <w:r w:rsidR="708AC15E" w:rsidRPr="00946B76">
        <w:rPr>
          <w:rFonts w:ascii="Arial" w:eastAsiaTheme="majorEastAsia" w:hAnsi="Arial" w:cs="Arial"/>
          <w:sz w:val="24"/>
          <w:szCs w:val="24"/>
        </w:rPr>
        <w:t xml:space="preserve"> (all those born in a selected week </w:t>
      </w:r>
      <w:r w:rsidR="4EA31B58" w:rsidRPr="00946B76">
        <w:rPr>
          <w:rFonts w:ascii="Arial" w:eastAsiaTheme="majorEastAsia" w:hAnsi="Arial" w:cs="Arial"/>
          <w:sz w:val="24"/>
          <w:szCs w:val="24"/>
        </w:rPr>
        <w:t>in 1958</w:t>
      </w:r>
      <w:r w:rsidR="643CDD2F" w:rsidRPr="00946B76">
        <w:rPr>
          <w:rFonts w:ascii="Arial" w:eastAsiaTheme="majorEastAsia" w:hAnsi="Arial" w:cs="Arial"/>
          <w:sz w:val="24"/>
          <w:szCs w:val="24"/>
        </w:rPr>
        <w:t>)</w:t>
      </w:r>
      <w:r w:rsidR="4EA31B58" w:rsidRPr="00946B76">
        <w:rPr>
          <w:rFonts w:ascii="Arial" w:eastAsiaTheme="majorEastAsia" w:hAnsi="Arial" w:cs="Arial"/>
          <w:sz w:val="24"/>
          <w:szCs w:val="24"/>
        </w:rPr>
        <w:t xml:space="preserve">, aims to chart various social, economic, and health conditions throughout their lifetime. </w:t>
      </w:r>
      <w:r w:rsidR="498651B7" w:rsidRPr="00946B76">
        <w:rPr>
          <w:rFonts w:ascii="Arial" w:eastAsiaTheme="majorEastAsia" w:hAnsi="Arial" w:cs="Arial"/>
          <w:sz w:val="24"/>
          <w:szCs w:val="24"/>
        </w:rPr>
        <w:t xml:space="preserve">Cohort members are </w:t>
      </w:r>
      <w:r w:rsidR="29D108A7" w:rsidRPr="00946B76">
        <w:rPr>
          <w:rFonts w:ascii="Arial" w:eastAsiaTheme="majorEastAsia" w:hAnsi="Arial" w:cs="Arial"/>
          <w:sz w:val="24"/>
          <w:szCs w:val="24"/>
        </w:rPr>
        <w:t xml:space="preserve">re-surveyed at intervals – usually every seven years, though with some gaps. The full survey design and data can be publicly accessed (UK Data service, 2022). Though there is attrition due to death, loss of contact with participants, and unwillingness to engage with individual survey waves, there were still 9760 cohort members who participated in the 2008 sweep, when they were aged 50 – a wave of the study of particular interest to us.  </w:t>
      </w:r>
      <w:r w:rsidR="79D8DB8D" w:rsidRPr="00946B76">
        <w:rPr>
          <w:rFonts w:ascii="Arial" w:eastAsiaTheme="majorEastAsia" w:hAnsi="Arial" w:cs="Arial"/>
          <w:sz w:val="24"/>
          <w:szCs w:val="24"/>
        </w:rPr>
        <w:t>From</w:t>
      </w:r>
      <w:r w:rsidR="4B2FBF92" w:rsidRPr="00946B76">
        <w:rPr>
          <w:rFonts w:ascii="Arial" w:eastAsiaTheme="majorEastAsia" w:hAnsi="Arial" w:cs="Arial"/>
          <w:sz w:val="24"/>
          <w:szCs w:val="24"/>
        </w:rPr>
        <w:t xml:space="preserve"> time to time this study has offered participants the opportunity to respond in writing to open-ended questions, in whatever way they saw fit. Thus the </w:t>
      </w:r>
      <w:r w:rsidR="1A4D1175" w:rsidRPr="00946B76">
        <w:rPr>
          <w:rFonts w:ascii="Arial" w:eastAsiaTheme="majorEastAsia" w:hAnsi="Arial" w:cs="Arial"/>
          <w:sz w:val="24"/>
          <w:szCs w:val="24"/>
        </w:rPr>
        <w:t xml:space="preserve">survey provides extensive quantitative data on people’s life courses, complemented by </w:t>
      </w:r>
      <w:r w:rsidR="4EA31B58" w:rsidRPr="00946B76">
        <w:rPr>
          <w:rFonts w:ascii="Arial" w:eastAsiaTheme="majorEastAsia" w:hAnsi="Arial" w:cs="Arial"/>
          <w:sz w:val="24"/>
          <w:szCs w:val="24"/>
        </w:rPr>
        <w:t xml:space="preserve">rich, </w:t>
      </w:r>
      <w:r w:rsidR="53FF67FF" w:rsidRPr="00946B76">
        <w:rPr>
          <w:rFonts w:ascii="Arial" w:eastAsiaTheme="majorEastAsia" w:hAnsi="Arial" w:cs="Arial"/>
          <w:sz w:val="24"/>
          <w:szCs w:val="24"/>
        </w:rPr>
        <w:t xml:space="preserve">textual </w:t>
      </w:r>
      <w:r w:rsidR="4EA31B58" w:rsidRPr="00946B76">
        <w:rPr>
          <w:rFonts w:ascii="Arial" w:eastAsiaTheme="majorEastAsia" w:hAnsi="Arial" w:cs="Arial"/>
          <w:sz w:val="24"/>
          <w:szCs w:val="24"/>
        </w:rPr>
        <w:t>descriptive information.</w:t>
      </w:r>
    </w:p>
    <w:p w14:paraId="7E5FC8B5" w14:textId="19E84450" w:rsidR="53BE37E0" w:rsidRPr="00946B76" w:rsidRDefault="53BE37E0" w:rsidP="588AD3AF">
      <w:pPr>
        <w:spacing w:line="360" w:lineRule="auto"/>
        <w:ind w:firstLine="708"/>
        <w:rPr>
          <w:rFonts w:ascii="Arial" w:eastAsiaTheme="majorEastAsia" w:hAnsi="Arial" w:cs="Arial"/>
          <w:sz w:val="24"/>
          <w:szCs w:val="24"/>
        </w:rPr>
      </w:pPr>
      <w:r w:rsidRPr="00946B76">
        <w:rPr>
          <w:rFonts w:ascii="Arial" w:eastAsiaTheme="majorEastAsia" w:hAnsi="Arial" w:cs="Arial"/>
          <w:sz w:val="24"/>
          <w:szCs w:val="24"/>
        </w:rPr>
        <w:t xml:space="preserve">Our immediate attention was drawn to the final question from the 2008 survey. In this essay-type question, cohort members were asked to imagine their life in ten years. They were asked to describe their thoughts, with specific attention to their interests, home life, health and well-being, and any work they might be doing. </w:t>
      </w:r>
      <w:r w:rsidR="7C994F97" w:rsidRPr="00946B76">
        <w:rPr>
          <w:rFonts w:ascii="Arial" w:eastAsiaTheme="majorEastAsia" w:hAnsi="Arial" w:cs="Arial"/>
          <w:sz w:val="24"/>
          <w:szCs w:val="24"/>
        </w:rPr>
        <w:t>The wording of the prompt was:</w:t>
      </w:r>
    </w:p>
    <w:p w14:paraId="7E5BB8F7" w14:textId="573C54ED" w:rsidR="53BE37E0" w:rsidRPr="00946B76" w:rsidRDefault="287458A6" w:rsidP="588AD3AF">
      <w:pPr>
        <w:spacing w:line="360" w:lineRule="auto"/>
        <w:ind w:firstLine="708"/>
        <w:rPr>
          <w:rFonts w:ascii="Arial" w:eastAsiaTheme="majorEastAsia" w:hAnsi="Arial" w:cs="Arial"/>
          <w:sz w:val="24"/>
          <w:szCs w:val="24"/>
        </w:rPr>
      </w:pPr>
      <w:r w:rsidRPr="00946B76">
        <w:rPr>
          <w:rFonts w:ascii="Arial" w:eastAsiaTheme="majorEastAsia" w:hAnsi="Arial" w:cs="Arial"/>
          <w:sz w:val="24"/>
          <w:szCs w:val="24"/>
        </w:rPr>
        <w:lastRenderedPageBreak/>
        <w:t>“Imagine that you are now 60 years old. Please write a few lines about the life you are leading (your interests, your home life, your health and well-being, and any work you may be doing)”.</w:t>
      </w:r>
      <w:r w:rsidR="7363F7DB" w:rsidRPr="00946B76">
        <w:rPr>
          <w:rFonts w:ascii="Arial" w:eastAsiaTheme="majorEastAsia" w:hAnsi="Arial" w:cs="Arial"/>
          <w:sz w:val="24"/>
          <w:szCs w:val="24"/>
        </w:rPr>
        <w:t xml:space="preserve"> (Elliott, 2020).</w:t>
      </w:r>
    </w:p>
    <w:p w14:paraId="38BB203B" w14:textId="7D1F8C13" w:rsidR="53BE37E0" w:rsidRPr="00946B76" w:rsidRDefault="4EA31B58" w:rsidP="26234BE2">
      <w:pPr>
        <w:spacing w:line="360" w:lineRule="auto"/>
        <w:rPr>
          <w:rFonts w:ascii="Arial" w:eastAsiaTheme="majorEastAsia" w:hAnsi="Arial" w:cs="Arial"/>
          <w:sz w:val="24"/>
          <w:szCs w:val="24"/>
        </w:rPr>
      </w:pPr>
      <w:r w:rsidRPr="00946B76">
        <w:rPr>
          <w:rFonts w:ascii="Arial" w:eastAsiaTheme="majorEastAsia" w:hAnsi="Arial" w:cs="Arial"/>
          <w:sz w:val="24"/>
          <w:szCs w:val="24"/>
        </w:rPr>
        <w:t>We expected responses to indicate a detailed contextual picture of the lives people expect to live in a certain time period. Although not specifically related to voluntary action, we expected the data to hold descriptive information on a variety of behaviours that could</w:t>
      </w:r>
      <w:r w:rsidR="07C6CB3F" w:rsidRPr="00946B76">
        <w:rPr>
          <w:rFonts w:ascii="Arial" w:eastAsiaTheme="majorEastAsia" w:hAnsi="Arial" w:cs="Arial"/>
          <w:sz w:val="24"/>
          <w:szCs w:val="24"/>
        </w:rPr>
        <w:t xml:space="preserve"> – we hoped - </w:t>
      </w:r>
      <w:r w:rsidRPr="00946B76">
        <w:rPr>
          <w:rFonts w:ascii="Arial" w:eastAsiaTheme="majorEastAsia" w:hAnsi="Arial" w:cs="Arial"/>
          <w:sz w:val="24"/>
          <w:szCs w:val="24"/>
        </w:rPr>
        <w:t>include in-depth insights on (1) currently invisible voluntary action and (2) future potential voluntary action.</w:t>
      </w:r>
    </w:p>
    <w:p w14:paraId="6B2CCF87" w14:textId="699761B4" w:rsidR="26234BE2" w:rsidRPr="00946B76" w:rsidRDefault="4EA31B58" w:rsidP="0120D1DF">
      <w:pPr>
        <w:spacing w:line="360" w:lineRule="auto"/>
        <w:ind w:firstLine="708"/>
        <w:rPr>
          <w:rFonts w:ascii="Arial" w:eastAsiaTheme="majorEastAsia" w:hAnsi="Arial" w:cs="Arial"/>
          <w:sz w:val="24"/>
          <w:szCs w:val="24"/>
        </w:rPr>
      </w:pPr>
      <w:r w:rsidRPr="00946B76">
        <w:rPr>
          <w:rFonts w:ascii="Arial" w:eastAsiaTheme="majorEastAsia" w:hAnsi="Arial" w:cs="Arial"/>
          <w:sz w:val="24"/>
          <w:szCs w:val="24"/>
        </w:rPr>
        <w:t>What is especially interesting about the timing of this question, is that when members were asked about this, they would likely have expected to approach retirement age in or after those 10 years. As it is often assumed that this Baby Boom Generation will enter the voluntary sector at this time, this data could hold rather important information for testing t</w:t>
      </w:r>
      <w:r w:rsidR="3DB5A8EA" w:rsidRPr="00946B76">
        <w:rPr>
          <w:rFonts w:ascii="Arial" w:eastAsiaTheme="majorEastAsia" w:hAnsi="Arial" w:cs="Arial"/>
          <w:sz w:val="24"/>
          <w:szCs w:val="24"/>
        </w:rPr>
        <w:t xml:space="preserve">he </w:t>
      </w:r>
      <w:r w:rsidRPr="00946B76">
        <w:rPr>
          <w:rFonts w:ascii="Arial" w:eastAsiaTheme="majorEastAsia" w:hAnsi="Arial" w:cs="Arial"/>
          <w:sz w:val="24"/>
          <w:szCs w:val="24"/>
        </w:rPr>
        <w:t>assumption</w:t>
      </w:r>
      <w:r w:rsidR="40E2E2B1" w:rsidRPr="00946B76">
        <w:rPr>
          <w:rFonts w:ascii="Arial" w:eastAsiaTheme="majorEastAsia" w:hAnsi="Arial" w:cs="Arial"/>
          <w:sz w:val="24"/>
          <w:szCs w:val="24"/>
        </w:rPr>
        <w:t xml:space="preserve"> that they w</w:t>
      </w:r>
      <w:r w:rsidR="35E6D8D3" w:rsidRPr="00946B76">
        <w:rPr>
          <w:rFonts w:ascii="Arial" w:eastAsiaTheme="majorEastAsia" w:hAnsi="Arial" w:cs="Arial"/>
          <w:sz w:val="24"/>
          <w:szCs w:val="24"/>
        </w:rPr>
        <w:t xml:space="preserve">ould </w:t>
      </w:r>
      <w:r w:rsidR="40E2E2B1" w:rsidRPr="00946B76">
        <w:rPr>
          <w:rFonts w:ascii="Arial" w:eastAsiaTheme="majorEastAsia" w:hAnsi="Arial" w:cs="Arial"/>
          <w:sz w:val="24"/>
          <w:szCs w:val="24"/>
        </w:rPr>
        <w:t>be actively considering becoming involved in voluntary action</w:t>
      </w:r>
      <w:r w:rsidRPr="00946B76">
        <w:rPr>
          <w:rFonts w:ascii="Arial" w:eastAsiaTheme="majorEastAsia" w:hAnsi="Arial" w:cs="Arial"/>
          <w:sz w:val="24"/>
          <w:szCs w:val="24"/>
        </w:rPr>
        <w:t>.</w:t>
      </w:r>
      <w:r w:rsidR="4A454615" w:rsidRPr="00946B76">
        <w:rPr>
          <w:rFonts w:ascii="Arial" w:eastAsiaTheme="majorEastAsia" w:hAnsi="Arial" w:cs="Arial"/>
          <w:sz w:val="24"/>
          <w:szCs w:val="24"/>
        </w:rPr>
        <w:t xml:space="preserve"> </w:t>
      </w:r>
      <w:r w:rsidR="3DAA28B7" w:rsidRPr="00946B76">
        <w:rPr>
          <w:rFonts w:ascii="Arial" w:eastAsiaTheme="majorEastAsia" w:hAnsi="Arial" w:cs="Arial"/>
          <w:sz w:val="24"/>
          <w:szCs w:val="24"/>
        </w:rPr>
        <w:t xml:space="preserve">In total, 7378 members of this survey cohort responded, although in many cases only a few words or sentences were written. </w:t>
      </w:r>
      <w:r w:rsidR="625E2EF0" w:rsidRPr="00946B76">
        <w:rPr>
          <w:rFonts w:ascii="Arial" w:eastAsiaTheme="majorEastAsia" w:hAnsi="Arial" w:cs="Arial"/>
          <w:sz w:val="24"/>
          <w:szCs w:val="24"/>
        </w:rPr>
        <w:t xml:space="preserve">An initial and basic analysis, simply using frequency </w:t>
      </w:r>
      <w:r w:rsidR="3DAA28B7" w:rsidRPr="00946B76">
        <w:rPr>
          <w:rFonts w:ascii="Arial" w:eastAsiaTheme="majorEastAsia" w:hAnsi="Arial" w:cs="Arial"/>
          <w:sz w:val="24"/>
          <w:szCs w:val="24"/>
        </w:rPr>
        <w:t>counts of common terms such as “voluntary work”, “volunteering”, or “charity work”</w:t>
      </w:r>
      <w:r w:rsidR="0C4F544B" w:rsidRPr="00946B76">
        <w:rPr>
          <w:rFonts w:ascii="Arial" w:eastAsiaTheme="majorEastAsia" w:hAnsi="Arial" w:cs="Arial"/>
          <w:sz w:val="24"/>
          <w:szCs w:val="24"/>
        </w:rPr>
        <w:t>,</w:t>
      </w:r>
      <w:r w:rsidR="3DAA28B7" w:rsidRPr="00946B76">
        <w:rPr>
          <w:rFonts w:ascii="Arial" w:eastAsiaTheme="majorEastAsia" w:hAnsi="Arial" w:cs="Arial"/>
          <w:sz w:val="24"/>
          <w:szCs w:val="24"/>
        </w:rPr>
        <w:t xml:space="preserve"> showed relatively few direct references to anything that was recognisable as voluntary action. There were 450 responses including the phrase “voluntary work”, and another 55 featuring the word "volunteer", while 141 referred to "helping". However, quick inspection of the latter shows a number were referring to helping children and grandchildren, so that is not an unambiguous indication (and of course this relates to wider confusions about what counts as voluntary action, as well as providing an indication of respondent priorities). A further 76 referred to charities including one who envisages that they will "work two days a week in the local charity shop". Differences in phraseology are fascinating: some report “helping” in the charity shop while others characterise their </w:t>
      </w:r>
      <w:r w:rsidR="0B513F46" w:rsidRPr="00946B76">
        <w:rPr>
          <w:rFonts w:ascii="Arial" w:eastAsiaTheme="majorEastAsia" w:hAnsi="Arial" w:cs="Arial"/>
          <w:sz w:val="24"/>
          <w:szCs w:val="24"/>
        </w:rPr>
        <w:t xml:space="preserve">prospective </w:t>
      </w:r>
      <w:r w:rsidR="3DAA28B7" w:rsidRPr="00946B76">
        <w:rPr>
          <w:rFonts w:ascii="Arial" w:eastAsiaTheme="majorEastAsia" w:hAnsi="Arial" w:cs="Arial"/>
          <w:sz w:val="24"/>
          <w:szCs w:val="24"/>
        </w:rPr>
        <w:t xml:space="preserve">activity as “working”; another stated that in their future existence they would “volunteer for a couple of charities and help at the hospice" – raising the question what is the difference between volunteering and helping. Another describes "taking part in charity activities, [and] helping other people in my </w:t>
      </w:r>
      <w:r w:rsidR="3DAA28B7" w:rsidRPr="00946B76">
        <w:rPr>
          <w:rFonts w:ascii="Arial" w:eastAsiaTheme="majorEastAsia" w:hAnsi="Arial" w:cs="Arial"/>
          <w:sz w:val="24"/>
          <w:szCs w:val="24"/>
        </w:rPr>
        <w:lastRenderedPageBreak/>
        <w:t xml:space="preserve">community" – perhaps echoing the lack of clarity about what counts as formal and informal volunteering. </w:t>
      </w:r>
    </w:p>
    <w:p w14:paraId="4A8C211C" w14:textId="1CF5881E" w:rsidR="26234BE2" w:rsidRPr="00946B76" w:rsidRDefault="6DDEE9B0" w:rsidP="0120D1DF">
      <w:pPr>
        <w:spacing w:line="360" w:lineRule="auto"/>
        <w:ind w:firstLine="708"/>
        <w:rPr>
          <w:rFonts w:ascii="Arial" w:eastAsiaTheme="majorEastAsia" w:hAnsi="Arial" w:cs="Arial"/>
          <w:sz w:val="24"/>
          <w:szCs w:val="24"/>
        </w:rPr>
      </w:pPr>
      <w:r w:rsidRPr="00946B76">
        <w:rPr>
          <w:rFonts w:ascii="Arial" w:eastAsiaTheme="majorEastAsia" w:hAnsi="Arial" w:cs="Arial"/>
          <w:sz w:val="24"/>
          <w:szCs w:val="24"/>
        </w:rPr>
        <w:t>Approximately 11% made some reference to activities of this kind, which was around half the proportion (typically around 23%) which reported involvement in “unpaid voluntary work” in the same wave of this survey. What was more noticeable than responses to the closed survey questions was the differences in responses by men and women – the latter being nearly 3 times as likely as men to make some reference to community involvement, a disparity far greater than that recorded in the survey question on unpaid voluntary work. There was a similar gradient for education – ranging from 17% for those with a degree or higher degree, to 7% for those who had left school with very few educational qualifications. We would anticipate higher levels of education to be apparent in responses such as these.</w:t>
      </w:r>
    </w:p>
    <w:p w14:paraId="4B4BAF9E" w14:textId="62F4630D" w:rsidR="26234BE2" w:rsidRPr="00946B76" w:rsidRDefault="54B2559E" w:rsidP="0120D1DF">
      <w:pPr>
        <w:spacing w:line="360" w:lineRule="auto"/>
        <w:ind w:firstLine="708"/>
        <w:rPr>
          <w:rFonts w:ascii="Arial" w:eastAsiaTheme="majorEastAsia" w:hAnsi="Arial" w:cs="Arial"/>
          <w:sz w:val="24"/>
          <w:szCs w:val="24"/>
        </w:rPr>
      </w:pPr>
      <w:r w:rsidRPr="00946B76">
        <w:rPr>
          <w:rFonts w:ascii="Arial" w:eastAsiaTheme="majorEastAsia" w:hAnsi="Arial" w:cs="Arial"/>
          <w:sz w:val="24"/>
          <w:szCs w:val="24"/>
        </w:rPr>
        <w:t xml:space="preserve">There was also </w:t>
      </w:r>
      <w:r w:rsidR="3DAA28B7" w:rsidRPr="00946B76">
        <w:rPr>
          <w:rFonts w:ascii="Arial" w:eastAsiaTheme="majorEastAsia" w:hAnsi="Arial" w:cs="Arial"/>
          <w:sz w:val="24"/>
          <w:szCs w:val="24"/>
        </w:rPr>
        <w:t>a clear gradient in the responses between those who were already volunteering and those who weren’t. Of those cohort members who were volunteering at least once a week in 2008, at least 15% said that they would be engaged in volunteering at age 60, compared to less than half of that for those volunteering once a year or less. Perhaps surprisingly as many as 4% of those volunteering “never or almost never” at the age of 50 indicated that they might be volunteering when they reached 60.</w:t>
      </w:r>
    </w:p>
    <w:p w14:paraId="5205F48C" w14:textId="5B435B18" w:rsidR="26234BE2" w:rsidRPr="00946B76" w:rsidRDefault="3DAA28B7" w:rsidP="0120D1DF">
      <w:pPr>
        <w:spacing w:line="360" w:lineRule="auto"/>
        <w:ind w:firstLine="708"/>
        <w:rPr>
          <w:rFonts w:ascii="Arial" w:eastAsiaTheme="majorEastAsia" w:hAnsi="Arial" w:cs="Arial"/>
          <w:sz w:val="24"/>
          <w:szCs w:val="24"/>
        </w:rPr>
      </w:pPr>
      <w:r w:rsidRPr="00946B76">
        <w:rPr>
          <w:rFonts w:ascii="Arial" w:eastAsiaTheme="majorEastAsia" w:hAnsi="Arial" w:cs="Arial"/>
          <w:sz w:val="24"/>
          <w:szCs w:val="24"/>
        </w:rPr>
        <w:t xml:space="preserve">These frequency counts don’t allow much beyond a description of who spontaneously expresses interest in some sort of voluntary action. Further analysis </w:t>
      </w:r>
      <w:r w:rsidR="128F182B" w:rsidRPr="00946B76">
        <w:rPr>
          <w:rFonts w:ascii="Arial" w:eastAsiaTheme="majorEastAsia" w:hAnsi="Arial" w:cs="Arial"/>
          <w:sz w:val="24"/>
          <w:szCs w:val="24"/>
        </w:rPr>
        <w:t xml:space="preserve">was therefore </w:t>
      </w:r>
      <w:r w:rsidRPr="00946B76">
        <w:rPr>
          <w:rFonts w:ascii="Arial" w:eastAsiaTheme="majorEastAsia" w:hAnsi="Arial" w:cs="Arial"/>
          <w:sz w:val="24"/>
          <w:szCs w:val="24"/>
        </w:rPr>
        <w:t>required to illuminate where volunteering is placed in relation to individuals’ prioritie</w:t>
      </w:r>
      <w:r w:rsidR="0024EDD6" w:rsidRPr="00946B76">
        <w:rPr>
          <w:rFonts w:ascii="Arial" w:eastAsiaTheme="majorEastAsia" w:hAnsi="Arial" w:cs="Arial"/>
          <w:sz w:val="24"/>
          <w:szCs w:val="24"/>
        </w:rPr>
        <w:t xml:space="preserve">s, and </w:t>
      </w:r>
      <w:r w:rsidR="52E3AC0B" w:rsidRPr="00946B76">
        <w:rPr>
          <w:rFonts w:ascii="Arial" w:eastAsiaTheme="majorEastAsia" w:hAnsi="Arial" w:cs="Arial"/>
          <w:sz w:val="24"/>
          <w:szCs w:val="24"/>
        </w:rPr>
        <w:t xml:space="preserve">to gain more insight into what exactly it was that respondents thought they’d be doing ten years hence, and </w:t>
      </w:r>
      <w:r w:rsidR="0024EDD6" w:rsidRPr="00946B76">
        <w:rPr>
          <w:rFonts w:ascii="Arial" w:eastAsiaTheme="majorEastAsia" w:hAnsi="Arial" w:cs="Arial"/>
          <w:sz w:val="24"/>
          <w:szCs w:val="24"/>
        </w:rPr>
        <w:t xml:space="preserve">that required a different approach. </w:t>
      </w:r>
    </w:p>
    <w:p w14:paraId="1D64365A" w14:textId="3561F5A1" w:rsidR="18BB7A5C" w:rsidRPr="00946B76" w:rsidRDefault="18BB7A5C" w:rsidP="26234BE2">
      <w:pPr>
        <w:spacing w:line="360" w:lineRule="auto"/>
        <w:rPr>
          <w:rFonts w:ascii="Arial" w:eastAsiaTheme="majorEastAsia" w:hAnsi="Arial" w:cs="Arial"/>
          <w:b/>
          <w:bCs/>
          <w:sz w:val="24"/>
          <w:szCs w:val="24"/>
        </w:rPr>
      </w:pPr>
      <w:r w:rsidRPr="00946B76">
        <w:rPr>
          <w:rFonts w:ascii="Arial" w:eastAsiaTheme="majorEastAsia" w:hAnsi="Arial" w:cs="Arial"/>
          <w:b/>
          <w:bCs/>
          <w:sz w:val="24"/>
          <w:szCs w:val="24"/>
        </w:rPr>
        <w:t>5. (</w:t>
      </w:r>
      <w:r w:rsidR="5D0484F4" w:rsidRPr="00946B76">
        <w:rPr>
          <w:rFonts w:ascii="Arial" w:eastAsiaTheme="majorEastAsia" w:hAnsi="Arial" w:cs="Arial"/>
          <w:b/>
          <w:bCs/>
          <w:sz w:val="24"/>
          <w:szCs w:val="24"/>
        </w:rPr>
        <w:t xml:space="preserve">Introduction to) </w:t>
      </w:r>
      <w:r w:rsidRPr="00946B76">
        <w:rPr>
          <w:rFonts w:ascii="Arial" w:eastAsiaTheme="majorEastAsia" w:hAnsi="Arial" w:cs="Arial"/>
          <w:b/>
          <w:bCs/>
          <w:sz w:val="24"/>
          <w:szCs w:val="24"/>
        </w:rPr>
        <w:t>Computational Text Analysis</w:t>
      </w:r>
    </w:p>
    <w:p w14:paraId="4B3BA8E7" w14:textId="79372CD4" w:rsidR="0A4784F7" w:rsidRPr="00946B76" w:rsidRDefault="0F0AF2F7" w:rsidP="26234BE2">
      <w:pPr>
        <w:spacing w:line="360" w:lineRule="auto"/>
        <w:rPr>
          <w:rFonts w:ascii="Arial" w:eastAsiaTheme="majorEastAsia" w:hAnsi="Arial" w:cs="Arial"/>
          <w:sz w:val="24"/>
          <w:szCs w:val="24"/>
        </w:rPr>
      </w:pPr>
      <w:r w:rsidRPr="00946B76">
        <w:rPr>
          <w:rFonts w:ascii="Arial" w:eastAsiaTheme="majorEastAsia" w:hAnsi="Arial" w:cs="Arial"/>
          <w:sz w:val="24"/>
          <w:szCs w:val="24"/>
        </w:rPr>
        <w:t xml:space="preserve">After acquiring this rich and voluminous data set, we had to consider how to go about analysing it. </w:t>
      </w:r>
      <w:r w:rsidR="79F884BA" w:rsidRPr="00946B76">
        <w:rPr>
          <w:rFonts w:ascii="Arial" w:eastAsiaTheme="majorEastAsia" w:hAnsi="Arial" w:cs="Arial"/>
          <w:sz w:val="24"/>
          <w:szCs w:val="24"/>
        </w:rPr>
        <w:t>W</w:t>
      </w:r>
      <w:r w:rsidRPr="00946B76">
        <w:rPr>
          <w:rFonts w:ascii="Arial" w:eastAsiaTheme="majorEastAsia" w:hAnsi="Arial" w:cs="Arial"/>
          <w:sz w:val="24"/>
          <w:szCs w:val="24"/>
        </w:rPr>
        <w:t>e turned to a relatively more novel (to th</w:t>
      </w:r>
      <w:r w:rsidR="474941C4" w:rsidRPr="00946B76">
        <w:rPr>
          <w:rFonts w:ascii="Arial" w:eastAsiaTheme="majorEastAsia" w:hAnsi="Arial" w:cs="Arial"/>
          <w:sz w:val="24"/>
          <w:szCs w:val="24"/>
        </w:rPr>
        <w:t>is</w:t>
      </w:r>
      <w:r w:rsidRPr="00946B76">
        <w:rPr>
          <w:rFonts w:ascii="Arial" w:eastAsiaTheme="majorEastAsia" w:hAnsi="Arial" w:cs="Arial"/>
          <w:sz w:val="24"/>
          <w:szCs w:val="24"/>
        </w:rPr>
        <w:t xml:space="preserve"> field) set of methods. Through the use of so-called computational text analysis methods, large amounts of textual data can be structured in a way that is meaningful to researchers (Jacobi, van </w:t>
      </w:r>
      <w:proofErr w:type="spellStart"/>
      <w:r w:rsidRPr="00946B76">
        <w:rPr>
          <w:rFonts w:ascii="Arial" w:eastAsiaTheme="majorEastAsia" w:hAnsi="Arial" w:cs="Arial"/>
          <w:sz w:val="24"/>
          <w:szCs w:val="24"/>
        </w:rPr>
        <w:lastRenderedPageBreak/>
        <w:t>Atteveldt</w:t>
      </w:r>
      <w:proofErr w:type="spellEnd"/>
      <w:r w:rsidRPr="00946B76">
        <w:rPr>
          <w:rFonts w:ascii="Arial" w:eastAsiaTheme="majorEastAsia" w:hAnsi="Arial" w:cs="Arial"/>
          <w:sz w:val="24"/>
          <w:szCs w:val="24"/>
        </w:rPr>
        <w:t xml:space="preserve"> &amp; </w:t>
      </w:r>
      <w:proofErr w:type="spellStart"/>
      <w:r w:rsidRPr="00946B76">
        <w:rPr>
          <w:rFonts w:ascii="Arial" w:eastAsiaTheme="majorEastAsia" w:hAnsi="Arial" w:cs="Arial"/>
          <w:sz w:val="24"/>
          <w:szCs w:val="24"/>
        </w:rPr>
        <w:t>Welbers</w:t>
      </w:r>
      <w:proofErr w:type="spellEnd"/>
      <w:r w:rsidRPr="00946B76">
        <w:rPr>
          <w:rFonts w:ascii="Arial" w:eastAsiaTheme="majorEastAsia" w:hAnsi="Arial" w:cs="Arial"/>
          <w:sz w:val="24"/>
          <w:szCs w:val="24"/>
        </w:rPr>
        <w:t>, 2016). Rather than involving much manual labour, a computer performs most of this task. Researchers' function lies in the interpretation of the computational output. In this way, both data quality and quantity can remain intact and add their relative strengths to a study.</w:t>
      </w:r>
    </w:p>
    <w:p w14:paraId="121E04EB" w14:textId="0994F50F" w:rsidR="543430E8" w:rsidRPr="00946B76" w:rsidRDefault="543430E8" w:rsidP="26234BE2">
      <w:pPr>
        <w:spacing w:line="360" w:lineRule="auto"/>
        <w:rPr>
          <w:rFonts w:ascii="Arial" w:eastAsiaTheme="majorEastAsia" w:hAnsi="Arial" w:cs="Arial"/>
          <w:i/>
          <w:iCs/>
          <w:sz w:val="24"/>
          <w:szCs w:val="24"/>
        </w:rPr>
      </w:pPr>
      <w:r w:rsidRPr="00946B76">
        <w:rPr>
          <w:rFonts w:ascii="Arial" w:eastAsiaTheme="majorEastAsia" w:hAnsi="Arial" w:cs="Arial"/>
          <w:i/>
          <w:iCs/>
          <w:sz w:val="24"/>
          <w:szCs w:val="24"/>
        </w:rPr>
        <w:t>Data and previous work</w:t>
      </w:r>
    </w:p>
    <w:p w14:paraId="72DFE640" w14:textId="1A7510FA" w:rsidR="543430E8" w:rsidRPr="00946B76" w:rsidRDefault="66CB5504" w:rsidP="26234BE2">
      <w:pPr>
        <w:spacing w:line="360" w:lineRule="auto"/>
        <w:rPr>
          <w:rFonts w:ascii="Arial" w:eastAsiaTheme="majorEastAsia" w:hAnsi="Arial" w:cs="Arial"/>
          <w:sz w:val="24"/>
          <w:szCs w:val="24"/>
        </w:rPr>
      </w:pPr>
      <w:r w:rsidRPr="00946B76">
        <w:rPr>
          <w:rFonts w:ascii="Arial" w:eastAsiaTheme="majorEastAsia" w:hAnsi="Arial" w:cs="Arial"/>
          <w:sz w:val="24"/>
          <w:szCs w:val="24"/>
        </w:rPr>
        <w:t xml:space="preserve">Interestingly, such methods have been applied to our data set before. With regard to our specific survey question, two recent studies </w:t>
      </w:r>
      <w:r w:rsidR="540269AD" w:rsidRPr="00946B76">
        <w:rPr>
          <w:rFonts w:ascii="Arial" w:eastAsiaTheme="majorEastAsia" w:hAnsi="Arial" w:cs="Arial"/>
          <w:sz w:val="24"/>
          <w:szCs w:val="24"/>
        </w:rPr>
        <w:t>are relevant</w:t>
      </w:r>
      <w:r w:rsidRPr="00946B76">
        <w:rPr>
          <w:rFonts w:ascii="Arial" w:eastAsiaTheme="majorEastAsia" w:hAnsi="Arial" w:cs="Arial"/>
          <w:sz w:val="24"/>
          <w:szCs w:val="24"/>
        </w:rPr>
        <w:t xml:space="preserve">. To our knowledge, Elliot (2012) was the first to work with this specific sample. </w:t>
      </w:r>
      <w:r w:rsidR="3C896E0C" w:rsidRPr="00946B76">
        <w:rPr>
          <w:rFonts w:ascii="Arial" w:eastAsiaTheme="majorEastAsia" w:hAnsi="Arial" w:cs="Arial"/>
          <w:sz w:val="24"/>
          <w:szCs w:val="24"/>
        </w:rPr>
        <w:t>Sh</w:t>
      </w:r>
      <w:r w:rsidRPr="00946B76">
        <w:rPr>
          <w:rFonts w:ascii="Arial" w:eastAsiaTheme="majorEastAsia" w:hAnsi="Arial" w:cs="Arial"/>
          <w:sz w:val="24"/>
          <w:szCs w:val="24"/>
        </w:rPr>
        <w:t>e published a preliminary descriptive analysis of a sub-sample (n=500) of individuals that answered this question. The aim here was to provide a broad overview of answers in general. By sampling, Elliot did compromise on data quantity. Moreover, as the analysis was done in NVivo(9), computation analysis could only go as far as some explorative world frequency output. Table 1 lays out the most frequent words in the dataset (as presented by Elliot in their paper). Through this structured format, we could get a slight overview of the themes we were likely to encounter.</w:t>
      </w:r>
    </w:p>
    <w:p w14:paraId="3E79391F" w14:textId="5A871C73" w:rsidR="193FAC7E" w:rsidRPr="00946B76" w:rsidRDefault="193FAC7E" w:rsidP="26234BE2">
      <w:pPr>
        <w:spacing w:line="360" w:lineRule="auto"/>
        <w:jc w:val="center"/>
        <w:rPr>
          <w:rFonts w:ascii="Arial" w:eastAsiaTheme="majorEastAsia" w:hAnsi="Arial" w:cs="Arial"/>
          <w:sz w:val="24"/>
          <w:szCs w:val="24"/>
        </w:rPr>
      </w:pPr>
      <w:r w:rsidRPr="00946B76">
        <w:rPr>
          <w:rFonts w:ascii="Arial" w:hAnsi="Arial" w:cs="Arial"/>
          <w:noProof/>
          <w:sz w:val="24"/>
          <w:szCs w:val="24"/>
        </w:rPr>
        <w:drawing>
          <wp:inline distT="0" distB="0" distL="0" distR="0" wp14:anchorId="0C56CFD0" wp14:editId="7FD935D8">
            <wp:extent cx="4438650" cy="4305300"/>
            <wp:effectExtent l="0" t="0" r="0" b="0"/>
            <wp:docPr id="1364669596" name="Picture 1364669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4438650" cy="4305300"/>
                    </a:xfrm>
                    <a:prstGeom prst="rect">
                      <a:avLst/>
                    </a:prstGeom>
                  </pic:spPr>
                </pic:pic>
              </a:graphicData>
            </a:graphic>
          </wp:inline>
        </w:drawing>
      </w:r>
    </w:p>
    <w:p w14:paraId="0B0DC2BA" w14:textId="1208B9EC" w:rsidR="543430E8" w:rsidRPr="00946B76" w:rsidRDefault="543430E8" w:rsidP="26234BE2">
      <w:pPr>
        <w:spacing w:line="360" w:lineRule="auto"/>
        <w:jc w:val="center"/>
        <w:rPr>
          <w:rFonts w:ascii="Arial" w:eastAsiaTheme="majorEastAsia" w:hAnsi="Arial" w:cs="Arial"/>
          <w:sz w:val="24"/>
          <w:szCs w:val="24"/>
        </w:rPr>
      </w:pPr>
      <w:r w:rsidRPr="00946B76">
        <w:rPr>
          <w:rFonts w:ascii="Arial" w:eastAsiaTheme="majorEastAsia" w:hAnsi="Arial" w:cs="Arial"/>
          <w:sz w:val="24"/>
          <w:szCs w:val="24"/>
        </w:rPr>
        <w:t>Table 1: word frequencies as presented by Elliot</w:t>
      </w:r>
      <w:r w:rsidR="160544BF" w:rsidRPr="00946B76">
        <w:rPr>
          <w:rFonts w:ascii="Arial" w:eastAsiaTheme="majorEastAsia" w:hAnsi="Arial" w:cs="Arial"/>
          <w:sz w:val="24"/>
          <w:szCs w:val="24"/>
        </w:rPr>
        <w:t xml:space="preserve"> (2012)</w:t>
      </w:r>
    </w:p>
    <w:p w14:paraId="0F9DBD94" w14:textId="5B04A213" w:rsidR="543430E8" w:rsidRPr="00946B76" w:rsidRDefault="66CB5504" w:rsidP="26234BE2">
      <w:pPr>
        <w:spacing w:line="360" w:lineRule="auto"/>
        <w:rPr>
          <w:rFonts w:ascii="Arial" w:eastAsiaTheme="majorEastAsia" w:hAnsi="Arial" w:cs="Arial"/>
          <w:sz w:val="24"/>
          <w:szCs w:val="24"/>
        </w:rPr>
      </w:pPr>
      <w:r w:rsidRPr="00946B76">
        <w:rPr>
          <w:rFonts w:ascii="Arial" w:eastAsiaTheme="majorEastAsia" w:hAnsi="Arial" w:cs="Arial"/>
          <w:sz w:val="24"/>
          <w:szCs w:val="24"/>
        </w:rPr>
        <w:t>Weber (2021) used a computational topic model to compare imagined futures as outlined by different genders and social classes. Modelling was done in the programming software R Studio, which offers many more options than NVivo. Where NVivo is generally used to manually code qualitative studies, R Studio is a programming langu</w:t>
      </w:r>
      <w:r w:rsidR="59F8D2CE" w:rsidRPr="00946B76">
        <w:rPr>
          <w:rFonts w:ascii="Arial" w:eastAsiaTheme="majorEastAsia" w:hAnsi="Arial" w:cs="Arial"/>
          <w:sz w:val="24"/>
          <w:szCs w:val="24"/>
        </w:rPr>
        <w:t>ag</w:t>
      </w:r>
      <w:r w:rsidRPr="00946B76">
        <w:rPr>
          <w:rFonts w:ascii="Arial" w:eastAsiaTheme="majorEastAsia" w:hAnsi="Arial" w:cs="Arial"/>
          <w:sz w:val="24"/>
          <w:szCs w:val="24"/>
        </w:rPr>
        <w:t>e, that leans more toward the quantitative side. As such a computational process starts out purely quant</w:t>
      </w:r>
      <w:r w:rsidR="57684AA2" w:rsidRPr="00946B76">
        <w:rPr>
          <w:rFonts w:ascii="Arial" w:eastAsiaTheme="majorEastAsia" w:hAnsi="Arial" w:cs="Arial"/>
          <w:sz w:val="24"/>
          <w:szCs w:val="24"/>
        </w:rPr>
        <w:t>ita</w:t>
      </w:r>
      <w:r w:rsidRPr="00946B76">
        <w:rPr>
          <w:rFonts w:ascii="Arial" w:eastAsiaTheme="majorEastAsia" w:hAnsi="Arial" w:cs="Arial"/>
          <w:sz w:val="24"/>
          <w:szCs w:val="24"/>
        </w:rPr>
        <w:t>tively, this is a better fit for such a task. Table 2 displays the topics that Weber presented in their paper.</w:t>
      </w:r>
    </w:p>
    <w:p w14:paraId="34316773" w14:textId="3F53BA75" w:rsidR="42FBCCCC" w:rsidRPr="00946B76" w:rsidRDefault="42FBCCCC" w:rsidP="26234BE2">
      <w:pPr>
        <w:spacing w:line="360" w:lineRule="auto"/>
        <w:jc w:val="center"/>
        <w:rPr>
          <w:rFonts w:ascii="Arial" w:eastAsiaTheme="majorEastAsia" w:hAnsi="Arial" w:cs="Arial"/>
          <w:sz w:val="24"/>
          <w:szCs w:val="24"/>
        </w:rPr>
      </w:pPr>
      <w:r w:rsidRPr="00946B76">
        <w:rPr>
          <w:rFonts w:ascii="Arial" w:hAnsi="Arial" w:cs="Arial"/>
          <w:noProof/>
          <w:sz w:val="24"/>
          <w:szCs w:val="24"/>
        </w:rPr>
        <w:drawing>
          <wp:inline distT="0" distB="0" distL="0" distR="0" wp14:anchorId="6C1969C6" wp14:editId="192DF9DB">
            <wp:extent cx="342900" cy="342900"/>
            <wp:effectExtent l="0" t="0" r="0" b="0"/>
            <wp:docPr id="1617837877" name="Picture 1617837877" descr="U,{e68920f0-910e-4b6d-9805-cc18ba979845}{127},12.520833333333334,9.354166666666666" title="Afbeelding invoe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342900" cy="342900"/>
                    </a:xfrm>
                    <a:prstGeom prst="rect">
                      <a:avLst/>
                    </a:prstGeom>
                  </pic:spPr>
                </pic:pic>
              </a:graphicData>
            </a:graphic>
          </wp:inline>
        </w:drawing>
      </w:r>
      <w:r w:rsidR="543430E8" w:rsidRPr="00946B76">
        <w:rPr>
          <w:rFonts w:ascii="Arial" w:eastAsiaTheme="majorEastAsia" w:hAnsi="Arial" w:cs="Arial"/>
          <w:sz w:val="24"/>
          <w:szCs w:val="24"/>
        </w:rPr>
        <w:t>Table 2: Topic Model as produced by Weber</w:t>
      </w:r>
      <w:r w:rsidR="5D2A22C3" w:rsidRPr="00946B76">
        <w:rPr>
          <w:rFonts w:ascii="Arial" w:eastAsiaTheme="majorEastAsia" w:hAnsi="Arial" w:cs="Arial"/>
          <w:sz w:val="24"/>
          <w:szCs w:val="24"/>
        </w:rPr>
        <w:t xml:space="preserve"> (2021)</w:t>
      </w:r>
    </w:p>
    <w:p w14:paraId="20846124" w14:textId="54F3CAAB" w:rsidR="543430E8" w:rsidRPr="00946B76" w:rsidRDefault="543430E8" w:rsidP="26234BE2">
      <w:pPr>
        <w:spacing w:line="360" w:lineRule="auto"/>
        <w:rPr>
          <w:rFonts w:ascii="Arial" w:eastAsiaTheme="majorEastAsia" w:hAnsi="Arial" w:cs="Arial"/>
          <w:i/>
          <w:iCs/>
          <w:sz w:val="24"/>
          <w:szCs w:val="24"/>
        </w:rPr>
      </w:pPr>
      <w:r w:rsidRPr="00946B76">
        <w:rPr>
          <w:rFonts w:ascii="Arial" w:eastAsiaTheme="majorEastAsia" w:hAnsi="Arial" w:cs="Arial"/>
          <w:i/>
          <w:iCs/>
          <w:sz w:val="24"/>
          <w:szCs w:val="24"/>
        </w:rPr>
        <w:t>Considerations</w:t>
      </w:r>
    </w:p>
    <w:p w14:paraId="40EBAE27" w14:textId="00E1B213" w:rsidR="543430E8" w:rsidRPr="00946B76" w:rsidRDefault="66CB5504" w:rsidP="26234BE2">
      <w:pPr>
        <w:spacing w:line="360" w:lineRule="auto"/>
        <w:rPr>
          <w:rFonts w:ascii="Arial" w:eastAsiaTheme="majorEastAsia" w:hAnsi="Arial" w:cs="Arial"/>
          <w:sz w:val="24"/>
          <w:szCs w:val="24"/>
        </w:rPr>
      </w:pPr>
      <w:r w:rsidRPr="00946B76">
        <w:rPr>
          <w:rFonts w:ascii="Arial" w:eastAsiaTheme="majorEastAsia" w:hAnsi="Arial" w:cs="Arial"/>
          <w:sz w:val="24"/>
          <w:szCs w:val="24"/>
        </w:rPr>
        <w:t>The studies outlined above are relatively interesting formats for our purpose. However, they have not had the same focus as we did. As can be observed from the tables above, both studies p</w:t>
      </w:r>
      <w:r w:rsidR="00677B4D" w:rsidRPr="00946B76">
        <w:rPr>
          <w:rFonts w:ascii="Arial" w:eastAsiaTheme="majorEastAsia" w:hAnsi="Arial" w:cs="Arial"/>
          <w:sz w:val="24"/>
          <w:szCs w:val="24"/>
        </w:rPr>
        <w:t xml:space="preserve">rovided a </w:t>
      </w:r>
      <w:r w:rsidRPr="00946B76">
        <w:rPr>
          <w:rFonts w:ascii="Arial" w:eastAsiaTheme="majorEastAsia" w:hAnsi="Arial" w:cs="Arial"/>
          <w:sz w:val="24"/>
          <w:szCs w:val="24"/>
        </w:rPr>
        <w:t xml:space="preserve">broad and general overview of the nature of answers. From the work of Elliot, we now know a) what words people tend to use to </w:t>
      </w:r>
      <w:r w:rsidRPr="00946B76">
        <w:rPr>
          <w:rFonts w:ascii="Arial" w:eastAsiaTheme="majorEastAsia" w:hAnsi="Arial" w:cs="Arial"/>
          <w:sz w:val="24"/>
          <w:szCs w:val="24"/>
        </w:rPr>
        <w:lastRenderedPageBreak/>
        <w:t xml:space="preserve">describe similar concepts and b) that put together they seemed to cover multiple facets of life. As a result, we felt more secure in the richness of our dataset. </w:t>
      </w:r>
    </w:p>
    <w:p w14:paraId="38367138" w14:textId="79BCD95B" w:rsidR="543430E8" w:rsidRPr="00946B76" w:rsidRDefault="66CB5504" w:rsidP="26234BE2">
      <w:pPr>
        <w:spacing w:line="360" w:lineRule="auto"/>
        <w:ind w:firstLine="708"/>
        <w:rPr>
          <w:rFonts w:ascii="Arial" w:eastAsiaTheme="majorEastAsia" w:hAnsi="Arial" w:cs="Arial"/>
          <w:sz w:val="24"/>
          <w:szCs w:val="24"/>
        </w:rPr>
      </w:pPr>
      <w:r w:rsidRPr="00946B76">
        <w:rPr>
          <w:rFonts w:ascii="Arial" w:eastAsiaTheme="majorEastAsia" w:hAnsi="Arial" w:cs="Arial"/>
          <w:sz w:val="24"/>
          <w:szCs w:val="24"/>
        </w:rPr>
        <w:t xml:space="preserve">What Weber showed us was how these little pieces of text contained information on a variety of lifestyle choices. Moreover, </w:t>
      </w:r>
      <w:r w:rsidR="74DB704A" w:rsidRPr="00946B76">
        <w:rPr>
          <w:rFonts w:ascii="Arial" w:eastAsiaTheme="majorEastAsia" w:hAnsi="Arial" w:cs="Arial"/>
          <w:sz w:val="24"/>
          <w:szCs w:val="24"/>
        </w:rPr>
        <w:t xml:space="preserve">Weber’s work showed how </w:t>
      </w:r>
      <w:r w:rsidRPr="00946B76">
        <w:rPr>
          <w:rFonts w:ascii="Arial" w:eastAsiaTheme="majorEastAsia" w:hAnsi="Arial" w:cs="Arial"/>
          <w:sz w:val="24"/>
          <w:szCs w:val="24"/>
        </w:rPr>
        <w:t xml:space="preserve">these choices appeared to have a relationship with </w:t>
      </w:r>
      <w:r w:rsidR="6155ACBF" w:rsidRPr="00946B76">
        <w:rPr>
          <w:rFonts w:ascii="Arial" w:eastAsiaTheme="majorEastAsia" w:hAnsi="Arial" w:cs="Arial"/>
          <w:sz w:val="24"/>
          <w:szCs w:val="24"/>
        </w:rPr>
        <w:t xml:space="preserve">an individual’s </w:t>
      </w:r>
      <w:r w:rsidRPr="00946B76">
        <w:rPr>
          <w:rFonts w:ascii="Arial" w:eastAsiaTheme="majorEastAsia" w:hAnsi="Arial" w:cs="Arial"/>
          <w:sz w:val="24"/>
          <w:szCs w:val="24"/>
        </w:rPr>
        <w:t xml:space="preserve">socioeconomic circumstances. Factors concerning personal values and interests may not be directly related to voluntary </w:t>
      </w:r>
      <w:r w:rsidR="533633F9" w:rsidRPr="00946B76">
        <w:rPr>
          <w:rFonts w:ascii="Arial" w:eastAsiaTheme="majorEastAsia" w:hAnsi="Arial" w:cs="Arial"/>
          <w:sz w:val="24"/>
          <w:szCs w:val="24"/>
        </w:rPr>
        <w:t>action but</w:t>
      </w:r>
      <w:r w:rsidRPr="00946B76">
        <w:rPr>
          <w:rFonts w:ascii="Arial" w:eastAsiaTheme="majorEastAsia" w:hAnsi="Arial" w:cs="Arial"/>
          <w:sz w:val="24"/>
          <w:szCs w:val="24"/>
        </w:rPr>
        <w:t xml:space="preserve"> offer insight into the frameworks people use to manage the time they spend on certain activities. The consideration of these frames could lead to insights into possible future contributions </w:t>
      </w:r>
      <w:r w:rsidR="39D5C567" w:rsidRPr="00946B76">
        <w:rPr>
          <w:rFonts w:ascii="Arial" w:eastAsiaTheme="majorEastAsia" w:hAnsi="Arial" w:cs="Arial"/>
          <w:sz w:val="24"/>
          <w:szCs w:val="24"/>
        </w:rPr>
        <w:t xml:space="preserve">an individual might make to volunteering. </w:t>
      </w:r>
      <w:r w:rsidRPr="00946B76">
        <w:rPr>
          <w:rFonts w:ascii="Arial" w:eastAsiaTheme="majorEastAsia" w:hAnsi="Arial" w:cs="Arial"/>
          <w:sz w:val="24"/>
          <w:szCs w:val="24"/>
        </w:rPr>
        <w:t xml:space="preserve">Further, these representations could hold information on what is already being done in other domains (e.g., family) that can be considered voluntary contributions in themselves or perhaps barriers to such contributions. For our purpose, we </w:t>
      </w:r>
      <w:r w:rsidR="2B0F5980" w:rsidRPr="00946B76">
        <w:rPr>
          <w:rFonts w:ascii="Arial" w:eastAsiaTheme="majorEastAsia" w:hAnsi="Arial" w:cs="Arial"/>
          <w:sz w:val="24"/>
          <w:szCs w:val="24"/>
        </w:rPr>
        <w:t>hoped</w:t>
      </w:r>
      <w:r w:rsidRPr="00946B76">
        <w:rPr>
          <w:rFonts w:ascii="Arial" w:eastAsiaTheme="majorEastAsia" w:hAnsi="Arial" w:cs="Arial"/>
          <w:sz w:val="24"/>
          <w:szCs w:val="24"/>
        </w:rPr>
        <w:t xml:space="preserve"> to distil the information that responses hold concerning such broader voluntary actions and intentions.</w:t>
      </w:r>
    </w:p>
    <w:p w14:paraId="0E3C0C5C" w14:textId="3AA2DDAF" w:rsidR="543430E8" w:rsidRPr="00946B76" w:rsidRDefault="543430E8" w:rsidP="26234BE2">
      <w:pPr>
        <w:spacing w:line="360" w:lineRule="auto"/>
        <w:rPr>
          <w:rFonts w:ascii="Arial" w:eastAsiaTheme="majorEastAsia" w:hAnsi="Arial" w:cs="Arial"/>
          <w:i/>
          <w:iCs/>
          <w:sz w:val="24"/>
          <w:szCs w:val="24"/>
        </w:rPr>
      </w:pPr>
      <w:r w:rsidRPr="00946B76">
        <w:rPr>
          <w:rFonts w:ascii="Arial" w:eastAsiaTheme="majorEastAsia" w:hAnsi="Arial" w:cs="Arial"/>
          <w:i/>
          <w:iCs/>
          <w:sz w:val="24"/>
          <w:szCs w:val="24"/>
        </w:rPr>
        <w:t>Related Work</w:t>
      </w:r>
    </w:p>
    <w:p w14:paraId="66FFA1AE" w14:textId="057D4831" w:rsidR="543430E8" w:rsidRPr="00946B76" w:rsidRDefault="66CB5504" w:rsidP="26234BE2">
      <w:pPr>
        <w:spacing w:line="360" w:lineRule="auto"/>
        <w:rPr>
          <w:rFonts w:ascii="Arial" w:eastAsiaTheme="majorEastAsia" w:hAnsi="Arial" w:cs="Arial"/>
          <w:sz w:val="24"/>
          <w:szCs w:val="24"/>
        </w:rPr>
      </w:pPr>
      <w:r w:rsidRPr="00946B76">
        <w:rPr>
          <w:rFonts w:ascii="Arial" w:eastAsiaTheme="majorEastAsia" w:hAnsi="Arial" w:cs="Arial"/>
          <w:sz w:val="24"/>
          <w:szCs w:val="24"/>
        </w:rPr>
        <w:t xml:space="preserve">When we turn to literature closer to our topic of interest, some experimental studies can be found. An example </w:t>
      </w:r>
      <w:r w:rsidR="3BCC1DE0" w:rsidRPr="00946B76">
        <w:rPr>
          <w:rFonts w:ascii="Arial" w:eastAsiaTheme="majorEastAsia" w:hAnsi="Arial" w:cs="Arial"/>
          <w:sz w:val="24"/>
          <w:szCs w:val="24"/>
        </w:rPr>
        <w:t xml:space="preserve">is </w:t>
      </w:r>
      <w:r w:rsidRPr="00946B76">
        <w:rPr>
          <w:rFonts w:ascii="Arial" w:eastAsiaTheme="majorEastAsia" w:hAnsi="Arial" w:cs="Arial"/>
          <w:sz w:val="24"/>
          <w:szCs w:val="24"/>
        </w:rPr>
        <w:t>De Wit (2020), who experimented with a topic modelling technique to analyse open-ended survey questions</w:t>
      </w:r>
      <w:r w:rsidR="289C05B8" w:rsidRPr="00946B76">
        <w:rPr>
          <w:rFonts w:ascii="Arial" w:eastAsiaTheme="majorEastAsia" w:hAnsi="Arial" w:cs="Arial"/>
          <w:sz w:val="24"/>
          <w:szCs w:val="24"/>
        </w:rPr>
        <w:t>,</w:t>
      </w:r>
      <w:r w:rsidRPr="00946B76">
        <w:rPr>
          <w:rFonts w:ascii="Arial" w:eastAsiaTheme="majorEastAsia" w:hAnsi="Arial" w:cs="Arial"/>
          <w:sz w:val="24"/>
          <w:szCs w:val="24"/>
        </w:rPr>
        <w:t xml:space="preserve"> </w:t>
      </w:r>
      <w:r w:rsidR="289C05B8" w:rsidRPr="00946B76">
        <w:rPr>
          <w:rFonts w:ascii="Arial" w:eastAsiaTheme="majorEastAsia" w:hAnsi="Arial" w:cs="Arial"/>
          <w:sz w:val="24"/>
          <w:szCs w:val="24"/>
        </w:rPr>
        <w:t xml:space="preserve">drawn </w:t>
      </w:r>
      <w:r w:rsidRPr="00946B76">
        <w:rPr>
          <w:rFonts w:ascii="Arial" w:eastAsiaTheme="majorEastAsia" w:hAnsi="Arial" w:cs="Arial"/>
          <w:sz w:val="24"/>
          <w:szCs w:val="24"/>
        </w:rPr>
        <w:t xml:space="preserve">from the A Broader Mind Longitudinal Survey. This survey also included an open question quite similar to ours in the sense that participants were asked to imagine and describe what their lives would look like in a future timeframe. Otherwise, the question was formulated a bit more specifically than the one we were dealing with (geared toward career and positive emotions). Topic modelling output proved quite insightful on its own, but could also be used as input for ANOVA analysis. This analysis was done on a subset (n=200) of the data set but appears promising for larger quantities of data. </w:t>
      </w:r>
    </w:p>
    <w:p w14:paraId="6B254C06" w14:textId="0EB85568" w:rsidR="543430E8" w:rsidRPr="00946B76" w:rsidRDefault="66CB5504" w:rsidP="26234BE2">
      <w:pPr>
        <w:spacing w:line="360" w:lineRule="auto"/>
        <w:ind w:firstLine="708"/>
        <w:rPr>
          <w:rFonts w:ascii="Arial" w:eastAsiaTheme="majorEastAsia" w:hAnsi="Arial" w:cs="Arial"/>
          <w:sz w:val="24"/>
          <w:szCs w:val="24"/>
        </w:rPr>
      </w:pPr>
      <w:r w:rsidRPr="00946B76">
        <w:rPr>
          <w:rFonts w:ascii="Arial" w:eastAsiaTheme="majorEastAsia" w:hAnsi="Arial" w:cs="Arial"/>
          <w:sz w:val="24"/>
          <w:szCs w:val="24"/>
        </w:rPr>
        <w:t xml:space="preserve">De Wit was able to distinguish three topics within the answers given to the open question that reflected the importance </w:t>
      </w:r>
      <w:r w:rsidR="0ED066EF" w:rsidRPr="00946B76">
        <w:rPr>
          <w:rFonts w:ascii="Arial" w:eastAsiaTheme="majorEastAsia" w:hAnsi="Arial" w:cs="Arial"/>
          <w:sz w:val="24"/>
          <w:szCs w:val="24"/>
        </w:rPr>
        <w:t xml:space="preserve">attached by respondents to </w:t>
      </w:r>
      <w:r w:rsidRPr="00946B76">
        <w:rPr>
          <w:rFonts w:ascii="Arial" w:eastAsiaTheme="majorEastAsia" w:hAnsi="Arial" w:cs="Arial"/>
          <w:sz w:val="24"/>
          <w:szCs w:val="24"/>
        </w:rPr>
        <w:t xml:space="preserve">a) a steady job, b) sufficient time for family, and c) a contribution to society. Interestingly, it was also found that question formulation tended to affect the answers that were given. E.g., when asked about retirement specifically, the likelihood of answers covering the importance of a steady job decreased, while the importance of a contribution to society increased. Given that our question does not specifically ask about retirement, </w:t>
      </w:r>
      <w:r w:rsidRPr="00946B76">
        <w:rPr>
          <w:rFonts w:ascii="Arial" w:eastAsiaTheme="majorEastAsia" w:hAnsi="Arial" w:cs="Arial"/>
          <w:sz w:val="24"/>
          <w:szCs w:val="24"/>
        </w:rPr>
        <w:lastRenderedPageBreak/>
        <w:t>yet could be considered as associated with retirement, we do not have a strong prediction here. We will return to the consequences of question formulation later when we discuss our own findings.</w:t>
      </w:r>
    </w:p>
    <w:p w14:paraId="1F9BDD52" w14:textId="358E2AA9" w:rsidR="26234BE2" w:rsidRPr="00946B76" w:rsidRDefault="26234BE2" w:rsidP="26234BE2">
      <w:pPr>
        <w:spacing w:line="360" w:lineRule="auto"/>
        <w:rPr>
          <w:rFonts w:ascii="Arial" w:eastAsiaTheme="majorEastAsia" w:hAnsi="Arial" w:cs="Arial"/>
          <w:b/>
          <w:bCs/>
          <w:sz w:val="24"/>
          <w:szCs w:val="24"/>
        </w:rPr>
      </w:pPr>
    </w:p>
    <w:p w14:paraId="1091BFF6" w14:textId="204F01F7" w:rsidR="39ED39E5" w:rsidRPr="00946B76" w:rsidRDefault="39ED39E5" w:rsidP="26234BE2">
      <w:pPr>
        <w:spacing w:line="360" w:lineRule="auto"/>
        <w:rPr>
          <w:rFonts w:ascii="Arial" w:eastAsiaTheme="majorEastAsia" w:hAnsi="Arial" w:cs="Arial"/>
          <w:b/>
          <w:bCs/>
          <w:sz w:val="24"/>
          <w:szCs w:val="24"/>
        </w:rPr>
      </w:pPr>
      <w:r w:rsidRPr="00946B76">
        <w:rPr>
          <w:rFonts w:ascii="Arial" w:eastAsiaTheme="majorEastAsia" w:hAnsi="Arial" w:cs="Arial"/>
          <w:b/>
          <w:bCs/>
          <w:sz w:val="24"/>
          <w:szCs w:val="24"/>
        </w:rPr>
        <w:t>5. The Methodological Process/Exploration of Methods/Methodological Approach...</w:t>
      </w:r>
    </w:p>
    <w:p w14:paraId="13511AD8" w14:textId="644B5B98" w:rsidR="08074862" w:rsidRPr="00946B76" w:rsidRDefault="08074862" w:rsidP="26234BE2">
      <w:pPr>
        <w:spacing w:line="360" w:lineRule="auto"/>
        <w:rPr>
          <w:rFonts w:ascii="Arial" w:eastAsiaTheme="majorEastAsia" w:hAnsi="Arial" w:cs="Arial"/>
          <w:b/>
          <w:bCs/>
          <w:sz w:val="24"/>
          <w:szCs w:val="24"/>
        </w:rPr>
      </w:pPr>
      <w:r w:rsidRPr="00946B76">
        <w:rPr>
          <w:rFonts w:ascii="Arial" w:eastAsiaTheme="majorEastAsia" w:hAnsi="Arial" w:cs="Arial"/>
          <w:b/>
          <w:bCs/>
          <w:sz w:val="24"/>
          <w:szCs w:val="24"/>
        </w:rPr>
        <w:t xml:space="preserve">5.1 </w:t>
      </w:r>
      <w:r w:rsidR="3829FF14" w:rsidRPr="00946B76">
        <w:rPr>
          <w:rFonts w:ascii="Arial" w:eastAsiaTheme="majorEastAsia" w:hAnsi="Arial" w:cs="Arial"/>
          <w:b/>
          <w:bCs/>
          <w:sz w:val="24"/>
          <w:szCs w:val="24"/>
        </w:rPr>
        <w:t xml:space="preserve">LDA </w:t>
      </w:r>
      <w:r w:rsidRPr="00946B76">
        <w:rPr>
          <w:rFonts w:ascii="Arial" w:eastAsiaTheme="majorEastAsia" w:hAnsi="Arial" w:cs="Arial"/>
          <w:b/>
          <w:bCs/>
          <w:sz w:val="24"/>
          <w:szCs w:val="24"/>
        </w:rPr>
        <w:t>Topic Modelling</w:t>
      </w:r>
    </w:p>
    <w:p w14:paraId="4E467329" w14:textId="348125E2" w:rsidR="73A2B5A0" w:rsidRPr="00946B76" w:rsidRDefault="524499D8" w:rsidP="26234BE2">
      <w:pPr>
        <w:spacing w:line="360" w:lineRule="auto"/>
        <w:rPr>
          <w:rFonts w:ascii="Arial" w:eastAsiaTheme="majorEastAsia" w:hAnsi="Arial" w:cs="Arial"/>
          <w:sz w:val="24"/>
          <w:szCs w:val="24"/>
        </w:rPr>
      </w:pPr>
      <w:r w:rsidRPr="00946B76">
        <w:rPr>
          <w:rFonts w:ascii="Arial" w:eastAsiaTheme="majorEastAsia" w:hAnsi="Arial" w:cs="Arial"/>
          <w:sz w:val="24"/>
          <w:szCs w:val="24"/>
        </w:rPr>
        <w:t xml:space="preserve">Following in the footsteps of these examples, we have set out to optimise the potential of the NCDS dataset. In the following sections, we will present an explorative study, aiming to use computational text analysis to structure the data set as distilled from our survey question of interest. </w:t>
      </w:r>
      <w:r w:rsidR="5924D8C3" w:rsidRPr="00946B76">
        <w:rPr>
          <w:rFonts w:ascii="Arial" w:eastAsiaTheme="majorEastAsia" w:hAnsi="Arial" w:cs="Arial"/>
          <w:sz w:val="24"/>
          <w:szCs w:val="24"/>
        </w:rPr>
        <w:t>first, we introduce our chosen approach. Top</w:t>
      </w:r>
      <w:r w:rsidR="6C3AF970" w:rsidRPr="00946B76">
        <w:rPr>
          <w:rFonts w:ascii="Arial" w:eastAsiaTheme="majorEastAsia" w:hAnsi="Arial" w:cs="Arial"/>
          <w:sz w:val="24"/>
          <w:szCs w:val="24"/>
        </w:rPr>
        <w:t>i</w:t>
      </w:r>
      <w:r w:rsidR="5924D8C3" w:rsidRPr="00946B76">
        <w:rPr>
          <w:rFonts w:ascii="Arial" w:eastAsiaTheme="majorEastAsia" w:hAnsi="Arial" w:cs="Arial"/>
          <w:sz w:val="24"/>
          <w:szCs w:val="24"/>
        </w:rPr>
        <w:t>c modelling has been described as</w:t>
      </w:r>
      <w:r w:rsidR="66AB0CFA" w:rsidRPr="00946B76">
        <w:rPr>
          <w:rFonts w:ascii="Arial" w:eastAsiaTheme="majorEastAsia" w:hAnsi="Arial" w:cs="Arial"/>
          <w:sz w:val="24"/>
          <w:szCs w:val="24"/>
        </w:rPr>
        <w:t xml:space="preserve"> </w:t>
      </w:r>
      <w:r w:rsidRPr="00946B76">
        <w:rPr>
          <w:rFonts w:ascii="Arial" w:eastAsiaTheme="majorEastAsia" w:hAnsi="Arial" w:cs="Arial"/>
          <w:sz w:val="24"/>
          <w:szCs w:val="24"/>
        </w:rPr>
        <w:t>‘one of the most powerful techniques in text mining for data mining, latent data discovery, and finding relationships among data and text documents’</w:t>
      </w:r>
      <w:r w:rsidR="43247779" w:rsidRPr="00946B76">
        <w:rPr>
          <w:rFonts w:ascii="Arial" w:eastAsiaTheme="majorEastAsia" w:hAnsi="Arial" w:cs="Arial"/>
          <w:sz w:val="24"/>
          <w:szCs w:val="24"/>
        </w:rPr>
        <w:t xml:space="preserve"> (</w:t>
      </w:r>
      <w:proofErr w:type="spellStart"/>
      <w:r w:rsidR="43247779" w:rsidRPr="00946B76">
        <w:rPr>
          <w:rFonts w:ascii="Arial" w:eastAsiaTheme="majorEastAsia" w:hAnsi="Arial" w:cs="Arial"/>
          <w:sz w:val="24"/>
          <w:szCs w:val="24"/>
        </w:rPr>
        <w:t>Jelodar</w:t>
      </w:r>
      <w:proofErr w:type="spellEnd"/>
      <w:r w:rsidR="43247779" w:rsidRPr="00946B76">
        <w:rPr>
          <w:rFonts w:ascii="Arial" w:eastAsiaTheme="majorEastAsia" w:hAnsi="Arial" w:cs="Arial"/>
          <w:sz w:val="24"/>
          <w:szCs w:val="24"/>
        </w:rPr>
        <w:t>, 2019)</w:t>
      </w:r>
      <w:r w:rsidRPr="00946B76">
        <w:rPr>
          <w:rFonts w:ascii="Arial" w:eastAsiaTheme="majorEastAsia" w:hAnsi="Arial" w:cs="Arial"/>
          <w:sz w:val="24"/>
          <w:szCs w:val="24"/>
        </w:rPr>
        <w:t xml:space="preserve">. </w:t>
      </w:r>
      <w:r w:rsidR="2CFE1127" w:rsidRPr="00946B76">
        <w:rPr>
          <w:rFonts w:ascii="Arial" w:eastAsiaTheme="majorEastAsia" w:hAnsi="Arial" w:cs="Arial"/>
          <w:sz w:val="24"/>
          <w:szCs w:val="24"/>
        </w:rPr>
        <w:t>It</w:t>
      </w:r>
      <w:r w:rsidRPr="00946B76">
        <w:rPr>
          <w:rFonts w:ascii="Arial" w:eastAsiaTheme="majorEastAsia" w:hAnsi="Arial" w:cs="Arial"/>
          <w:sz w:val="24"/>
          <w:szCs w:val="24"/>
        </w:rPr>
        <w:t xml:space="preserve"> is a type of computational text analysis method that can identify semantic structures in large volumes of text. This model produces </w:t>
      </w:r>
      <w:r w:rsidRPr="00946B76">
        <w:rPr>
          <w:rFonts w:ascii="Arial" w:eastAsiaTheme="majorEastAsia" w:hAnsi="Arial" w:cs="Arial"/>
          <w:i/>
          <w:iCs/>
          <w:sz w:val="24"/>
          <w:szCs w:val="24"/>
        </w:rPr>
        <w:t>topics</w:t>
      </w:r>
      <w:r w:rsidRPr="00946B76">
        <w:rPr>
          <w:rFonts w:ascii="Arial" w:eastAsiaTheme="majorEastAsia" w:hAnsi="Arial" w:cs="Arial"/>
          <w:sz w:val="24"/>
          <w:szCs w:val="24"/>
        </w:rPr>
        <w:t>, which are essentially clusters of words that are close in similarity. Words are automatically assigned to topics, without human supervision</w:t>
      </w:r>
      <w:r w:rsidR="5196C072" w:rsidRPr="00946B76">
        <w:rPr>
          <w:rFonts w:ascii="Arial" w:eastAsiaTheme="majorEastAsia" w:hAnsi="Arial" w:cs="Arial"/>
          <w:sz w:val="24"/>
          <w:szCs w:val="24"/>
        </w:rPr>
        <w:t>, bu</w:t>
      </w:r>
      <w:r w:rsidRPr="00946B76">
        <w:rPr>
          <w:rFonts w:ascii="Arial" w:eastAsiaTheme="majorEastAsia" w:hAnsi="Arial" w:cs="Arial"/>
          <w:sz w:val="24"/>
          <w:szCs w:val="24"/>
        </w:rPr>
        <w:t xml:space="preserve">t researchers are involved in the final product as they </w:t>
      </w:r>
      <w:r w:rsidR="635AEB0F" w:rsidRPr="00946B76">
        <w:rPr>
          <w:rFonts w:ascii="Arial" w:eastAsiaTheme="majorEastAsia" w:hAnsi="Arial" w:cs="Arial"/>
          <w:sz w:val="24"/>
          <w:szCs w:val="24"/>
        </w:rPr>
        <w:t>set</w:t>
      </w:r>
      <w:r w:rsidRPr="00946B76">
        <w:rPr>
          <w:rFonts w:ascii="Arial" w:eastAsiaTheme="majorEastAsia" w:hAnsi="Arial" w:cs="Arial"/>
          <w:sz w:val="24"/>
          <w:szCs w:val="24"/>
        </w:rPr>
        <w:t xml:space="preserve"> the model's parameters and interpreting its outputs. </w:t>
      </w:r>
      <w:r w:rsidR="3009E58B" w:rsidRPr="00946B76">
        <w:rPr>
          <w:rFonts w:ascii="Arial" w:eastAsiaTheme="majorEastAsia" w:hAnsi="Arial" w:cs="Arial"/>
          <w:sz w:val="24"/>
          <w:szCs w:val="24"/>
        </w:rPr>
        <w:t>Also</w:t>
      </w:r>
      <w:r w:rsidRPr="00946B76">
        <w:rPr>
          <w:rFonts w:ascii="Arial" w:eastAsiaTheme="majorEastAsia" w:hAnsi="Arial" w:cs="Arial"/>
          <w:sz w:val="24"/>
          <w:szCs w:val="24"/>
        </w:rPr>
        <w:t>, topic modelling does not provide any guidance on the interpretation of topics, which is up to the researchers again.</w:t>
      </w:r>
    </w:p>
    <w:p w14:paraId="0D418AC6" w14:textId="5E6F0ACF" w:rsidR="73A2B5A0" w:rsidRPr="00946B76" w:rsidRDefault="524499D8" w:rsidP="26234BE2">
      <w:pPr>
        <w:spacing w:line="360" w:lineRule="auto"/>
        <w:rPr>
          <w:rFonts w:ascii="Arial" w:eastAsiaTheme="majorEastAsia" w:hAnsi="Arial" w:cs="Arial"/>
          <w:sz w:val="24"/>
          <w:szCs w:val="24"/>
        </w:rPr>
      </w:pPr>
      <w:r w:rsidRPr="00946B76">
        <w:rPr>
          <w:rFonts w:ascii="Arial" w:eastAsiaTheme="majorEastAsia" w:hAnsi="Arial" w:cs="Arial"/>
          <w:sz w:val="24"/>
          <w:szCs w:val="24"/>
        </w:rPr>
        <w:t>Several social scientists have experimented with topic modelling when aiming to handle large volumes of data. Latent Dirichlet Allocation (LDA) is often referred to as the most popular topic model approach for natural language processing. The coding of the model is easily facilitated through the open-source statistical package R.</w:t>
      </w:r>
    </w:p>
    <w:p w14:paraId="2973A64B" w14:textId="43D7017E" w:rsidR="1184A3F3" w:rsidRPr="00946B76" w:rsidRDefault="1184A3F3" w:rsidP="26234BE2">
      <w:pPr>
        <w:spacing w:line="360" w:lineRule="auto"/>
        <w:rPr>
          <w:rFonts w:ascii="Arial" w:eastAsiaTheme="majorEastAsia" w:hAnsi="Arial" w:cs="Arial"/>
          <w:b/>
          <w:bCs/>
          <w:sz w:val="24"/>
          <w:szCs w:val="24"/>
        </w:rPr>
      </w:pPr>
      <w:r w:rsidRPr="00946B76">
        <w:rPr>
          <w:rFonts w:ascii="Arial" w:eastAsiaTheme="majorEastAsia" w:hAnsi="Arial" w:cs="Arial"/>
          <w:b/>
          <w:bCs/>
          <w:sz w:val="24"/>
          <w:szCs w:val="24"/>
        </w:rPr>
        <w:t xml:space="preserve">5.2 </w:t>
      </w:r>
      <w:r w:rsidR="73A2B5A0" w:rsidRPr="00946B76">
        <w:rPr>
          <w:rFonts w:ascii="Arial" w:eastAsiaTheme="majorEastAsia" w:hAnsi="Arial" w:cs="Arial"/>
          <w:b/>
          <w:bCs/>
          <w:sz w:val="24"/>
          <w:szCs w:val="24"/>
        </w:rPr>
        <w:t>LDA and NCDS</w:t>
      </w:r>
    </w:p>
    <w:p w14:paraId="5CCFA791" w14:textId="6A1E64B2" w:rsidR="73A2B5A0" w:rsidRPr="00946B76" w:rsidRDefault="524499D8" w:rsidP="26234BE2">
      <w:pPr>
        <w:spacing w:line="360" w:lineRule="auto"/>
        <w:rPr>
          <w:rFonts w:ascii="Arial" w:eastAsiaTheme="majorEastAsia" w:hAnsi="Arial" w:cs="Arial"/>
          <w:sz w:val="24"/>
          <w:szCs w:val="24"/>
        </w:rPr>
      </w:pPr>
      <w:r w:rsidRPr="00946B76">
        <w:rPr>
          <w:rFonts w:ascii="Arial" w:eastAsiaTheme="majorEastAsia" w:hAnsi="Arial" w:cs="Arial"/>
          <w:sz w:val="24"/>
          <w:szCs w:val="24"/>
        </w:rPr>
        <w:t xml:space="preserve">Here the process and performance of our LDA topic model are discussed. We have followed general guidelines as set by Jacobi, Van </w:t>
      </w:r>
      <w:proofErr w:type="spellStart"/>
      <w:r w:rsidRPr="00946B76">
        <w:rPr>
          <w:rFonts w:ascii="Arial" w:eastAsiaTheme="majorEastAsia" w:hAnsi="Arial" w:cs="Arial"/>
          <w:sz w:val="24"/>
          <w:szCs w:val="24"/>
        </w:rPr>
        <w:t>Atteveldt</w:t>
      </w:r>
      <w:proofErr w:type="spellEnd"/>
      <w:r w:rsidRPr="00946B76">
        <w:rPr>
          <w:rFonts w:ascii="Arial" w:eastAsiaTheme="majorEastAsia" w:hAnsi="Arial" w:cs="Arial"/>
          <w:sz w:val="24"/>
          <w:szCs w:val="24"/>
        </w:rPr>
        <w:t xml:space="preserve"> and </w:t>
      </w:r>
      <w:proofErr w:type="spellStart"/>
      <w:r w:rsidRPr="00946B76">
        <w:rPr>
          <w:rFonts w:ascii="Arial" w:eastAsiaTheme="majorEastAsia" w:hAnsi="Arial" w:cs="Arial"/>
          <w:sz w:val="24"/>
          <w:szCs w:val="24"/>
        </w:rPr>
        <w:t>Welbers</w:t>
      </w:r>
      <w:proofErr w:type="spellEnd"/>
      <w:r w:rsidRPr="00946B76">
        <w:rPr>
          <w:rFonts w:ascii="Arial" w:eastAsiaTheme="majorEastAsia" w:hAnsi="Arial" w:cs="Arial"/>
          <w:sz w:val="24"/>
          <w:szCs w:val="24"/>
        </w:rPr>
        <w:t xml:space="preserve"> (2016).</w:t>
      </w:r>
    </w:p>
    <w:p w14:paraId="6AF3F7A2" w14:textId="65A6EBAF" w:rsidR="51F3F453" w:rsidRPr="00946B76" w:rsidRDefault="51F3F453" w:rsidP="26234BE2">
      <w:pPr>
        <w:spacing w:line="360" w:lineRule="auto"/>
        <w:rPr>
          <w:rFonts w:ascii="Arial" w:eastAsiaTheme="majorEastAsia" w:hAnsi="Arial" w:cs="Arial"/>
          <w:i/>
          <w:iCs/>
          <w:sz w:val="24"/>
          <w:szCs w:val="24"/>
        </w:rPr>
      </w:pPr>
      <w:r w:rsidRPr="00946B76">
        <w:rPr>
          <w:rFonts w:ascii="Arial" w:eastAsiaTheme="majorEastAsia" w:hAnsi="Arial" w:cs="Arial"/>
          <w:i/>
          <w:iCs/>
          <w:sz w:val="24"/>
          <w:szCs w:val="24"/>
        </w:rPr>
        <w:t>Data Preparation</w:t>
      </w:r>
    </w:p>
    <w:p w14:paraId="7AFC7C6C" w14:textId="4C311055" w:rsidR="51F3F453" w:rsidRPr="00946B76" w:rsidRDefault="2A92272F" w:rsidP="25F722A2">
      <w:pPr>
        <w:spacing w:line="360" w:lineRule="auto"/>
        <w:rPr>
          <w:rFonts w:ascii="Arial" w:eastAsiaTheme="majorEastAsia" w:hAnsi="Arial" w:cs="Arial"/>
          <w:sz w:val="24"/>
          <w:szCs w:val="24"/>
        </w:rPr>
      </w:pPr>
      <w:r w:rsidRPr="00946B76">
        <w:rPr>
          <w:rFonts w:ascii="Arial" w:eastAsiaTheme="majorEastAsia" w:hAnsi="Arial" w:cs="Arial"/>
          <w:sz w:val="24"/>
          <w:szCs w:val="24"/>
        </w:rPr>
        <w:lastRenderedPageBreak/>
        <w:t xml:space="preserve">Topic </w:t>
      </w:r>
      <w:r w:rsidR="2AA72523" w:rsidRPr="00946B76">
        <w:rPr>
          <w:rFonts w:ascii="Arial" w:eastAsiaTheme="majorEastAsia" w:hAnsi="Arial" w:cs="Arial"/>
          <w:sz w:val="24"/>
          <w:szCs w:val="24"/>
        </w:rPr>
        <w:t>modelling operates in an unsupervised way. During t</w:t>
      </w:r>
      <w:r w:rsidR="765637DC" w:rsidRPr="00946B76">
        <w:rPr>
          <w:rFonts w:ascii="Arial" w:eastAsiaTheme="majorEastAsia" w:hAnsi="Arial" w:cs="Arial"/>
          <w:sz w:val="24"/>
          <w:szCs w:val="24"/>
        </w:rPr>
        <w:t xml:space="preserve">he </w:t>
      </w:r>
      <w:r w:rsidR="2AA72523" w:rsidRPr="00946B76">
        <w:rPr>
          <w:rFonts w:ascii="Arial" w:eastAsiaTheme="majorEastAsia" w:hAnsi="Arial" w:cs="Arial"/>
          <w:sz w:val="24"/>
          <w:szCs w:val="24"/>
        </w:rPr>
        <w:t xml:space="preserve">process, a collection of documents is broken down into clusters of words. To avoid any confusion for the researcher in the interpretation stage, </w:t>
      </w:r>
      <w:r w:rsidR="7F632519" w:rsidRPr="00946B76">
        <w:rPr>
          <w:rFonts w:ascii="Arial" w:eastAsiaTheme="majorEastAsia" w:hAnsi="Arial" w:cs="Arial"/>
          <w:sz w:val="24"/>
          <w:szCs w:val="24"/>
        </w:rPr>
        <w:t>data cleaning is important</w:t>
      </w:r>
      <w:r w:rsidR="2AA72523" w:rsidRPr="00946B76">
        <w:rPr>
          <w:rFonts w:ascii="Arial" w:eastAsiaTheme="majorEastAsia" w:hAnsi="Arial" w:cs="Arial"/>
          <w:sz w:val="24"/>
          <w:szCs w:val="24"/>
        </w:rPr>
        <w:t xml:space="preserve">. This can be done through low-level string operations. For us, this meant the removal of certain symbols that likely resulted from an encoding issue and/or were related to the transcription style. E.g., ‘@’ was used a lot to refer to certain dimensions of the question. This might have given some type of overview for manual </w:t>
      </w:r>
      <w:r w:rsidR="0CF3F97B" w:rsidRPr="00946B76">
        <w:rPr>
          <w:rFonts w:ascii="Arial" w:eastAsiaTheme="majorEastAsia" w:hAnsi="Arial" w:cs="Arial"/>
          <w:sz w:val="24"/>
          <w:szCs w:val="24"/>
        </w:rPr>
        <w:t>coding but</w:t>
      </w:r>
      <w:r w:rsidR="2AA72523" w:rsidRPr="00946B76">
        <w:rPr>
          <w:rFonts w:ascii="Arial" w:eastAsiaTheme="majorEastAsia" w:hAnsi="Arial" w:cs="Arial"/>
          <w:sz w:val="24"/>
          <w:szCs w:val="24"/>
        </w:rPr>
        <w:t xml:space="preserve"> could disturb the LDA process due to its omnipresence and relatively unimportant function to us. Next, empty rows and columns were deleted. We then proceeded to select our columns of interest: the textual data and NCDS respondent numbers. Lastly, we added row numbers to our rows to be able to match data to topics later on.</w:t>
      </w:r>
    </w:p>
    <w:p w14:paraId="1B0D9AF8" w14:textId="287A1B25" w:rsidR="51F3F453" w:rsidRPr="00946B76" w:rsidRDefault="51F3F453" w:rsidP="26234BE2">
      <w:pPr>
        <w:spacing w:line="360" w:lineRule="auto"/>
        <w:rPr>
          <w:rFonts w:ascii="Arial" w:eastAsiaTheme="majorEastAsia" w:hAnsi="Arial" w:cs="Arial"/>
          <w:i/>
          <w:iCs/>
          <w:sz w:val="24"/>
          <w:szCs w:val="24"/>
        </w:rPr>
      </w:pPr>
      <w:r w:rsidRPr="00946B76">
        <w:rPr>
          <w:rFonts w:ascii="Arial" w:eastAsiaTheme="majorEastAsia" w:hAnsi="Arial" w:cs="Arial"/>
          <w:i/>
          <w:iCs/>
          <w:sz w:val="24"/>
          <w:szCs w:val="24"/>
        </w:rPr>
        <w:t>Pre-processing</w:t>
      </w:r>
    </w:p>
    <w:p w14:paraId="39A90CB4" w14:textId="373DB6D8" w:rsidR="51F3F453" w:rsidRPr="00946B76" w:rsidRDefault="51F3F453" w:rsidP="26234BE2">
      <w:pPr>
        <w:spacing w:line="360" w:lineRule="auto"/>
        <w:rPr>
          <w:rFonts w:ascii="Arial" w:eastAsiaTheme="majorEastAsia" w:hAnsi="Arial" w:cs="Arial"/>
          <w:sz w:val="24"/>
          <w:szCs w:val="24"/>
        </w:rPr>
      </w:pPr>
      <w:r w:rsidRPr="00946B76">
        <w:rPr>
          <w:rFonts w:ascii="Arial" w:eastAsiaTheme="majorEastAsia" w:hAnsi="Arial" w:cs="Arial"/>
          <w:sz w:val="24"/>
          <w:szCs w:val="24"/>
        </w:rPr>
        <w:t>During the pre-processing stage, raw language data is processed into representations that computers can work with in terms of calculations. For this purpose, a document term matrix was created from our corpus (textual data). In this way, the presence of certain words in the documents was documented. The process of breaking down the text into smaller components (mostly words) is called tokenization. To create the most elegant version of the document term matrix, we also applied functions that ensured lowercasing, stemming, and the removal of stop words. The first two processes create a more efficient matrix by transforming all capitals to lower cases and by breaking down certain words (verbs) to their stem. As a result, the same or very similar expressions are now grouped together and recognized as linked by the model. Stop words were removed as they are not expected to be very relevant for our analysis, while they might clog the topic model and lead to outputs that are hard to interpret on the behalf of the researcher.</w:t>
      </w:r>
    </w:p>
    <w:p w14:paraId="361632BF" w14:textId="0A7DDE6A" w:rsidR="51F3F453" w:rsidRPr="00946B76" w:rsidRDefault="51F3F453" w:rsidP="26234BE2">
      <w:pPr>
        <w:spacing w:line="360" w:lineRule="auto"/>
        <w:rPr>
          <w:rFonts w:ascii="Arial" w:eastAsiaTheme="majorEastAsia" w:hAnsi="Arial" w:cs="Arial"/>
          <w:sz w:val="24"/>
          <w:szCs w:val="24"/>
        </w:rPr>
      </w:pPr>
      <w:r w:rsidRPr="00946B76">
        <w:rPr>
          <w:rFonts w:ascii="Arial" w:eastAsiaTheme="majorEastAsia" w:hAnsi="Arial" w:cs="Arial"/>
          <w:sz w:val="24"/>
          <w:szCs w:val="24"/>
        </w:rPr>
        <w:t>After pre-processing our matrix was converted to a different format that was appropriate for topic modelling. Content wise, these matrices are the same. A sample seed was set to ensure the reproducibility of results.</w:t>
      </w:r>
    </w:p>
    <w:p w14:paraId="15B1D8E1" w14:textId="14F7A529" w:rsidR="51F3F453" w:rsidRPr="00946B76" w:rsidRDefault="51F3F453" w:rsidP="26234BE2">
      <w:pPr>
        <w:spacing w:line="360" w:lineRule="auto"/>
        <w:rPr>
          <w:rFonts w:ascii="Arial" w:eastAsiaTheme="majorEastAsia" w:hAnsi="Arial" w:cs="Arial"/>
          <w:i/>
          <w:iCs/>
          <w:sz w:val="24"/>
          <w:szCs w:val="24"/>
        </w:rPr>
      </w:pPr>
      <w:r w:rsidRPr="00946B76">
        <w:rPr>
          <w:rFonts w:ascii="Arial" w:eastAsiaTheme="majorEastAsia" w:hAnsi="Arial" w:cs="Arial"/>
          <w:i/>
          <w:iCs/>
          <w:sz w:val="24"/>
          <w:szCs w:val="24"/>
        </w:rPr>
        <w:t>Parameter Settings</w:t>
      </w:r>
    </w:p>
    <w:p w14:paraId="5392CB0C" w14:textId="1129CFDE" w:rsidR="51F3F453" w:rsidRPr="00946B76" w:rsidRDefault="2AA72523" w:rsidP="25F722A2">
      <w:pPr>
        <w:spacing w:line="360" w:lineRule="auto"/>
        <w:rPr>
          <w:rFonts w:ascii="Arial" w:eastAsiaTheme="majorEastAsia" w:hAnsi="Arial" w:cs="Arial"/>
          <w:sz w:val="24"/>
          <w:szCs w:val="24"/>
        </w:rPr>
      </w:pPr>
      <w:r w:rsidRPr="00946B76">
        <w:rPr>
          <w:rFonts w:ascii="Arial" w:eastAsiaTheme="majorEastAsia" w:hAnsi="Arial" w:cs="Arial"/>
          <w:sz w:val="24"/>
          <w:szCs w:val="24"/>
        </w:rPr>
        <w:t>The parameter settings are the first point of human intervention. Firstly, researchers are required to manually specify the number of topics for the model. Ideally, we would want to establish a model with the l</w:t>
      </w:r>
      <w:r w:rsidR="4AE6511A" w:rsidRPr="00946B76">
        <w:rPr>
          <w:rFonts w:ascii="Arial" w:eastAsiaTheme="majorEastAsia" w:hAnsi="Arial" w:cs="Arial"/>
          <w:sz w:val="24"/>
          <w:szCs w:val="24"/>
        </w:rPr>
        <w:t>owest number</w:t>
      </w:r>
      <w:r w:rsidRPr="00946B76">
        <w:rPr>
          <w:rFonts w:ascii="Arial" w:eastAsiaTheme="majorEastAsia" w:hAnsi="Arial" w:cs="Arial"/>
          <w:sz w:val="24"/>
          <w:szCs w:val="24"/>
        </w:rPr>
        <w:t xml:space="preserve"> of topics without losing </w:t>
      </w:r>
      <w:r w:rsidRPr="00946B76">
        <w:rPr>
          <w:rFonts w:ascii="Arial" w:eastAsiaTheme="majorEastAsia" w:hAnsi="Arial" w:cs="Arial"/>
          <w:sz w:val="24"/>
          <w:szCs w:val="24"/>
        </w:rPr>
        <w:lastRenderedPageBreak/>
        <w:t>relevant information. Unfortunately, there is no default option for this, nor a simple rule of thumb. However, certain approaches could guide this decision-making process.</w:t>
      </w:r>
    </w:p>
    <w:p w14:paraId="579B1E19" w14:textId="326EDDF7" w:rsidR="51F3F453" w:rsidRPr="00946B76" w:rsidRDefault="51F3F453" w:rsidP="26234BE2">
      <w:pPr>
        <w:spacing w:line="360" w:lineRule="auto"/>
        <w:rPr>
          <w:rFonts w:ascii="Arial" w:eastAsiaTheme="majorEastAsia" w:hAnsi="Arial" w:cs="Arial"/>
          <w:sz w:val="24"/>
          <w:szCs w:val="24"/>
        </w:rPr>
      </w:pPr>
      <w:r w:rsidRPr="00946B76">
        <w:rPr>
          <w:rFonts w:ascii="Arial" w:eastAsiaTheme="majorEastAsia" w:hAnsi="Arial" w:cs="Arial"/>
          <w:sz w:val="24"/>
          <w:szCs w:val="24"/>
        </w:rPr>
        <w:t>For example, researchers could compare the output of several models (a variety of topics) based on face validity and construct validity. Both are highest for the model that 1) contains terms that make the most sense to the researcher and 2) has the most cohesive and distinctive topics. The model with the highest validity levels is then considered the most appropriate.</w:t>
      </w:r>
    </w:p>
    <w:p w14:paraId="7D33C32E" w14:textId="75C197A0" w:rsidR="51F3F453" w:rsidRPr="00946B76" w:rsidRDefault="2AA72523" w:rsidP="25F722A2">
      <w:pPr>
        <w:spacing w:line="360" w:lineRule="auto"/>
        <w:rPr>
          <w:rFonts w:ascii="Arial" w:eastAsiaTheme="majorEastAsia" w:hAnsi="Arial" w:cs="Arial"/>
          <w:sz w:val="24"/>
          <w:szCs w:val="24"/>
        </w:rPr>
      </w:pPr>
      <w:r w:rsidRPr="00946B76">
        <w:rPr>
          <w:rFonts w:ascii="Arial" w:eastAsiaTheme="majorEastAsia" w:hAnsi="Arial" w:cs="Arial"/>
          <w:sz w:val="24"/>
          <w:szCs w:val="24"/>
        </w:rPr>
        <w:t xml:space="preserve">An issue one might run into here is the question of how many models should be compared. While human evaluation of all possible models could produce trustworthy results, this is </w:t>
      </w:r>
      <w:r w:rsidR="55ADD428" w:rsidRPr="00946B76">
        <w:rPr>
          <w:rFonts w:ascii="Arial" w:eastAsiaTheme="majorEastAsia" w:hAnsi="Arial" w:cs="Arial"/>
          <w:sz w:val="24"/>
          <w:szCs w:val="24"/>
        </w:rPr>
        <w:t xml:space="preserve">obviously </w:t>
      </w:r>
      <w:r w:rsidRPr="00946B76">
        <w:rPr>
          <w:rFonts w:ascii="Arial" w:eastAsiaTheme="majorEastAsia" w:hAnsi="Arial" w:cs="Arial"/>
          <w:sz w:val="24"/>
          <w:szCs w:val="24"/>
        </w:rPr>
        <w:t xml:space="preserve">time-consuming and costly . Luckily, there are ways to work around this issue through the guidance of quantitative metrics. Because these topic models are probabilistic it is possible to calculate how well the models tend to function. To do so, researchers have to train an LDA model on only a portion of the data. The </w:t>
      </w:r>
      <w:r w:rsidR="373308B1" w:rsidRPr="00946B76">
        <w:rPr>
          <w:rFonts w:ascii="Arial" w:eastAsiaTheme="majorEastAsia" w:hAnsi="Arial" w:cs="Arial"/>
          <w:sz w:val="24"/>
          <w:szCs w:val="24"/>
        </w:rPr>
        <w:t>other</w:t>
      </w:r>
      <w:r w:rsidRPr="00946B76">
        <w:rPr>
          <w:rFonts w:ascii="Arial" w:eastAsiaTheme="majorEastAsia" w:hAnsi="Arial" w:cs="Arial"/>
          <w:sz w:val="24"/>
          <w:szCs w:val="24"/>
        </w:rPr>
        <w:t xml:space="preserve"> data is used for model evaluation. This routine is repeated on a large number of models (with varying topic numbers or k). The output of such a test is presented through a perplexity plot. Much like a goodness-of-fit measure, the model that best predicts the data is considered a good indicator for the right number of topics. Perplexity can be defined as the normalised inverse probability of the test set. Therefore, lower perplexity indicates better function according to automatic evaluation.</w:t>
      </w:r>
    </w:p>
    <w:p w14:paraId="35E31C53" w14:textId="761EA42E" w:rsidR="51F3F453" w:rsidRPr="00946B76" w:rsidRDefault="51F3F453" w:rsidP="26234BE2">
      <w:pPr>
        <w:spacing w:line="360" w:lineRule="auto"/>
        <w:rPr>
          <w:rFonts w:ascii="Arial" w:eastAsiaTheme="majorEastAsia" w:hAnsi="Arial" w:cs="Arial"/>
          <w:sz w:val="24"/>
          <w:szCs w:val="24"/>
        </w:rPr>
      </w:pPr>
      <w:r w:rsidRPr="00946B76">
        <w:rPr>
          <w:rFonts w:ascii="Arial" w:hAnsi="Arial" w:cs="Arial"/>
          <w:noProof/>
          <w:sz w:val="24"/>
          <w:szCs w:val="24"/>
        </w:rPr>
        <w:drawing>
          <wp:inline distT="0" distB="0" distL="0" distR="0" wp14:anchorId="2DFD75ED" wp14:editId="35BFCD38">
            <wp:extent cx="342900" cy="342900"/>
            <wp:effectExtent l="0" t="0" r="0" b="0"/>
            <wp:docPr id="2126766230" name="Picture 2126766230" descr="U,{4bab3ecb-f652-4a1f-ad7a-8ffde7b03c69}{35},12.520833333333334,7.708333333333333" title="Afbeelding invoe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342900" cy="342900"/>
                    </a:xfrm>
                    <a:prstGeom prst="rect">
                      <a:avLst/>
                    </a:prstGeom>
                  </pic:spPr>
                </pic:pic>
              </a:graphicData>
            </a:graphic>
          </wp:inline>
        </w:drawing>
      </w:r>
    </w:p>
    <w:p w14:paraId="6372036B" w14:textId="7647CB2D" w:rsidR="51F3F453" w:rsidRPr="00946B76" w:rsidRDefault="51F3F453" w:rsidP="26234BE2">
      <w:pPr>
        <w:spacing w:line="360" w:lineRule="auto"/>
        <w:jc w:val="center"/>
        <w:rPr>
          <w:rFonts w:ascii="Arial" w:eastAsiaTheme="majorEastAsia" w:hAnsi="Arial" w:cs="Arial"/>
          <w:sz w:val="24"/>
          <w:szCs w:val="24"/>
        </w:rPr>
      </w:pPr>
      <w:r w:rsidRPr="00946B76">
        <w:rPr>
          <w:rFonts w:ascii="Arial" w:eastAsiaTheme="majorEastAsia" w:hAnsi="Arial" w:cs="Arial"/>
          <w:sz w:val="24"/>
          <w:szCs w:val="24"/>
        </w:rPr>
        <w:t>Figure 1: Perplexity Plot</w:t>
      </w:r>
    </w:p>
    <w:p w14:paraId="29571CD8" w14:textId="5B08761B" w:rsidR="51F3F453" w:rsidRPr="00946B76" w:rsidRDefault="51F3F453" w:rsidP="26234BE2">
      <w:pPr>
        <w:spacing w:line="360" w:lineRule="auto"/>
        <w:rPr>
          <w:rFonts w:ascii="Arial" w:eastAsiaTheme="majorEastAsia" w:hAnsi="Arial" w:cs="Arial"/>
          <w:sz w:val="24"/>
          <w:szCs w:val="24"/>
        </w:rPr>
      </w:pPr>
      <w:r w:rsidRPr="00946B76">
        <w:rPr>
          <w:rFonts w:ascii="Arial" w:eastAsiaTheme="majorEastAsia" w:hAnsi="Arial" w:cs="Arial"/>
          <w:sz w:val="24"/>
          <w:szCs w:val="24"/>
        </w:rPr>
        <w:t xml:space="preserve">We trained our model on 75% of our data. Up until 30 topics, perplexity decreases as the number of topics increases. After this point, perplexity increases alongside the increasing topics. From looking at this plot, we can estimate the ideal number of topics to be between 15 and 30 topics. The 30-topic option seems most suitable in terms of scores but can be considered quite a lot of topics for manual interpretation. Several topic settings were explored within this range. Lastly, we considered alpha. Alpha is a hyperparameter controlling per-document topic distribution. The higher the </w:t>
      </w:r>
      <w:r w:rsidRPr="00946B76">
        <w:rPr>
          <w:rFonts w:ascii="Arial" w:eastAsiaTheme="majorEastAsia" w:hAnsi="Arial" w:cs="Arial"/>
          <w:sz w:val="24"/>
          <w:szCs w:val="24"/>
        </w:rPr>
        <w:lastRenderedPageBreak/>
        <w:t>alpha score, the more likely it becomes for documents to contain a mixture of topics. In our case, alpha was set to k/50, which is in line with field standards.</w:t>
      </w:r>
    </w:p>
    <w:p w14:paraId="48E2DB1D" w14:textId="2C9A310E" w:rsidR="51F3F453" w:rsidRPr="00946B76" w:rsidRDefault="51F3F453" w:rsidP="26234BE2">
      <w:pPr>
        <w:spacing w:line="360" w:lineRule="auto"/>
        <w:rPr>
          <w:rFonts w:ascii="Arial" w:eastAsiaTheme="majorEastAsia" w:hAnsi="Arial" w:cs="Arial"/>
          <w:i/>
          <w:iCs/>
          <w:sz w:val="24"/>
          <w:szCs w:val="24"/>
        </w:rPr>
      </w:pPr>
      <w:r w:rsidRPr="00946B76">
        <w:rPr>
          <w:rFonts w:ascii="Arial" w:eastAsiaTheme="majorEastAsia" w:hAnsi="Arial" w:cs="Arial"/>
          <w:i/>
          <w:iCs/>
          <w:sz w:val="24"/>
          <w:szCs w:val="24"/>
        </w:rPr>
        <w:t>Interpretation</w:t>
      </w:r>
    </w:p>
    <w:p w14:paraId="2B239BD7" w14:textId="6E7BE820" w:rsidR="51F3F453" w:rsidRPr="00946B76" w:rsidRDefault="51F3F453" w:rsidP="26234BE2">
      <w:pPr>
        <w:spacing w:line="360" w:lineRule="auto"/>
        <w:rPr>
          <w:rFonts w:ascii="Arial" w:eastAsiaTheme="majorEastAsia" w:hAnsi="Arial" w:cs="Arial"/>
          <w:sz w:val="24"/>
          <w:szCs w:val="24"/>
        </w:rPr>
      </w:pPr>
      <w:r w:rsidRPr="00946B76">
        <w:rPr>
          <w:rFonts w:ascii="Arial" w:eastAsiaTheme="majorEastAsia" w:hAnsi="Arial" w:cs="Arial"/>
          <w:sz w:val="24"/>
          <w:szCs w:val="24"/>
        </w:rPr>
        <w:t>When evaluating and interpreting these selected models via human judgement we were confronted with the broad nature of the survey question. Topics models reflected the data accurately but were not trained to look for the specific information that we were looking for. Therefore, distilling specific information about voluntary action, whether formal, informal, or potential proved to be somewhat challenging.</w:t>
      </w:r>
    </w:p>
    <w:p w14:paraId="77D577DA" w14:textId="43182C4A" w:rsidR="51F3F453" w:rsidRPr="00946B76" w:rsidRDefault="2AA72523" w:rsidP="25F722A2">
      <w:pPr>
        <w:spacing w:line="360" w:lineRule="auto"/>
        <w:rPr>
          <w:rFonts w:ascii="Arial" w:eastAsiaTheme="majorEastAsia" w:hAnsi="Arial" w:cs="Arial"/>
          <w:sz w:val="24"/>
          <w:szCs w:val="24"/>
        </w:rPr>
      </w:pPr>
      <w:r w:rsidRPr="00946B76">
        <w:rPr>
          <w:rFonts w:ascii="Arial" w:eastAsiaTheme="majorEastAsia" w:hAnsi="Arial" w:cs="Arial"/>
          <w:sz w:val="24"/>
          <w:szCs w:val="24"/>
        </w:rPr>
        <w:t>The model with 30 topics (as suggested by the perplexity measure) did end up being the most insightful to us. In this model, we were able to observe a topic (n=193) that seemed to be solely dedicated to more traditional interpretations of voluntary action. We have extracted all textual data assigned to that topic for closer inspection. Other topics contained a variety of interesting terms alluding to more ambiguous forms of volunteering and possible intentions, but these terms were spread out across all 30 topics. In this case, we did not consider manual inspection of all topics in hopes of finding what we were looking for</w:t>
      </w:r>
      <w:r w:rsidR="5D95E224" w:rsidRPr="00946B76">
        <w:rPr>
          <w:rFonts w:ascii="Arial" w:eastAsiaTheme="majorEastAsia" w:hAnsi="Arial" w:cs="Arial"/>
          <w:sz w:val="24"/>
          <w:szCs w:val="24"/>
        </w:rPr>
        <w:t xml:space="preserve">; </w:t>
      </w:r>
      <w:r w:rsidRPr="00946B76">
        <w:rPr>
          <w:rFonts w:ascii="Arial" w:eastAsiaTheme="majorEastAsia" w:hAnsi="Arial" w:cs="Arial"/>
          <w:sz w:val="24"/>
          <w:szCs w:val="24"/>
        </w:rPr>
        <w:t xml:space="preserve">we would be spending a lot of time on topics and terms outside of our interests. </w:t>
      </w:r>
    </w:p>
    <w:tbl>
      <w:tblPr>
        <w:tblStyle w:val="TableGrid"/>
        <w:tblW w:w="0" w:type="auto"/>
        <w:tblLayout w:type="fixed"/>
        <w:tblLook w:val="06A0" w:firstRow="1" w:lastRow="0" w:firstColumn="1" w:lastColumn="0" w:noHBand="1" w:noVBand="1"/>
      </w:tblPr>
      <w:tblGrid>
        <w:gridCol w:w="2254"/>
        <w:gridCol w:w="2254"/>
        <w:gridCol w:w="2254"/>
        <w:gridCol w:w="2254"/>
      </w:tblGrid>
      <w:tr w:rsidR="26234BE2" w:rsidRPr="00946B76" w14:paraId="32832004" w14:textId="77777777" w:rsidTr="26234BE2">
        <w:trPr>
          <w:trHeight w:val="345"/>
        </w:trPr>
        <w:tc>
          <w:tcPr>
            <w:tcW w:w="2254" w:type="dxa"/>
            <w:tcBorders>
              <w:top w:val="single" w:sz="6" w:space="0" w:color="CCCCCC"/>
              <w:left w:val="single" w:sz="6" w:space="0" w:color="CCCCCC"/>
              <w:bottom w:val="single" w:sz="6" w:space="0" w:color="CCCCCC"/>
              <w:right w:val="single" w:sz="6" w:space="0" w:color="CCCCCC"/>
            </w:tcBorders>
            <w:shd w:val="clear" w:color="auto" w:fill="EFEFEF"/>
            <w:tcMar>
              <w:top w:w="40" w:type="dxa"/>
              <w:left w:w="40" w:type="dxa"/>
              <w:bottom w:w="40" w:type="dxa"/>
              <w:right w:w="40" w:type="dxa"/>
            </w:tcMar>
            <w:vAlign w:val="bottom"/>
          </w:tcPr>
          <w:p w14:paraId="5EC00A59" w14:textId="3E117400" w:rsidR="26234BE2" w:rsidRPr="00946B76" w:rsidRDefault="26234BE2" w:rsidP="26234BE2">
            <w:pPr>
              <w:spacing w:line="360" w:lineRule="auto"/>
              <w:rPr>
                <w:rFonts w:ascii="Arial" w:eastAsiaTheme="majorEastAsia" w:hAnsi="Arial" w:cs="Arial"/>
                <w:b/>
                <w:bCs/>
                <w:color w:val="000000" w:themeColor="text1"/>
                <w:sz w:val="24"/>
                <w:szCs w:val="24"/>
              </w:rPr>
            </w:pPr>
            <w:r w:rsidRPr="00946B76">
              <w:rPr>
                <w:rFonts w:ascii="Arial" w:eastAsiaTheme="majorEastAsia" w:hAnsi="Arial" w:cs="Arial"/>
                <w:b/>
                <w:bCs/>
                <w:color w:val="000000" w:themeColor="text1"/>
                <w:sz w:val="24"/>
                <w:szCs w:val="24"/>
              </w:rPr>
              <w:t>Term 1</w:t>
            </w:r>
          </w:p>
        </w:tc>
        <w:tc>
          <w:tcPr>
            <w:tcW w:w="225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CB8F6B4" w14:textId="0F2A3A0B" w:rsidR="26234BE2" w:rsidRPr="00946B76" w:rsidRDefault="26234BE2" w:rsidP="26234BE2">
            <w:pPr>
              <w:spacing w:line="360" w:lineRule="auto"/>
              <w:rPr>
                <w:rFonts w:ascii="Arial" w:eastAsiaTheme="majorEastAsia" w:hAnsi="Arial" w:cs="Arial"/>
                <w:color w:val="000000" w:themeColor="text1"/>
                <w:sz w:val="24"/>
                <w:szCs w:val="24"/>
              </w:rPr>
            </w:pPr>
            <w:proofErr w:type="spellStart"/>
            <w:r w:rsidRPr="00946B76">
              <w:rPr>
                <w:rFonts w:ascii="Arial" w:eastAsiaTheme="majorEastAsia" w:hAnsi="Arial" w:cs="Arial"/>
                <w:color w:val="000000" w:themeColor="text1"/>
                <w:sz w:val="24"/>
                <w:szCs w:val="24"/>
              </w:rPr>
              <w:t>activ</w:t>
            </w:r>
            <w:proofErr w:type="spellEnd"/>
          </w:p>
        </w:tc>
        <w:tc>
          <w:tcPr>
            <w:tcW w:w="2254" w:type="dxa"/>
            <w:tcBorders>
              <w:top w:val="single" w:sz="6" w:space="0" w:color="CCCCCC"/>
              <w:left w:val="single" w:sz="6" w:space="0" w:color="CCCCCC"/>
              <w:bottom w:val="single" w:sz="6" w:space="0" w:color="CCCCCC"/>
              <w:right w:val="single" w:sz="6" w:space="0" w:color="CCCCCC"/>
            </w:tcBorders>
            <w:shd w:val="clear" w:color="auto" w:fill="EFEFEF"/>
            <w:tcMar>
              <w:top w:w="40" w:type="dxa"/>
              <w:left w:w="40" w:type="dxa"/>
              <w:bottom w:w="40" w:type="dxa"/>
              <w:right w:w="40" w:type="dxa"/>
            </w:tcMar>
            <w:vAlign w:val="bottom"/>
          </w:tcPr>
          <w:p w14:paraId="454644A7" w14:textId="657E2290" w:rsidR="26234BE2" w:rsidRPr="00946B76" w:rsidRDefault="26234BE2" w:rsidP="26234BE2">
            <w:pPr>
              <w:spacing w:line="360" w:lineRule="auto"/>
              <w:rPr>
                <w:rFonts w:ascii="Arial" w:eastAsiaTheme="majorEastAsia" w:hAnsi="Arial" w:cs="Arial"/>
                <w:b/>
                <w:bCs/>
                <w:color w:val="000000" w:themeColor="text1"/>
                <w:sz w:val="24"/>
                <w:szCs w:val="24"/>
              </w:rPr>
            </w:pPr>
            <w:r w:rsidRPr="00946B76">
              <w:rPr>
                <w:rFonts w:ascii="Arial" w:eastAsiaTheme="majorEastAsia" w:hAnsi="Arial" w:cs="Arial"/>
                <w:b/>
                <w:bCs/>
                <w:color w:val="000000" w:themeColor="text1"/>
                <w:sz w:val="24"/>
                <w:szCs w:val="24"/>
              </w:rPr>
              <w:t>Term 6</w:t>
            </w:r>
          </w:p>
        </w:tc>
        <w:tc>
          <w:tcPr>
            <w:tcW w:w="225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CC1434A" w14:textId="0BDFBC2A" w:rsidR="26234BE2" w:rsidRPr="00946B76" w:rsidRDefault="26234BE2" w:rsidP="26234BE2">
            <w:pPr>
              <w:spacing w:line="360" w:lineRule="auto"/>
              <w:rPr>
                <w:rFonts w:ascii="Arial" w:eastAsiaTheme="majorEastAsia" w:hAnsi="Arial" w:cs="Arial"/>
                <w:color w:val="000000" w:themeColor="text1"/>
                <w:sz w:val="24"/>
                <w:szCs w:val="24"/>
              </w:rPr>
            </w:pPr>
            <w:proofErr w:type="spellStart"/>
            <w:r w:rsidRPr="00946B76">
              <w:rPr>
                <w:rFonts w:ascii="Arial" w:eastAsiaTheme="majorEastAsia" w:hAnsi="Arial" w:cs="Arial"/>
                <w:color w:val="000000" w:themeColor="text1"/>
                <w:sz w:val="24"/>
                <w:szCs w:val="24"/>
              </w:rPr>
              <w:t>continu</w:t>
            </w:r>
            <w:proofErr w:type="spellEnd"/>
          </w:p>
        </w:tc>
      </w:tr>
      <w:tr w:rsidR="26234BE2" w:rsidRPr="00946B76" w14:paraId="45FE8F2D" w14:textId="77777777" w:rsidTr="26234BE2">
        <w:trPr>
          <w:trHeight w:val="360"/>
        </w:trPr>
        <w:tc>
          <w:tcPr>
            <w:tcW w:w="2254" w:type="dxa"/>
            <w:tcBorders>
              <w:top w:val="single" w:sz="6" w:space="0" w:color="CCCCCC"/>
              <w:left w:val="single" w:sz="6" w:space="0" w:color="CCCCCC"/>
              <w:bottom w:val="single" w:sz="6" w:space="0" w:color="CCCCCC"/>
              <w:right w:val="single" w:sz="6" w:space="0" w:color="CCCCCC"/>
            </w:tcBorders>
            <w:shd w:val="clear" w:color="auto" w:fill="EFEFEF"/>
            <w:tcMar>
              <w:top w:w="40" w:type="dxa"/>
              <w:left w:w="40" w:type="dxa"/>
              <w:bottom w:w="40" w:type="dxa"/>
              <w:right w:w="40" w:type="dxa"/>
            </w:tcMar>
            <w:vAlign w:val="bottom"/>
          </w:tcPr>
          <w:p w14:paraId="2252DC3D" w14:textId="2DD148A7" w:rsidR="26234BE2" w:rsidRPr="00946B76" w:rsidRDefault="26234BE2" w:rsidP="26234BE2">
            <w:pPr>
              <w:spacing w:line="360" w:lineRule="auto"/>
              <w:rPr>
                <w:rFonts w:ascii="Arial" w:eastAsiaTheme="majorEastAsia" w:hAnsi="Arial" w:cs="Arial"/>
                <w:b/>
                <w:bCs/>
                <w:color w:val="000000" w:themeColor="text1"/>
                <w:sz w:val="24"/>
                <w:szCs w:val="24"/>
              </w:rPr>
            </w:pPr>
            <w:r w:rsidRPr="00946B76">
              <w:rPr>
                <w:rFonts w:ascii="Arial" w:eastAsiaTheme="majorEastAsia" w:hAnsi="Arial" w:cs="Arial"/>
                <w:b/>
                <w:bCs/>
                <w:color w:val="000000" w:themeColor="text1"/>
                <w:sz w:val="24"/>
                <w:szCs w:val="24"/>
              </w:rPr>
              <w:t>Term 2</w:t>
            </w:r>
          </w:p>
        </w:tc>
        <w:tc>
          <w:tcPr>
            <w:tcW w:w="225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CE20ACC" w14:textId="394869C2" w:rsidR="26234BE2" w:rsidRPr="00946B76" w:rsidRDefault="26234BE2" w:rsidP="26234BE2">
            <w:pPr>
              <w:spacing w:line="360" w:lineRule="auto"/>
              <w:rPr>
                <w:rFonts w:ascii="Arial" w:eastAsiaTheme="majorEastAsia" w:hAnsi="Arial" w:cs="Arial"/>
                <w:color w:val="000000" w:themeColor="text1"/>
                <w:sz w:val="24"/>
                <w:szCs w:val="24"/>
              </w:rPr>
            </w:pPr>
            <w:r w:rsidRPr="00946B76">
              <w:rPr>
                <w:rFonts w:ascii="Arial" w:eastAsiaTheme="majorEastAsia" w:hAnsi="Arial" w:cs="Arial"/>
                <w:color w:val="000000" w:themeColor="text1"/>
                <w:sz w:val="24"/>
                <w:szCs w:val="24"/>
              </w:rPr>
              <w:t>work</w:t>
            </w:r>
          </w:p>
        </w:tc>
        <w:tc>
          <w:tcPr>
            <w:tcW w:w="2254" w:type="dxa"/>
            <w:tcBorders>
              <w:top w:val="single" w:sz="6" w:space="0" w:color="CCCCCC"/>
              <w:left w:val="single" w:sz="6" w:space="0" w:color="CCCCCC"/>
              <w:bottom w:val="single" w:sz="6" w:space="0" w:color="CCCCCC"/>
              <w:right w:val="single" w:sz="6" w:space="0" w:color="CCCCCC"/>
            </w:tcBorders>
            <w:shd w:val="clear" w:color="auto" w:fill="EFEFEF"/>
            <w:tcMar>
              <w:top w:w="40" w:type="dxa"/>
              <w:left w:w="40" w:type="dxa"/>
              <w:bottom w:w="40" w:type="dxa"/>
              <w:right w:w="40" w:type="dxa"/>
            </w:tcMar>
            <w:vAlign w:val="bottom"/>
          </w:tcPr>
          <w:p w14:paraId="7DDFC81D" w14:textId="594C701B" w:rsidR="26234BE2" w:rsidRPr="00946B76" w:rsidRDefault="26234BE2" w:rsidP="26234BE2">
            <w:pPr>
              <w:spacing w:line="360" w:lineRule="auto"/>
              <w:rPr>
                <w:rFonts w:ascii="Arial" w:eastAsiaTheme="majorEastAsia" w:hAnsi="Arial" w:cs="Arial"/>
                <w:b/>
                <w:bCs/>
                <w:color w:val="000000" w:themeColor="text1"/>
                <w:sz w:val="24"/>
                <w:szCs w:val="24"/>
              </w:rPr>
            </w:pPr>
            <w:r w:rsidRPr="00946B76">
              <w:rPr>
                <w:rFonts w:ascii="Arial" w:eastAsiaTheme="majorEastAsia" w:hAnsi="Arial" w:cs="Arial"/>
                <w:b/>
                <w:bCs/>
                <w:color w:val="000000" w:themeColor="text1"/>
                <w:sz w:val="24"/>
                <w:szCs w:val="24"/>
              </w:rPr>
              <w:t>Term 7</w:t>
            </w:r>
          </w:p>
        </w:tc>
        <w:tc>
          <w:tcPr>
            <w:tcW w:w="225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7832B4E" w14:textId="701BA658" w:rsidR="26234BE2" w:rsidRPr="00946B76" w:rsidRDefault="26234BE2" w:rsidP="26234BE2">
            <w:pPr>
              <w:spacing w:line="360" w:lineRule="auto"/>
              <w:rPr>
                <w:rFonts w:ascii="Arial" w:eastAsiaTheme="majorEastAsia" w:hAnsi="Arial" w:cs="Arial"/>
                <w:color w:val="000000" w:themeColor="text1"/>
                <w:sz w:val="24"/>
                <w:szCs w:val="24"/>
              </w:rPr>
            </w:pPr>
            <w:r w:rsidRPr="00946B76">
              <w:rPr>
                <w:rFonts w:ascii="Arial" w:eastAsiaTheme="majorEastAsia" w:hAnsi="Arial" w:cs="Arial"/>
                <w:color w:val="000000" w:themeColor="text1"/>
                <w:sz w:val="24"/>
                <w:szCs w:val="24"/>
              </w:rPr>
              <w:t>support</w:t>
            </w:r>
          </w:p>
        </w:tc>
      </w:tr>
      <w:tr w:rsidR="26234BE2" w:rsidRPr="00946B76" w14:paraId="0F2D46F1" w14:textId="77777777" w:rsidTr="26234BE2">
        <w:trPr>
          <w:trHeight w:val="180"/>
        </w:trPr>
        <w:tc>
          <w:tcPr>
            <w:tcW w:w="2254" w:type="dxa"/>
            <w:tcBorders>
              <w:top w:val="single" w:sz="6" w:space="0" w:color="CCCCCC"/>
              <w:left w:val="single" w:sz="6" w:space="0" w:color="CCCCCC"/>
              <w:bottom w:val="single" w:sz="6" w:space="0" w:color="CCCCCC"/>
              <w:right w:val="single" w:sz="6" w:space="0" w:color="CCCCCC"/>
            </w:tcBorders>
            <w:shd w:val="clear" w:color="auto" w:fill="EFEFEF"/>
            <w:tcMar>
              <w:top w:w="40" w:type="dxa"/>
              <w:left w:w="40" w:type="dxa"/>
              <w:bottom w:w="40" w:type="dxa"/>
              <w:right w:w="40" w:type="dxa"/>
            </w:tcMar>
            <w:vAlign w:val="bottom"/>
          </w:tcPr>
          <w:p w14:paraId="5197C35E" w14:textId="0FE3557F" w:rsidR="26234BE2" w:rsidRPr="00946B76" w:rsidRDefault="26234BE2" w:rsidP="26234BE2">
            <w:pPr>
              <w:spacing w:line="360" w:lineRule="auto"/>
              <w:rPr>
                <w:rFonts w:ascii="Arial" w:eastAsiaTheme="majorEastAsia" w:hAnsi="Arial" w:cs="Arial"/>
                <w:b/>
                <w:bCs/>
                <w:color w:val="000000" w:themeColor="text1"/>
                <w:sz w:val="24"/>
                <w:szCs w:val="24"/>
              </w:rPr>
            </w:pPr>
            <w:r w:rsidRPr="00946B76">
              <w:rPr>
                <w:rFonts w:ascii="Arial" w:eastAsiaTheme="majorEastAsia" w:hAnsi="Arial" w:cs="Arial"/>
                <w:b/>
                <w:bCs/>
                <w:color w:val="000000" w:themeColor="text1"/>
                <w:sz w:val="24"/>
                <w:szCs w:val="24"/>
              </w:rPr>
              <w:t>Term 3</w:t>
            </w:r>
          </w:p>
        </w:tc>
        <w:tc>
          <w:tcPr>
            <w:tcW w:w="225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5544483" w14:textId="36CE1B87" w:rsidR="26234BE2" w:rsidRPr="00946B76" w:rsidRDefault="26234BE2" w:rsidP="26234BE2">
            <w:pPr>
              <w:spacing w:line="360" w:lineRule="auto"/>
              <w:rPr>
                <w:rFonts w:ascii="Arial" w:eastAsiaTheme="majorEastAsia" w:hAnsi="Arial" w:cs="Arial"/>
                <w:color w:val="000000" w:themeColor="text1"/>
                <w:sz w:val="24"/>
                <w:szCs w:val="24"/>
              </w:rPr>
            </w:pPr>
            <w:proofErr w:type="spellStart"/>
            <w:r w:rsidRPr="00946B76">
              <w:rPr>
                <w:rFonts w:ascii="Arial" w:eastAsiaTheme="majorEastAsia" w:hAnsi="Arial" w:cs="Arial"/>
                <w:color w:val="000000" w:themeColor="text1"/>
                <w:sz w:val="24"/>
                <w:szCs w:val="24"/>
              </w:rPr>
              <w:t>voluntari</w:t>
            </w:r>
            <w:proofErr w:type="spellEnd"/>
          </w:p>
        </w:tc>
        <w:tc>
          <w:tcPr>
            <w:tcW w:w="2254" w:type="dxa"/>
            <w:tcBorders>
              <w:top w:val="single" w:sz="6" w:space="0" w:color="CCCCCC"/>
              <w:left w:val="single" w:sz="6" w:space="0" w:color="CCCCCC"/>
              <w:bottom w:val="single" w:sz="6" w:space="0" w:color="CCCCCC"/>
              <w:right w:val="single" w:sz="6" w:space="0" w:color="CCCCCC"/>
            </w:tcBorders>
            <w:shd w:val="clear" w:color="auto" w:fill="EFEFEF"/>
            <w:tcMar>
              <w:top w:w="40" w:type="dxa"/>
              <w:left w:w="40" w:type="dxa"/>
              <w:bottom w:w="40" w:type="dxa"/>
              <w:right w:w="40" w:type="dxa"/>
            </w:tcMar>
            <w:vAlign w:val="bottom"/>
          </w:tcPr>
          <w:p w14:paraId="491FE9FA" w14:textId="5485F6F9" w:rsidR="26234BE2" w:rsidRPr="00946B76" w:rsidRDefault="26234BE2" w:rsidP="26234BE2">
            <w:pPr>
              <w:spacing w:line="360" w:lineRule="auto"/>
              <w:rPr>
                <w:rFonts w:ascii="Arial" w:eastAsiaTheme="majorEastAsia" w:hAnsi="Arial" w:cs="Arial"/>
                <w:b/>
                <w:bCs/>
                <w:color w:val="000000" w:themeColor="text1"/>
                <w:sz w:val="24"/>
                <w:szCs w:val="24"/>
              </w:rPr>
            </w:pPr>
            <w:r w:rsidRPr="00946B76">
              <w:rPr>
                <w:rFonts w:ascii="Arial" w:eastAsiaTheme="majorEastAsia" w:hAnsi="Arial" w:cs="Arial"/>
                <w:b/>
                <w:bCs/>
                <w:color w:val="000000" w:themeColor="text1"/>
                <w:sz w:val="24"/>
                <w:szCs w:val="24"/>
              </w:rPr>
              <w:t>Term 8</w:t>
            </w:r>
          </w:p>
        </w:tc>
        <w:tc>
          <w:tcPr>
            <w:tcW w:w="225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FAFC5CD" w14:textId="410A0E16" w:rsidR="26234BE2" w:rsidRPr="00946B76" w:rsidRDefault="26234BE2" w:rsidP="26234BE2">
            <w:pPr>
              <w:spacing w:line="360" w:lineRule="auto"/>
              <w:rPr>
                <w:rFonts w:ascii="Arial" w:eastAsiaTheme="majorEastAsia" w:hAnsi="Arial" w:cs="Arial"/>
                <w:color w:val="000000" w:themeColor="text1"/>
                <w:sz w:val="24"/>
                <w:szCs w:val="24"/>
              </w:rPr>
            </w:pPr>
            <w:r w:rsidRPr="00946B76">
              <w:rPr>
                <w:rFonts w:ascii="Arial" w:eastAsiaTheme="majorEastAsia" w:hAnsi="Arial" w:cs="Arial"/>
                <w:color w:val="000000" w:themeColor="text1"/>
                <w:sz w:val="24"/>
                <w:szCs w:val="24"/>
              </w:rPr>
              <w:t>help</w:t>
            </w:r>
          </w:p>
        </w:tc>
      </w:tr>
      <w:tr w:rsidR="26234BE2" w:rsidRPr="00946B76" w14:paraId="0E5E6089" w14:textId="77777777" w:rsidTr="26234BE2">
        <w:trPr>
          <w:trHeight w:val="300"/>
        </w:trPr>
        <w:tc>
          <w:tcPr>
            <w:tcW w:w="2254" w:type="dxa"/>
            <w:tcBorders>
              <w:top w:val="single" w:sz="6" w:space="0" w:color="CCCCCC"/>
              <w:left w:val="single" w:sz="6" w:space="0" w:color="CCCCCC"/>
              <w:bottom w:val="single" w:sz="6" w:space="0" w:color="CCCCCC"/>
              <w:right w:val="single" w:sz="6" w:space="0" w:color="CCCCCC"/>
            </w:tcBorders>
            <w:shd w:val="clear" w:color="auto" w:fill="EFEFEF"/>
            <w:tcMar>
              <w:top w:w="40" w:type="dxa"/>
              <w:left w:w="40" w:type="dxa"/>
              <w:bottom w:w="40" w:type="dxa"/>
              <w:right w:w="40" w:type="dxa"/>
            </w:tcMar>
            <w:vAlign w:val="bottom"/>
          </w:tcPr>
          <w:p w14:paraId="1C8CA0AA" w14:textId="2F1C0DB7" w:rsidR="26234BE2" w:rsidRPr="00946B76" w:rsidRDefault="26234BE2" w:rsidP="26234BE2">
            <w:pPr>
              <w:spacing w:line="360" w:lineRule="auto"/>
              <w:rPr>
                <w:rFonts w:ascii="Arial" w:eastAsiaTheme="majorEastAsia" w:hAnsi="Arial" w:cs="Arial"/>
                <w:b/>
                <w:bCs/>
                <w:color w:val="000000" w:themeColor="text1"/>
                <w:sz w:val="24"/>
                <w:szCs w:val="24"/>
              </w:rPr>
            </w:pPr>
            <w:r w:rsidRPr="00946B76">
              <w:rPr>
                <w:rFonts w:ascii="Arial" w:eastAsiaTheme="majorEastAsia" w:hAnsi="Arial" w:cs="Arial"/>
                <w:b/>
                <w:bCs/>
                <w:color w:val="000000" w:themeColor="text1"/>
                <w:sz w:val="24"/>
                <w:szCs w:val="24"/>
              </w:rPr>
              <w:t>Term 4</w:t>
            </w:r>
          </w:p>
        </w:tc>
        <w:tc>
          <w:tcPr>
            <w:tcW w:w="225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2ECFC56" w14:textId="7F6D0463" w:rsidR="26234BE2" w:rsidRPr="00946B76" w:rsidRDefault="26234BE2" w:rsidP="26234BE2">
            <w:pPr>
              <w:spacing w:line="360" w:lineRule="auto"/>
              <w:rPr>
                <w:rFonts w:ascii="Arial" w:eastAsiaTheme="majorEastAsia" w:hAnsi="Arial" w:cs="Arial"/>
                <w:color w:val="000000" w:themeColor="text1"/>
                <w:sz w:val="24"/>
                <w:szCs w:val="24"/>
              </w:rPr>
            </w:pPr>
            <w:r w:rsidRPr="00946B76">
              <w:rPr>
                <w:rFonts w:ascii="Arial" w:eastAsiaTheme="majorEastAsia" w:hAnsi="Arial" w:cs="Arial"/>
                <w:color w:val="000000" w:themeColor="text1"/>
                <w:sz w:val="24"/>
                <w:szCs w:val="24"/>
              </w:rPr>
              <w:t>local</w:t>
            </w:r>
          </w:p>
        </w:tc>
        <w:tc>
          <w:tcPr>
            <w:tcW w:w="2254" w:type="dxa"/>
            <w:tcBorders>
              <w:top w:val="single" w:sz="6" w:space="0" w:color="CCCCCC"/>
              <w:left w:val="single" w:sz="6" w:space="0" w:color="CCCCCC"/>
              <w:bottom w:val="single" w:sz="6" w:space="0" w:color="CCCCCC"/>
              <w:right w:val="single" w:sz="6" w:space="0" w:color="CCCCCC"/>
            </w:tcBorders>
            <w:shd w:val="clear" w:color="auto" w:fill="EFEFEF"/>
            <w:tcMar>
              <w:top w:w="40" w:type="dxa"/>
              <w:left w:w="40" w:type="dxa"/>
              <w:bottom w:w="40" w:type="dxa"/>
              <w:right w:w="40" w:type="dxa"/>
            </w:tcMar>
            <w:vAlign w:val="bottom"/>
          </w:tcPr>
          <w:p w14:paraId="2F736C38" w14:textId="60880B42" w:rsidR="26234BE2" w:rsidRPr="00946B76" w:rsidRDefault="26234BE2" w:rsidP="26234BE2">
            <w:pPr>
              <w:spacing w:line="360" w:lineRule="auto"/>
              <w:rPr>
                <w:rFonts w:ascii="Arial" w:eastAsiaTheme="majorEastAsia" w:hAnsi="Arial" w:cs="Arial"/>
                <w:b/>
                <w:bCs/>
                <w:color w:val="000000" w:themeColor="text1"/>
                <w:sz w:val="24"/>
                <w:szCs w:val="24"/>
              </w:rPr>
            </w:pPr>
            <w:r w:rsidRPr="00946B76">
              <w:rPr>
                <w:rFonts w:ascii="Arial" w:eastAsiaTheme="majorEastAsia" w:hAnsi="Arial" w:cs="Arial"/>
                <w:b/>
                <w:bCs/>
                <w:color w:val="000000" w:themeColor="text1"/>
                <w:sz w:val="24"/>
                <w:szCs w:val="24"/>
              </w:rPr>
              <w:t>Term 9</w:t>
            </w:r>
          </w:p>
        </w:tc>
        <w:tc>
          <w:tcPr>
            <w:tcW w:w="225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E1AA8E0" w14:textId="54C15AFF" w:rsidR="26234BE2" w:rsidRPr="00946B76" w:rsidRDefault="26234BE2" w:rsidP="26234BE2">
            <w:pPr>
              <w:spacing w:line="360" w:lineRule="auto"/>
              <w:rPr>
                <w:rFonts w:ascii="Arial" w:eastAsiaTheme="majorEastAsia" w:hAnsi="Arial" w:cs="Arial"/>
                <w:color w:val="000000" w:themeColor="text1"/>
                <w:sz w:val="24"/>
                <w:szCs w:val="24"/>
              </w:rPr>
            </w:pPr>
            <w:proofErr w:type="spellStart"/>
            <w:r w:rsidRPr="00946B76">
              <w:rPr>
                <w:rFonts w:ascii="Arial" w:eastAsiaTheme="majorEastAsia" w:hAnsi="Arial" w:cs="Arial"/>
                <w:color w:val="000000" w:themeColor="text1"/>
                <w:sz w:val="24"/>
                <w:szCs w:val="24"/>
              </w:rPr>
              <w:t>communiti</w:t>
            </w:r>
            <w:proofErr w:type="spellEnd"/>
          </w:p>
        </w:tc>
      </w:tr>
      <w:tr w:rsidR="26234BE2" w:rsidRPr="00946B76" w14:paraId="3848A473" w14:textId="77777777" w:rsidTr="26234BE2">
        <w:trPr>
          <w:trHeight w:val="300"/>
        </w:trPr>
        <w:tc>
          <w:tcPr>
            <w:tcW w:w="2254" w:type="dxa"/>
            <w:tcBorders>
              <w:top w:val="single" w:sz="6" w:space="0" w:color="CCCCCC"/>
              <w:left w:val="single" w:sz="6" w:space="0" w:color="CCCCCC"/>
              <w:bottom w:val="single" w:sz="6" w:space="0" w:color="CCCCCC"/>
              <w:right w:val="single" w:sz="6" w:space="0" w:color="CCCCCC"/>
            </w:tcBorders>
            <w:shd w:val="clear" w:color="auto" w:fill="EFEFEF"/>
            <w:tcMar>
              <w:top w:w="40" w:type="dxa"/>
              <w:left w:w="40" w:type="dxa"/>
              <w:bottom w:w="40" w:type="dxa"/>
              <w:right w:w="40" w:type="dxa"/>
            </w:tcMar>
            <w:vAlign w:val="bottom"/>
          </w:tcPr>
          <w:p w14:paraId="6138BB31" w14:textId="64672C37" w:rsidR="26234BE2" w:rsidRPr="00946B76" w:rsidRDefault="26234BE2" w:rsidP="26234BE2">
            <w:pPr>
              <w:spacing w:line="360" w:lineRule="auto"/>
              <w:rPr>
                <w:rFonts w:ascii="Arial" w:eastAsiaTheme="majorEastAsia" w:hAnsi="Arial" w:cs="Arial"/>
                <w:b/>
                <w:bCs/>
                <w:color w:val="000000" w:themeColor="text1"/>
                <w:sz w:val="24"/>
                <w:szCs w:val="24"/>
              </w:rPr>
            </w:pPr>
            <w:r w:rsidRPr="00946B76">
              <w:rPr>
                <w:rFonts w:ascii="Arial" w:eastAsiaTheme="majorEastAsia" w:hAnsi="Arial" w:cs="Arial"/>
                <w:b/>
                <w:bCs/>
                <w:color w:val="000000" w:themeColor="text1"/>
                <w:sz w:val="24"/>
                <w:szCs w:val="24"/>
              </w:rPr>
              <w:t>Term 5</w:t>
            </w:r>
          </w:p>
        </w:tc>
        <w:tc>
          <w:tcPr>
            <w:tcW w:w="225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B5EA888" w14:textId="5960FEBF" w:rsidR="26234BE2" w:rsidRPr="00946B76" w:rsidRDefault="26234BE2" w:rsidP="26234BE2">
            <w:pPr>
              <w:spacing w:line="360" w:lineRule="auto"/>
              <w:rPr>
                <w:rFonts w:ascii="Arial" w:eastAsiaTheme="majorEastAsia" w:hAnsi="Arial" w:cs="Arial"/>
                <w:color w:val="000000" w:themeColor="text1"/>
                <w:sz w:val="24"/>
                <w:szCs w:val="24"/>
              </w:rPr>
            </w:pPr>
            <w:proofErr w:type="spellStart"/>
            <w:r w:rsidRPr="00946B76">
              <w:rPr>
                <w:rFonts w:ascii="Arial" w:eastAsiaTheme="majorEastAsia" w:hAnsi="Arial" w:cs="Arial"/>
                <w:color w:val="000000" w:themeColor="text1"/>
                <w:sz w:val="24"/>
                <w:szCs w:val="24"/>
              </w:rPr>
              <w:t>involv</w:t>
            </w:r>
            <w:proofErr w:type="spellEnd"/>
          </w:p>
        </w:tc>
        <w:tc>
          <w:tcPr>
            <w:tcW w:w="2254" w:type="dxa"/>
            <w:tcBorders>
              <w:top w:val="single" w:sz="6" w:space="0" w:color="CCCCCC"/>
              <w:left w:val="single" w:sz="6" w:space="0" w:color="CCCCCC"/>
              <w:bottom w:val="single" w:sz="6" w:space="0" w:color="CCCCCC"/>
              <w:right w:val="single" w:sz="6" w:space="0" w:color="CCCCCC"/>
            </w:tcBorders>
            <w:shd w:val="clear" w:color="auto" w:fill="EFEFEF"/>
            <w:tcMar>
              <w:top w:w="40" w:type="dxa"/>
              <w:left w:w="40" w:type="dxa"/>
              <w:bottom w:w="40" w:type="dxa"/>
              <w:right w:w="40" w:type="dxa"/>
            </w:tcMar>
            <w:vAlign w:val="bottom"/>
          </w:tcPr>
          <w:p w14:paraId="044FBF1B" w14:textId="6C2E0856" w:rsidR="26234BE2" w:rsidRPr="00946B76" w:rsidRDefault="26234BE2" w:rsidP="26234BE2">
            <w:pPr>
              <w:spacing w:line="360" w:lineRule="auto"/>
              <w:rPr>
                <w:rFonts w:ascii="Arial" w:eastAsiaTheme="majorEastAsia" w:hAnsi="Arial" w:cs="Arial"/>
                <w:b/>
                <w:bCs/>
                <w:color w:val="000000" w:themeColor="text1"/>
                <w:sz w:val="24"/>
                <w:szCs w:val="24"/>
              </w:rPr>
            </w:pPr>
            <w:r w:rsidRPr="00946B76">
              <w:rPr>
                <w:rFonts w:ascii="Arial" w:eastAsiaTheme="majorEastAsia" w:hAnsi="Arial" w:cs="Arial"/>
                <w:b/>
                <w:bCs/>
                <w:color w:val="000000" w:themeColor="text1"/>
                <w:sz w:val="24"/>
                <w:szCs w:val="24"/>
              </w:rPr>
              <w:t>Term 10</w:t>
            </w:r>
          </w:p>
        </w:tc>
        <w:tc>
          <w:tcPr>
            <w:tcW w:w="225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EDBCBB5" w14:textId="794C2905" w:rsidR="26234BE2" w:rsidRPr="00946B76" w:rsidRDefault="26234BE2" w:rsidP="26234BE2">
            <w:pPr>
              <w:spacing w:line="360" w:lineRule="auto"/>
              <w:rPr>
                <w:rFonts w:ascii="Arial" w:eastAsiaTheme="majorEastAsia" w:hAnsi="Arial" w:cs="Arial"/>
                <w:color w:val="000000" w:themeColor="text1"/>
                <w:sz w:val="24"/>
                <w:szCs w:val="24"/>
              </w:rPr>
            </w:pPr>
            <w:r w:rsidRPr="00946B76">
              <w:rPr>
                <w:rFonts w:ascii="Arial" w:eastAsiaTheme="majorEastAsia" w:hAnsi="Arial" w:cs="Arial"/>
                <w:color w:val="000000" w:themeColor="text1"/>
                <w:sz w:val="24"/>
                <w:szCs w:val="24"/>
              </w:rPr>
              <w:t>church</w:t>
            </w:r>
          </w:p>
        </w:tc>
      </w:tr>
    </w:tbl>
    <w:p w14:paraId="72F41007" w14:textId="4484EFCB" w:rsidR="7FDD772C" w:rsidRPr="00946B76" w:rsidRDefault="7FDD772C" w:rsidP="26234BE2">
      <w:pPr>
        <w:spacing w:line="360" w:lineRule="auto"/>
        <w:jc w:val="center"/>
        <w:rPr>
          <w:rFonts w:ascii="Arial" w:eastAsiaTheme="majorEastAsia" w:hAnsi="Arial" w:cs="Arial"/>
          <w:color w:val="000000" w:themeColor="text1"/>
          <w:sz w:val="24"/>
          <w:szCs w:val="24"/>
        </w:rPr>
      </w:pPr>
      <w:r w:rsidRPr="00946B76">
        <w:rPr>
          <w:rFonts w:ascii="Arial" w:eastAsiaTheme="majorEastAsia" w:hAnsi="Arial" w:cs="Arial"/>
          <w:color w:val="000000" w:themeColor="text1"/>
          <w:sz w:val="24"/>
          <w:szCs w:val="24"/>
        </w:rPr>
        <w:t>Table 3: Top 10 terms for topic 23</w:t>
      </w:r>
    </w:p>
    <w:p w14:paraId="76081A1B" w14:textId="3EC2BD1D" w:rsidR="26234BE2" w:rsidRPr="00946B76" w:rsidRDefault="26234BE2" w:rsidP="26234BE2">
      <w:pPr>
        <w:spacing w:line="360" w:lineRule="auto"/>
        <w:rPr>
          <w:rFonts w:ascii="Arial" w:eastAsiaTheme="majorEastAsia" w:hAnsi="Arial" w:cs="Arial"/>
          <w:sz w:val="24"/>
          <w:szCs w:val="24"/>
        </w:rPr>
      </w:pPr>
    </w:p>
    <w:tbl>
      <w:tblPr>
        <w:tblStyle w:val="TableGrid"/>
        <w:tblW w:w="0" w:type="auto"/>
        <w:tblLayout w:type="fixed"/>
        <w:tblLook w:val="06A0" w:firstRow="1" w:lastRow="0" w:firstColumn="1" w:lastColumn="0" w:noHBand="1" w:noVBand="1"/>
      </w:tblPr>
      <w:tblGrid>
        <w:gridCol w:w="495"/>
        <w:gridCol w:w="8520"/>
      </w:tblGrid>
      <w:tr w:rsidR="26234BE2" w:rsidRPr="00946B76" w14:paraId="562959C6" w14:textId="77777777" w:rsidTr="26234BE2">
        <w:trPr>
          <w:trHeight w:val="795"/>
        </w:trPr>
        <w:tc>
          <w:tcPr>
            <w:tcW w:w="49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D6FAE18" w14:textId="1C95121E" w:rsidR="26234BE2" w:rsidRPr="00946B76" w:rsidRDefault="26234BE2" w:rsidP="26234BE2">
            <w:pPr>
              <w:spacing w:line="360" w:lineRule="auto"/>
              <w:jc w:val="center"/>
              <w:rPr>
                <w:rFonts w:ascii="Arial" w:eastAsiaTheme="majorEastAsia" w:hAnsi="Arial" w:cs="Arial"/>
                <w:b/>
                <w:bCs/>
                <w:color w:val="000000" w:themeColor="text1"/>
                <w:sz w:val="24"/>
                <w:szCs w:val="24"/>
              </w:rPr>
            </w:pPr>
            <w:r w:rsidRPr="00946B76">
              <w:rPr>
                <w:rFonts w:ascii="Arial" w:eastAsiaTheme="majorEastAsia" w:hAnsi="Arial" w:cs="Arial"/>
                <w:b/>
                <w:bCs/>
                <w:color w:val="000000" w:themeColor="text1"/>
                <w:sz w:val="24"/>
                <w:szCs w:val="24"/>
              </w:rPr>
              <w:t>Text160</w:t>
            </w:r>
          </w:p>
        </w:tc>
        <w:tc>
          <w:tcPr>
            <w:tcW w:w="85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62020B9" w14:textId="014BA626" w:rsidR="26234BE2" w:rsidRPr="00946B76" w:rsidRDefault="26234BE2" w:rsidP="26234BE2">
            <w:pPr>
              <w:spacing w:line="360" w:lineRule="auto"/>
              <w:rPr>
                <w:rFonts w:ascii="Arial" w:eastAsiaTheme="majorEastAsia" w:hAnsi="Arial" w:cs="Arial"/>
                <w:color w:val="000000" w:themeColor="text1"/>
                <w:sz w:val="24"/>
                <w:szCs w:val="24"/>
              </w:rPr>
            </w:pPr>
            <w:r w:rsidRPr="00946B76">
              <w:rPr>
                <w:rFonts w:ascii="Arial" w:eastAsiaTheme="majorEastAsia" w:hAnsi="Arial" w:cs="Arial"/>
                <w:color w:val="000000" w:themeColor="text1"/>
                <w:sz w:val="24"/>
                <w:szCs w:val="24"/>
              </w:rPr>
              <w:t xml:space="preserve">I will still be working - probably still Full time - and still enjoying my work and Feeling it enriches my life. My children will now be 31 &amp; 29 - I do not expect to be a grandparent yet but hope they are settled in relationships. We will still be very close - even if they live in other parts of the country/world we will maintain our relationship through emails/phone calls/visits etc. My mum will now be 87 &amp; </w:t>
            </w:r>
            <w:r w:rsidRPr="00946B76">
              <w:rPr>
                <w:rFonts w:ascii="Arial" w:eastAsiaTheme="majorEastAsia" w:hAnsi="Arial" w:cs="Arial"/>
                <w:color w:val="000000" w:themeColor="text1"/>
                <w:sz w:val="24"/>
                <w:szCs w:val="24"/>
              </w:rPr>
              <w:lastRenderedPageBreak/>
              <w:t xml:space="preserve">probably still living alone &amp; active but needing much more support From myself &amp; the Family generally. I would like to be more involved with some community or voluntary group - putting something back! I would only remarry with my </w:t>
            </w:r>
            <w:proofErr w:type="spellStart"/>
            <w:r w:rsidRPr="00946B76">
              <w:rPr>
                <w:rFonts w:ascii="Arial" w:eastAsiaTheme="majorEastAsia" w:hAnsi="Arial" w:cs="Arial"/>
                <w:color w:val="000000" w:themeColor="text1"/>
                <w:sz w:val="24"/>
                <w:szCs w:val="24"/>
              </w:rPr>
              <w:t>childrens</w:t>
            </w:r>
            <w:proofErr w:type="spellEnd"/>
            <w:r w:rsidRPr="00946B76">
              <w:rPr>
                <w:rFonts w:ascii="Arial" w:eastAsiaTheme="majorEastAsia" w:hAnsi="Arial" w:cs="Arial"/>
                <w:color w:val="000000" w:themeColor="text1"/>
                <w:sz w:val="24"/>
                <w:szCs w:val="24"/>
              </w:rPr>
              <w:t xml:space="preserve"> blessing as they mature into relationships themselves their tolerance &amp; understanding will deepen.</w:t>
            </w:r>
          </w:p>
        </w:tc>
      </w:tr>
      <w:tr w:rsidR="26234BE2" w:rsidRPr="00946B76" w14:paraId="179F26D6" w14:textId="77777777" w:rsidTr="26234BE2">
        <w:trPr>
          <w:trHeight w:val="795"/>
        </w:trPr>
        <w:tc>
          <w:tcPr>
            <w:tcW w:w="49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766E394" w14:textId="730AA7DD" w:rsidR="26234BE2" w:rsidRPr="00946B76" w:rsidRDefault="26234BE2" w:rsidP="26234BE2">
            <w:pPr>
              <w:spacing w:line="360" w:lineRule="auto"/>
              <w:jc w:val="center"/>
              <w:rPr>
                <w:rFonts w:ascii="Arial" w:eastAsiaTheme="majorEastAsia" w:hAnsi="Arial" w:cs="Arial"/>
                <w:b/>
                <w:bCs/>
                <w:color w:val="000000" w:themeColor="text1"/>
                <w:sz w:val="24"/>
                <w:szCs w:val="24"/>
              </w:rPr>
            </w:pPr>
            <w:r w:rsidRPr="00946B76">
              <w:rPr>
                <w:rFonts w:ascii="Arial" w:eastAsiaTheme="majorEastAsia" w:hAnsi="Arial" w:cs="Arial"/>
                <w:b/>
                <w:bCs/>
                <w:color w:val="000000" w:themeColor="text1"/>
                <w:sz w:val="24"/>
                <w:szCs w:val="24"/>
              </w:rPr>
              <w:lastRenderedPageBreak/>
              <w:t>Text 233</w:t>
            </w:r>
          </w:p>
        </w:tc>
        <w:tc>
          <w:tcPr>
            <w:tcW w:w="85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2B3CF23" w14:textId="692C60EB" w:rsidR="26234BE2" w:rsidRPr="00946B76" w:rsidRDefault="26234BE2" w:rsidP="26234BE2">
            <w:pPr>
              <w:spacing w:line="360" w:lineRule="auto"/>
              <w:rPr>
                <w:rFonts w:ascii="Arial" w:eastAsiaTheme="majorEastAsia" w:hAnsi="Arial" w:cs="Arial"/>
                <w:color w:val="000000" w:themeColor="text1"/>
                <w:sz w:val="24"/>
                <w:szCs w:val="24"/>
              </w:rPr>
            </w:pPr>
            <w:r w:rsidRPr="00946B76">
              <w:rPr>
                <w:rFonts w:ascii="Arial" w:eastAsiaTheme="majorEastAsia" w:hAnsi="Arial" w:cs="Arial"/>
                <w:color w:val="000000" w:themeColor="text1"/>
                <w:sz w:val="24"/>
                <w:szCs w:val="24"/>
              </w:rPr>
              <w:t>It's just my wife and I at home now. Our daughter has left after getting married. I have more time for tending the garden as I now work part-time as a clerical officer in a local firm based in {PLACE East of England} about two miles away. I need the extra income to top-up my pension. My wife and I are involved in the church that we've attended for some years now although I only preach once a year these days. My main role there is still a Homegroup leader caring and mentoring a small number of the other church members. My health is still good enough to carry out these aforementioned activities. I have again taken up "geriatric" badminton on a weekly basis. It's a full life!</w:t>
            </w:r>
          </w:p>
        </w:tc>
      </w:tr>
      <w:tr w:rsidR="26234BE2" w:rsidRPr="00946B76" w14:paraId="164D46B0" w14:textId="77777777" w:rsidTr="26234BE2">
        <w:trPr>
          <w:trHeight w:val="315"/>
        </w:trPr>
        <w:tc>
          <w:tcPr>
            <w:tcW w:w="49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0843306" w14:textId="75D09007" w:rsidR="26234BE2" w:rsidRPr="00946B76" w:rsidRDefault="26234BE2" w:rsidP="26234BE2">
            <w:pPr>
              <w:spacing w:line="360" w:lineRule="auto"/>
              <w:jc w:val="center"/>
              <w:rPr>
                <w:rFonts w:ascii="Arial" w:eastAsiaTheme="majorEastAsia" w:hAnsi="Arial" w:cs="Arial"/>
                <w:b/>
                <w:bCs/>
                <w:color w:val="000000" w:themeColor="text1"/>
                <w:sz w:val="24"/>
                <w:szCs w:val="24"/>
              </w:rPr>
            </w:pPr>
            <w:r w:rsidRPr="00946B76">
              <w:rPr>
                <w:rFonts w:ascii="Arial" w:eastAsiaTheme="majorEastAsia" w:hAnsi="Arial" w:cs="Arial"/>
                <w:b/>
                <w:bCs/>
                <w:color w:val="000000" w:themeColor="text1"/>
                <w:sz w:val="24"/>
                <w:szCs w:val="24"/>
              </w:rPr>
              <w:t>Text</w:t>
            </w:r>
          </w:p>
          <w:p w14:paraId="76A3021F" w14:textId="0A550DD2" w:rsidR="26234BE2" w:rsidRPr="00946B76" w:rsidRDefault="26234BE2" w:rsidP="26234BE2">
            <w:pPr>
              <w:spacing w:line="360" w:lineRule="auto"/>
              <w:jc w:val="center"/>
              <w:rPr>
                <w:rFonts w:ascii="Arial" w:eastAsiaTheme="majorEastAsia" w:hAnsi="Arial" w:cs="Arial"/>
                <w:b/>
                <w:bCs/>
                <w:color w:val="000000" w:themeColor="text1"/>
                <w:sz w:val="24"/>
                <w:szCs w:val="24"/>
              </w:rPr>
            </w:pPr>
            <w:r w:rsidRPr="00946B76">
              <w:rPr>
                <w:rFonts w:ascii="Arial" w:eastAsiaTheme="majorEastAsia" w:hAnsi="Arial" w:cs="Arial"/>
                <w:b/>
                <w:bCs/>
                <w:color w:val="000000" w:themeColor="text1"/>
                <w:sz w:val="24"/>
                <w:szCs w:val="24"/>
              </w:rPr>
              <w:t>305</w:t>
            </w:r>
          </w:p>
        </w:tc>
        <w:tc>
          <w:tcPr>
            <w:tcW w:w="85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385EB89" w14:textId="261DFEB4" w:rsidR="26234BE2" w:rsidRPr="00946B76" w:rsidRDefault="26234BE2" w:rsidP="26234BE2">
            <w:pPr>
              <w:spacing w:line="360" w:lineRule="auto"/>
              <w:rPr>
                <w:rFonts w:ascii="Arial" w:eastAsiaTheme="majorEastAsia" w:hAnsi="Arial" w:cs="Arial"/>
                <w:color w:val="000000" w:themeColor="text1"/>
                <w:sz w:val="24"/>
                <w:szCs w:val="24"/>
              </w:rPr>
            </w:pPr>
            <w:r w:rsidRPr="00946B76">
              <w:rPr>
                <w:rFonts w:ascii="Arial" w:eastAsiaTheme="majorEastAsia" w:hAnsi="Arial" w:cs="Arial"/>
                <w:color w:val="000000" w:themeColor="text1"/>
                <w:sz w:val="24"/>
                <w:szCs w:val="24"/>
              </w:rPr>
              <w:t xml:space="preserve">Retired, looking forward to taking out and caring for grandchildren. Reasonably healthy being able to walk for fair distances in the country and being interested in some form of hobby which is not </w:t>
            </w:r>
            <w:proofErr w:type="spellStart"/>
            <w:r w:rsidRPr="00946B76">
              <w:rPr>
                <w:rFonts w:ascii="Arial" w:eastAsiaTheme="majorEastAsia" w:hAnsi="Arial" w:cs="Arial"/>
                <w:color w:val="000000" w:themeColor="text1"/>
                <w:sz w:val="24"/>
                <w:szCs w:val="24"/>
              </w:rPr>
              <w:t>relianment</w:t>
            </w:r>
            <w:proofErr w:type="spellEnd"/>
            <w:r w:rsidRPr="00946B76">
              <w:rPr>
                <w:rFonts w:ascii="Arial" w:eastAsiaTheme="majorEastAsia" w:hAnsi="Arial" w:cs="Arial"/>
                <w:color w:val="000000" w:themeColor="text1"/>
                <w:sz w:val="24"/>
                <w:szCs w:val="24"/>
              </w:rPr>
              <w:t xml:space="preserve"> on physical activity as now.</w:t>
            </w:r>
          </w:p>
        </w:tc>
      </w:tr>
      <w:tr w:rsidR="26234BE2" w:rsidRPr="00946B76" w14:paraId="5FF82A96" w14:textId="77777777" w:rsidTr="26234BE2">
        <w:trPr>
          <w:trHeight w:val="555"/>
        </w:trPr>
        <w:tc>
          <w:tcPr>
            <w:tcW w:w="49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6B7A722" w14:textId="3899CD96" w:rsidR="26234BE2" w:rsidRPr="00946B76" w:rsidRDefault="26234BE2" w:rsidP="26234BE2">
            <w:pPr>
              <w:spacing w:line="360" w:lineRule="auto"/>
              <w:jc w:val="center"/>
              <w:rPr>
                <w:rFonts w:ascii="Arial" w:eastAsiaTheme="majorEastAsia" w:hAnsi="Arial" w:cs="Arial"/>
                <w:b/>
                <w:bCs/>
                <w:color w:val="000000" w:themeColor="text1"/>
                <w:sz w:val="24"/>
                <w:szCs w:val="24"/>
              </w:rPr>
            </w:pPr>
            <w:r w:rsidRPr="00946B76">
              <w:rPr>
                <w:rFonts w:ascii="Arial" w:eastAsiaTheme="majorEastAsia" w:hAnsi="Arial" w:cs="Arial"/>
                <w:b/>
                <w:bCs/>
                <w:color w:val="000000" w:themeColor="text1"/>
                <w:sz w:val="24"/>
                <w:szCs w:val="24"/>
              </w:rPr>
              <w:t>Text</w:t>
            </w:r>
          </w:p>
          <w:p w14:paraId="54B58D1A" w14:textId="5295E431" w:rsidR="26234BE2" w:rsidRPr="00946B76" w:rsidRDefault="26234BE2" w:rsidP="26234BE2">
            <w:pPr>
              <w:spacing w:line="360" w:lineRule="auto"/>
              <w:jc w:val="center"/>
              <w:rPr>
                <w:rFonts w:ascii="Arial" w:eastAsiaTheme="majorEastAsia" w:hAnsi="Arial" w:cs="Arial"/>
                <w:b/>
                <w:bCs/>
                <w:color w:val="000000" w:themeColor="text1"/>
                <w:sz w:val="24"/>
                <w:szCs w:val="24"/>
              </w:rPr>
            </w:pPr>
            <w:r w:rsidRPr="00946B76">
              <w:rPr>
                <w:rFonts w:ascii="Arial" w:eastAsiaTheme="majorEastAsia" w:hAnsi="Arial" w:cs="Arial"/>
                <w:b/>
                <w:bCs/>
                <w:color w:val="000000" w:themeColor="text1"/>
                <w:sz w:val="24"/>
                <w:szCs w:val="24"/>
              </w:rPr>
              <w:t>332</w:t>
            </w:r>
          </w:p>
        </w:tc>
        <w:tc>
          <w:tcPr>
            <w:tcW w:w="85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6C8114C" w14:textId="22EE905A" w:rsidR="26234BE2" w:rsidRPr="00946B76" w:rsidRDefault="26234BE2" w:rsidP="26234BE2">
            <w:pPr>
              <w:spacing w:line="360" w:lineRule="auto"/>
              <w:rPr>
                <w:rFonts w:ascii="Arial" w:eastAsiaTheme="majorEastAsia" w:hAnsi="Arial" w:cs="Arial"/>
                <w:color w:val="000000" w:themeColor="text1"/>
                <w:sz w:val="24"/>
                <w:szCs w:val="24"/>
              </w:rPr>
            </w:pPr>
            <w:r w:rsidRPr="00946B76">
              <w:rPr>
                <w:rFonts w:ascii="Arial" w:eastAsiaTheme="majorEastAsia" w:hAnsi="Arial" w:cs="Arial"/>
                <w:color w:val="000000" w:themeColor="text1"/>
                <w:sz w:val="24"/>
                <w:szCs w:val="24"/>
              </w:rPr>
              <w:t>I IMAGINE I AM STILL DOING THE SAME JOB &amp; AM HAPPILY MARRIED &amp; STILL LIVING IN THIS AREA. MY HEALTH IS GOOD &amp; I WILL STILL ENJOY SIMILAR ACTIVITIES &amp; ENJOY A CLOSE RELATIONSHIP WITH MY CHILDREN, HOWEVER I WORRY ABOUT WHEN I WILL BE WORKING BEYOND 65. I WOULD MAYBE LIKE TO GET INVOLVED IN VOLUNTARY/COMMUNITY WORK IF TIME ALLOWS &amp; WOULD LIKE TO INCREASE MY PHYSICAL ACTIVITIES.</w:t>
            </w:r>
          </w:p>
        </w:tc>
      </w:tr>
      <w:tr w:rsidR="26234BE2" w:rsidRPr="00946B76" w14:paraId="67505376" w14:textId="77777777" w:rsidTr="26234BE2">
        <w:trPr>
          <w:trHeight w:val="555"/>
        </w:trPr>
        <w:tc>
          <w:tcPr>
            <w:tcW w:w="49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C5543D2" w14:textId="506641F8" w:rsidR="26234BE2" w:rsidRPr="00946B76" w:rsidRDefault="26234BE2" w:rsidP="26234BE2">
            <w:pPr>
              <w:spacing w:line="360" w:lineRule="auto"/>
              <w:jc w:val="right"/>
              <w:rPr>
                <w:rFonts w:ascii="Arial" w:eastAsiaTheme="majorEastAsia" w:hAnsi="Arial" w:cs="Arial"/>
                <w:b/>
                <w:bCs/>
                <w:color w:val="000000" w:themeColor="text1"/>
                <w:sz w:val="24"/>
                <w:szCs w:val="24"/>
              </w:rPr>
            </w:pPr>
            <w:r w:rsidRPr="00946B76">
              <w:rPr>
                <w:rFonts w:ascii="Arial" w:eastAsiaTheme="majorEastAsia" w:hAnsi="Arial" w:cs="Arial"/>
                <w:b/>
                <w:bCs/>
                <w:color w:val="000000" w:themeColor="text1"/>
                <w:sz w:val="24"/>
                <w:szCs w:val="24"/>
              </w:rPr>
              <w:t>T348</w:t>
            </w:r>
          </w:p>
        </w:tc>
        <w:tc>
          <w:tcPr>
            <w:tcW w:w="85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5503898" w14:textId="5582BAD3" w:rsidR="26234BE2" w:rsidRPr="00946B76" w:rsidRDefault="26234BE2" w:rsidP="26234BE2">
            <w:pPr>
              <w:spacing w:line="360" w:lineRule="auto"/>
              <w:rPr>
                <w:rFonts w:ascii="Arial" w:eastAsiaTheme="majorEastAsia" w:hAnsi="Arial" w:cs="Arial"/>
                <w:color w:val="000000" w:themeColor="text1"/>
                <w:sz w:val="24"/>
                <w:szCs w:val="24"/>
              </w:rPr>
            </w:pPr>
            <w:r w:rsidRPr="00946B76">
              <w:rPr>
                <w:rFonts w:ascii="Arial" w:eastAsiaTheme="majorEastAsia" w:hAnsi="Arial" w:cs="Arial"/>
                <w:color w:val="000000" w:themeColor="text1"/>
                <w:sz w:val="24"/>
                <w:szCs w:val="24"/>
              </w:rPr>
              <w:t xml:space="preserve">My physical health is excellent, regular gym, </w:t>
            </w:r>
            <w:proofErr w:type="spellStart"/>
            <w:r w:rsidRPr="00946B76">
              <w:rPr>
                <w:rFonts w:ascii="Arial" w:eastAsiaTheme="majorEastAsia" w:hAnsi="Arial" w:cs="Arial"/>
                <w:color w:val="000000" w:themeColor="text1"/>
                <w:sz w:val="24"/>
                <w:szCs w:val="24"/>
              </w:rPr>
              <w:t>pilates</w:t>
            </w:r>
            <w:proofErr w:type="spellEnd"/>
            <w:r w:rsidRPr="00946B76">
              <w:rPr>
                <w:rFonts w:ascii="Arial" w:eastAsiaTheme="majorEastAsia" w:hAnsi="Arial" w:cs="Arial"/>
                <w:color w:val="000000" w:themeColor="text1"/>
                <w:sz w:val="24"/>
                <w:szCs w:val="24"/>
              </w:rPr>
              <w:t xml:space="preserve"> &amp; yoga sessions (several per week) have led to this. I am financially secure and able to help various friends &amp; charities as a result. I remain interested in Financial Trading, and horse racing. Having succeeded in physical &amp; financial areas, more focus now on spiritual practices &amp; developments as I age. My loose network of friends continue to provide adequate social contact.</w:t>
            </w:r>
          </w:p>
        </w:tc>
      </w:tr>
    </w:tbl>
    <w:p w14:paraId="5D490177" w14:textId="70F8682B" w:rsidR="67CFB402" w:rsidRPr="00946B76" w:rsidRDefault="67CFB402" w:rsidP="26234BE2">
      <w:pPr>
        <w:spacing w:line="360" w:lineRule="auto"/>
        <w:jc w:val="center"/>
        <w:rPr>
          <w:rFonts w:ascii="Arial" w:eastAsiaTheme="majorEastAsia" w:hAnsi="Arial" w:cs="Arial"/>
          <w:color w:val="000000" w:themeColor="text1"/>
          <w:sz w:val="24"/>
          <w:szCs w:val="24"/>
        </w:rPr>
      </w:pPr>
      <w:r w:rsidRPr="00946B76">
        <w:rPr>
          <w:rFonts w:ascii="Arial" w:eastAsiaTheme="majorEastAsia" w:hAnsi="Arial" w:cs="Arial"/>
          <w:color w:val="000000" w:themeColor="text1"/>
          <w:sz w:val="24"/>
          <w:szCs w:val="24"/>
        </w:rPr>
        <w:t>Table 4: First 5 texts assigned to topic 23</w:t>
      </w:r>
    </w:p>
    <w:p w14:paraId="5863EC58" w14:textId="4C505CB1" w:rsidR="67CFB402" w:rsidRPr="00946B76" w:rsidRDefault="67CFB402" w:rsidP="26234BE2">
      <w:pPr>
        <w:spacing w:line="360" w:lineRule="auto"/>
        <w:rPr>
          <w:rFonts w:ascii="Arial" w:eastAsiaTheme="majorEastAsia" w:hAnsi="Arial" w:cs="Arial"/>
          <w:i/>
          <w:iCs/>
          <w:sz w:val="24"/>
          <w:szCs w:val="24"/>
        </w:rPr>
      </w:pPr>
      <w:r w:rsidRPr="00946B76">
        <w:rPr>
          <w:rFonts w:ascii="Arial" w:eastAsiaTheme="majorEastAsia" w:hAnsi="Arial" w:cs="Arial"/>
          <w:i/>
          <w:iCs/>
          <w:sz w:val="24"/>
          <w:szCs w:val="24"/>
        </w:rPr>
        <w:t>Considerations</w:t>
      </w:r>
    </w:p>
    <w:p w14:paraId="76BE821C" w14:textId="19385C33" w:rsidR="67CFB402" w:rsidRPr="00946B76" w:rsidRDefault="5FD84877" w:rsidP="26234BE2">
      <w:pPr>
        <w:spacing w:line="360" w:lineRule="auto"/>
        <w:rPr>
          <w:rFonts w:ascii="Arial" w:eastAsiaTheme="majorEastAsia" w:hAnsi="Arial" w:cs="Arial"/>
          <w:sz w:val="24"/>
          <w:szCs w:val="24"/>
        </w:rPr>
      </w:pPr>
      <w:r w:rsidRPr="00946B76">
        <w:rPr>
          <w:rFonts w:ascii="Arial" w:eastAsiaTheme="majorEastAsia" w:hAnsi="Arial" w:cs="Arial"/>
          <w:sz w:val="24"/>
          <w:szCs w:val="24"/>
        </w:rPr>
        <w:lastRenderedPageBreak/>
        <w:t>At this point, we were unable to identify specific topics of interest besides topic 23. However, the topic model did give us some insights into themes that might be hidden in the texts. As mentioned above, across topics we noticed possible references to both informal/invisible and potential voluntary action. Unfortunately for us, they were not grouped in a way that would represent dedicated topics. The noise was simply too high for interpretation.</w:t>
      </w:r>
    </w:p>
    <w:p w14:paraId="4C1EE295" w14:textId="6B96878E" w:rsidR="67CFB402" w:rsidRPr="00946B76" w:rsidRDefault="67CFB402" w:rsidP="26234BE2">
      <w:pPr>
        <w:spacing w:line="360" w:lineRule="auto"/>
        <w:ind w:firstLine="708"/>
        <w:rPr>
          <w:rFonts w:ascii="Arial" w:eastAsiaTheme="majorEastAsia" w:hAnsi="Arial" w:cs="Arial"/>
          <w:sz w:val="24"/>
          <w:szCs w:val="24"/>
        </w:rPr>
      </w:pPr>
      <w:r w:rsidRPr="00946B76">
        <w:rPr>
          <w:rFonts w:ascii="Arial" w:eastAsiaTheme="majorEastAsia" w:hAnsi="Arial" w:cs="Arial"/>
          <w:sz w:val="24"/>
          <w:szCs w:val="24"/>
        </w:rPr>
        <w:t>Our choice for topic modelling was rooted in the bottom-up nature of the method. We considered this to be important as we had highlighted the need for a more contextual understanding. However, as our question was extremely broad, this meant a lot of noise (to us) was being brought into the model. If we were looking to answer the specific question that respondents were asked, the model would have likely been very successful for this task. In our case, we concluded we needed a more targeted approach.</w:t>
      </w:r>
    </w:p>
    <w:p w14:paraId="4776D4FE" w14:textId="7B621AF2" w:rsidR="67CFB402" w:rsidRPr="00946B76" w:rsidRDefault="67CFB402" w:rsidP="26234BE2">
      <w:pPr>
        <w:spacing w:line="360" w:lineRule="auto"/>
        <w:ind w:firstLine="708"/>
        <w:rPr>
          <w:rFonts w:ascii="Arial" w:eastAsiaTheme="majorEastAsia" w:hAnsi="Arial" w:cs="Arial"/>
          <w:sz w:val="24"/>
          <w:szCs w:val="24"/>
        </w:rPr>
      </w:pPr>
      <w:r w:rsidRPr="00946B76">
        <w:rPr>
          <w:rFonts w:ascii="Arial" w:eastAsiaTheme="majorEastAsia" w:hAnsi="Arial" w:cs="Arial"/>
          <w:sz w:val="24"/>
          <w:szCs w:val="24"/>
        </w:rPr>
        <w:t>When learning about computational text analysis, which was an ongoing process alongside the study itself, we came across another pitfall of this method for our purpose. LDA bases itself on the document term matrix that we had made before. When using a document term matrix, the assumption is made that order and syntax of words do not matter. This is called the ‘bag of words assumption’. Interestingly, models generally tend to perform rather well despite it being a false representation of language structures. Therefore, we had not considered this to be a concern before. However, now that we were evaluating our options, we started to consider another computational text analysis method where the context of word use could be preserved. In the next section, this other form of computational text analysis will be discussed and presented.</w:t>
      </w:r>
    </w:p>
    <w:p w14:paraId="437B4265" w14:textId="4CDBF547" w:rsidR="7744DD4D" w:rsidRPr="00946B76" w:rsidRDefault="7744DD4D" w:rsidP="26234BE2">
      <w:pPr>
        <w:spacing w:line="360" w:lineRule="auto"/>
        <w:rPr>
          <w:rFonts w:ascii="Arial" w:eastAsiaTheme="majorEastAsia" w:hAnsi="Arial" w:cs="Arial"/>
          <w:b/>
          <w:bCs/>
          <w:sz w:val="24"/>
          <w:szCs w:val="24"/>
        </w:rPr>
      </w:pPr>
      <w:r w:rsidRPr="00946B76">
        <w:rPr>
          <w:rFonts w:ascii="Arial" w:eastAsiaTheme="majorEastAsia" w:hAnsi="Arial" w:cs="Arial"/>
          <w:b/>
          <w:bCs/>
          <w:sz w:val="24"/>
          <w:szCs w:val="24"/>
        </w:rPr>
        <w:t>5.2 Machine Learning Models</w:t>
      </w:r>
    </w:p>
    <w:p w14:paraId="432A3246" w14:textId="7594414E" w:rsidR="65197E65" w:rsidRPr="00946B76" w:rsidRDefault="65197E65" w:rsidP="26234BE2">
      <w:pPr>
        <w:spacing w:line="360" w:lineRule="auto"/>
        <w:rPr>
          <w:rFonts w:ascii="Arial" w:eastAsiaTheme="majorEastAsia" w:hAnsi="Arial" w:cs="Arial"/>
          <w:sz w:val="24"/>
          <w:szCs w:val="24"/>
        </w:rPr>
      </w:pPr>
      <w:r w:rsidRPr="00946B76">
        <w:rPr>
          <w:rFonts w:ascii="Arial" w:eastAsiaTheme="majorEastAsia" w:hAnsi="Arial" w:cs="Arial"/>
          <w:sz w:val="24"/>
          <w:szCs w:val="24"/>
        </w:rPr>
        <w:t>Machine learning models (MLMs) are another branch of computational text analysis. Unlike topic models, which operate relatively unsupervised, MLMs are guided by human supervision. In this format, researchers know what they are looking for and communicate this to the model. The model then sets out to collect all datapoint of interest within the dataset.</w:t>
      </w:r>
    </w:p>
    <w:p w14:paraId="7AC33670" w14:textId="177C7CB6" w:rsidR="65197E65" w:rsidRPr="00946B76" w:rsidRDefault="65197E65" w:rsidP="452A86B4">
      <w:pPr>
        <w:spacing w:line="360" w:lineRule="auto"/>
        <w:ind w:firstLine="708"/>
        <w:rPr>
          <w:rFonts w:ascii="Arial" w:eastAsiaTheme="majorEastAsia" w:hAnsi="Arial" w:cs="Arial"/>
          <w:sz w:val="24"/>
          <w:szCs w:val="24"/>
        </w:rPr>
      </w:pPr>
      <w:r w:rsidRPr="00946B76">
        <w:rPr>
          <w:rFonts w:ascii="Arial" w:eastAsiaTheme="majorEastAsia" w:hAnsi="Arial" w:cs="Arial"/>
          <w:sz w:val="24"/>
          <w:szCs w:val="24"/>
        </w:rPr>
        <w:t xml:space="preserve">In order to scan for relevant data, the researcher has to inform the model. This is done through a pre-coded sample. These codes are referred to as labels. Data </w:t>
      </w:r>
      <w:r w:rsidRPr="00946B76">
        <w:rPr>
          <w:rFonts w:ascii="Arial" w:eastAsiaTheme="majorEastAsia" w:hAnsi="Arial" w:cs="Arial"/>
          <w:sz w:val="24"/>
          <w:szCs w:val="24"/>
        </w:rPr>
        <w:lastRenderedPageBreak/>
        <w:t>features (in our case combinations of words) are considered predictors of these labels. The model is asked to infer the relationship between the input features and their related output class. To ensure the effectiveness of these models, training on held-out data takes place next for evaluation purposes. This is essentially the same process we went through with the perplexity measure, only now we were looking for the accurate prediction of our labels. General machine learning is rather similar to regular statistical modelling, where our input features (words) could be described as our independent variables. The output class (labels) are classifications of our dependent variable. However, MLMs are different from ‘normal’ statistical modelling in the sense that their sole aim is to predict, and interpretability is notoriously low. Models can have thousands of independent variables that do not make sense to the human eye yet are adding something to the prediction accuracy of the model.</w:t>
      </w:r>
    </w:p>
    <w:p w14:paraId="3477ED5D" w14:textId="2CC80346" w:rsidR="65197E65" w:rsidRPr="00946B76" w:rsidRDefault="65197E65" w:rsidP="452A86B4">
      <w:pPr>
        <w:spacing w:line="360" w:lineRule="auto"/>
        <w:ind w:firstLine="708"/>
        <w:rPr>
          <w:rFonts w:ascii="Arial" w:eastAsiaTheme="majorEastAsia" w:hAnsi="Arial" w:cs="Arial"/>
          <w:sz w:val="24"/>
          <w:szCs w:val="24"/>
        </w:rPr>
      </w:pPr>
      <w:r w:rsidRPr="00946B76">
        <w:rPr>
          <w:rFonts w:ascii="Arial" w:eastAsiaTheme="majorEastAsia" w:hAnsi="Arial" w:cs="Arial"/>
          <w:sz w:val="24"/>
          <w:szCs w:val="24"/>
        </w:rPr>
        <w:t xml:space="preserve">There are multiple versions of such models in existence. We have started working with two relatively simple versions for text classification: Naive Bayes and Support Vector Machine. Studies have indicated that these two can be very effective tools, which require minimum complex knowledge on part of the researcher. As we were all new to this type of analysis, exploring those two is a good starting point. For the sake of reliability, consistency, and a comparison reference point to the topic model, we decided to follow guidelines from Van </w:t>
      </w:r>
      <w:proofErr w:type="spellStart"/>
      <w:r w:rsidRPr="00946B76">
        <w:rPr>
          <w:rFonts w:ascii="Arial" w:eastAsiaTheme="majorEastAsia" w:hAnsi="Arial" w:cs="Arial"/>
          <w:sz w:val="24"/>
          <w:szCs w:val="24"/>
        </w:rPr>
        <w:t>Atteveldt</w:t>
      </w:r>
      <w:proofErr w:type="spellEnd"/>
      <w:r w:rsidRPr="00946B76">
        <w:rPr>
          <w:rFonts w:ascii="Arial" w:eastAsiaTheme="majorEastAsia" w:hAnsi="Arial" w:cs="Arial"/>
          <w:sz w:val="24"/>
          <w:szCs w:val="24"/>
        </w:rPr>
        <w:t xml:space="preserve"> and </w:t>
      </w:r>
      <w:proofErr w:type="spellStart"/>
      <w:r w:rsidRPr="00946B76">
        <w:rPr>
          <w:rFonts w:ascii="Arial" w:eastAsiaTheme="majorEastAsia" w:hAnsi="Arial" w:cs="Arial"/>
          <w:sz w:val="24"/>
          <w:szCs w:val="24"/>
        </w:rPr>
        <w:t>Welbers</w:t>
      </w:r>
      <w:proofErr w:type="spellEnd"/>
      <w:r w:rsidRPr="00946B76">
        <w:rPr>
          <w:rFonts w:ascii="Arial" w:eastAsiaTheme="majorEastAsia" w:hAnsi="Arial" w:cs="Arial"/>
          <w:sz w:val="24"/>
          <w:szCs w:val="24"/>
        </w:rPr>
        <w:t xml:space="preserve"> (2022) again. We set out to follow their GitHub tutorial, which is publicly accessible at: https://github.com/ccs-amsterdam/r-course-material/blob/master/tutorials/machine_learning.md</w:t>
      </w:r>
    </w:p>
    <w:p w14:paraId="45EE84AA" w14:textId="30C046F7" w:rsidR="3822F658" w:rsidRPr="00946B76" w:rsidRDefault="3822F658" w:rsidP="26234BE2">
      <w:pPr>
        <w:spacing w:line="360" w:lineRule="auto"/>
        <w:rPr>
          <w:rFonts w:ascii="Arial" w:eastAsiaTheme="majorEastAsia" w:hAnsi="Arial" w:cs="Arial"/>
          <w:b/>
          <w:bCs/>
          <w:sz w:val="24"/>
          <w:szCs w:val="24"/>
        </w:rPr>
      </w:pPr>
      <w:r w:rsidRPr="00946B76">
        <w:rPr>
          <w:rFonts w:ascii="Arial" w:eastAsiaTheme="majorEastAsia" w:hAnsi="Arial" w:cs="Arial"/>
          <w:b/>
          <w:bCs/>
          <w:sz w:val="24"/>
          <w:szCs w:val="24"/>
        </w:rPr>
        <w:t xml:space="preserve">5.2 </w:t>
      </w:r>
      <w:r w:rsidR="4AD28762" w:rsidRPr="00946B76">
        <w:rPr>
          <w:rFonts w:ascii="Arial" w:eastAsiaTheme="majorEastAsia" w:hAnsi="Arial" w:cs="Arial"/>
          <w:b/>
          <w:bCs/>
          <w:sz w:val="24"/>
          <w:szCs w:val="24"/>
        </w:rPr>
        <w:t>MLMs and NCDS</w:t>
      </w:r>
    </w:p>
    <w:p w14:paraId="33624B92" w14:textId="7B14A95F" w:rsidR="4AD28762" w:rsidRPr="00946B76" w:rsidRDefault="4AD28762" w:rsidP="26234BE2">
      <w:pPr>
        <w:spacing w:line="360" w:lineRule="auto"/>
        <w:rPr>
          <w:rFonts w:ascii="Arial" w:eastAsiaTheme="majorEastAsia" w:hAnsi="Arial" w:cs="Arial"/>
          <w:i/>
          <w:iCs/>
          <w:sz w:val="24"/>
          <w:szCs w:val="24"/>
        </w:rPr>
      </w:pPr>
      <w:r w:rsidRPr="00946B76">
        <w:rPr>
          <w:rFonts w:ascii="Arial" w:eastAsiaTheme="majorEastAsia" w:hAnsi="Arial" w:cs="Arial"/>
          <w:i/>
          <w:iCs/>
          <w:sz w:val="24"/>
          <w:szCs w:val="24"/>
        </w:rPr>
        <w:t>Labelling</w:t>
      </w:r>
    </w:p>
    <w:p w14:paraId="54EE3C61" w14:textId="7C370A7E" w:rsidR="4AD28762" w:rsidRPr="00946B76" w:rsidRDefault="4AD28762" w:rsidP="26234BE2">
      <w:pPr>
        <w:spacing w:line="360" w:lineRule="auto"/>
        <w:rPr>
          <w:rFonts w:ascii="Arial" w:eastAsiaTheme="majorEastAsia" w:hAnsi="Arial" w:cs="Arial"/>
          <w:sz w:val="24"/>
          <w:szCs w:val="24"/>
        </w:rPr>
      </w:pPr>
      <w:r w:rsidRPr="00946B76">
        <w:rPr>
          <w:rFonts w:ascii="Arial" w:eastAsiaTheme="majorEastAsia" w:hAnsi="Arial" w:cs="Arial"/>
          <w:sz w:val="24"/>
          <w:szCs w:val="24"/>
        </w:rPr>
        <w:t xml:space="preserve">Our initial dataset did not include any labels relevant to our study. Therefore, we had to manually code a data sample before we could start the process of model training. Although we had a slight sense of the contents of our data from the topic model, this was not extremely informative. Just making up codes before having a deeper understanding of the data would not be really logical. Moreover, by using ready-made top-down concepts, we would essentially ignore the rich bottom-up nature of our data set.  Now that we had shifted to a supervised machine model, we had to be </w:t>
      </w:r>
      <w:r w:rsidRPr="00946B76">
        <w:rPr>
          <w:rFonts w:ascii="Arial" w:eastAsiaTheme="majorEastAsia" w:hAnsi="Arial" w:cs="Arial"/>
          <w:sz w:val="24"/>
          <w:szCs w:val="24"/>
        </w:rPr>
        <w:lastRenderedPageBreak/>
        <w:t>rather mindful of our own biases in order to build from the data and not vice versa. We approached carefully and with lots of deliberation.</w:t>
      </w:r>
    </w:p>
    <w:p w14:paraId="6F85E2AF" w14:textId="23053419" w:rsidR="4AD28762" w:rsidRPr="00946B76" w:rsidRDefault="4AD28762" w:rsidP="452A86B4">
      <w:pPr>
        <w:spacing w:line="360" w:lineRule="auto"/>
        <w:ind w:firstLine="708"/>
        <w:rPr>
          <w:rFonts w:ascii="Arial" w:eastAsiaTheme="majorEastAsia" w:hAnsi="Arial" w:cs="Arial"/>
          <w:sz w:val="24"/>
          <w:szCs w:val="24"/>
        </w:rPr>
      </w:pPr>
      <w:r w:rsidRPr="00946B76">
        <w:rPr>
          <w:rFonts w:ascii="Arial" w:eastAsiaTheme="majorEastAsia" w:hAnsi="Arial" w:cs="Arial"/>
          <w:sz w:val="24"/>
          <w:szCs w:val="24"/>
        </w:rPr>
        <w:t xml:space="preserve">A sample (n=200) was drawn from the data set and moved to </w:t>
      </w:r>
      <w:proofErr w:type="spellStart"/>
      <w:r w:rsidRPr="00946B76">
        <w:rPr>
          <w:rFonts w:ascii="Arial" w:eastAsiaTheme="majorEastAsia" w:hAnsi="Arial" w:cs="Arial"/>
          <w:sz w:val="24"/>
          <w:szCs w:val="24"/>
        </w:rPr>
        <w:t>AtlasTi</w:t>
      </w:r>
      <w:proofErr w:type="spellEnd"/>
      <w:r w:rsidRPr="00946B76">
        <w:rPr>
          <w:rFonts w:ascii="Arial" w:eastAsiaTheme="majorEastAsia" w:hAnsi="Arial" w:cs="Arial"/>
          <w:sz w:val="24"/>
          <w:szCs w:val="24"/>
        </w:rPr>
        <w:t xml:space="preserve">, where manual coding was performed until saturation was achieved. Coding was structured according to a layered strategy proposed by </w:t>
      </w:r>
      <w:proofErr w:type="spellStart"/>
      <w:r w:rsidRPr="00946B76">
        <w:rPr>
          <w:rFonts w:ascii="Arial" w:eastAsiaTheme="majorEastAsia" w:hAnsi="Arial" w:cs="Arial"/>
          <w:sz w:val="24"/>
          <w:szCs w:val="24"/>
        </w:rPr>
        <w:t>Goia</w:t>
      </w:r>
      <w:proofErr w:type="spellEnd"/>
      <w:r w:rsidRPr="00946B76">
        <w:rPr>
          <w:rFonts w:ascii="Arial" w:eastAsiaTheme="majorEastAsia" w:hAnsi="Arial" w:cs="Arial"/>
          <w:sz w:val="24"/>
          <w:szCs w:val="24"/>
        </w:rPr>
        <w:t xml:space="preserve"> and colleagues (2013), which would allow for minimal researcher bias. This entailed a first step where first-order terms are coded in a detailed in vivo manner, preserving participants' texts. This step was followed by forming second-order themes, where researchers considered the established terms through a theoretical lens. In this final coding stage, these themes were grouped into three aggregate dimensions that encapsulated the central themes in the discourse that could be of interest to us. The labelling phase ended up taking much longer than expected due to questions surrounding the interpretation of concepts (aggregate dimensions). We have moved between several options before settling on our current labels (figure 2).</w:t>
      </w:r>
    </w:p>
    <w:p w14:paraId="1C5DCD2E" w14:textId="5783F009" w:rsidR="26234BE2" w:rsidRPr="00946B76" w:rsidRDefault="26234BE2" w:rsidP="26234BE2">
      <w:pPr>
        <w:spacing w:line="360" w:lineRule="auto"/>
        <w:rPr>
          <w:rFonts w:ascii="Arial" w:eastAsiaTheme="majorEastAsia" w:hAnsi="Arial" w:cs="Arial"/>
          <w:sz w:val="24"/>
          <w:szCs w:val="24"/>
        </w:rPr>
      </w:pPr>
    </w:p>
    <w:p w14:paraId="40F5D908" w14:textId="71416984" w:rsidR="4AD28762" w:rsidRPr="00946B76" w:rsidRDefault="4AD28762" w:rsidP="26234BE2">
      <w:pPr>
        <w:spacing w:line="360" w:lineRule="auto"/>
        <w:jc w:val="center"/>
        <w:rPr>
          <w:rFonts w:ascii="Arial" w:eastAsiaTheme="majorEastAsia" w:hAnsi="Arial" w:cs="Arial"/>
          <w:sz w:val="24"/>
          <w:szCs w:val="24"/>
        </w:rPr>
      </w:pPr>
      <w:r w:rsidRPr="00946B76">
        <w:rPr>
          <w:rFonts w:ascii="Arial" w:hAnsi="Arial" w:cs="Arial"/>
          <w:noProof/>
          <w:sz w:val="24"/>
          <w:szCs w:val="24"/>
        </w:rPr>
        <w:lastRenderedPageBreak/>
        <w:drawing>
          <wp:inline distT="0" distB="0" distL="0" distR="0" wp14:anchorId="229A8FDB" wp14:editId="684A09E2">
            <wp:extent cx="3952875" cy="5334002"/>
            <wp:effectExtent l="0" t="0" r="0" b="0"/>
            <wp:docPr id="637844012" name="Picture 637844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3952875" cy="5334002"/>
                    </a:xfrm>
                    <a:prstGeom prst="rect">
                      <a:avLst/>
                    </a:prstGeom>
                  </pic:spPr>
                </pic:pic>
              </a:graphicData>
            </a:graphic>
          </wp:inline>
        </w:drawing>
      </w:r>
    </w:p>
    <w:p w14:paraId="73F2B6B3" w14:textId="791D5504" w:rsidR="4AD28762" w:rsidRPr="00946B76" w:rsidRDefault="4AD28762" w:rsidP="26234BE2">
      <w:pPr>
        <w:spacing w:line="360" w:lineRule="auto"/>
        <w:jc w:val="center"/>
        <w:rPr>
          <w:rFonts w:ascii="Arial" w:eastAsiaTheme="majorEastAsia" w:hAnsi="Arial" w:cs="Arial"/>
          <w:sz w:val="24"/>
          <w:szCs w:val="24"/>
        </w:rPr>
      </w:pPr>
      <w:r w:rsidRPr="00946B76">
        <w:rPr>
          <w:rFonts w:ascii="Arial" w:eastAsiaTheme="majorEastAsia" w:hAnsi="Arial" w:cs="Arial"/>
          <w:color w:val="000000" w:themeColor="text1"/>
          <w:sz w:val="24"/>
          <w:szCs w:val="24"/>
        </w:rPr>
        <w:t>Figure 2: Example of the coding process</w:t>
      </w:r>
    </w:p>
    <w:p w14:paraId="3678BA43" w14:textId="6418A683" w:rsidR="41B5BB61" w:rsidRPr="00946B76" w:rsidRDefault="045ED2B0" w:rsidP="26234BE2">
      <w:pPr>
        <w:spacing w:line="360" w:lineRule="auto"/>
        <w:ind w:firstLine="708"/>
        <w:rPr>
          <w:rFonts w:ascii="Arial" w:eastAsiaTheme="majorEastAsia" w:hAnsi="Arial" w:cs="Arial"/>
          <w:sz w:val="24"/>
          <w:szCs w:val="24"/>
        </w:rPr>
      </w:pPr>
      <w:r w:rsidRPr="00946B76">
        <w:rPr>
          <w:rFonts w:ascii="Arial" w:eastAsiaTheme="majorEastAsia" w:hAnsi="Arial" w:cs="Arial"/>
          <w:sz w:val="24"/>
          <w:szCs w:val="24"/>
        </w:rPr>
        <w:t xml:space="preserve">While labelling a total sample of 1400 texts, we ended up going back and forth on whether definitions would cover the totality of what we wanted to extract. We spend quite some time conceptualizing care: e.g., questioning if it is inherently a dedication of time and other resources, or if is it enough to wish others well. What does it mean to care? What about self-care? Similarly, there were concerns that the model would pick up more than we were interested in and data would be polluted. We wanted care to be a clear umbrella term that would bind all facets of it together in a mosaic fashion without blinding us to different colours. We settled on a broad interpretation of care encompassing references to traditional care work, </w:t>
      </w:r>
      <w:r w:rsidR="2883C1FC" w:rsidRPr="00946B76">
        <w:rPr>
          <w:rFonts w:ascii="Arial" w:eastAsiaTheme="majorEastAsia" w:hAnsi="Arial" w:cs="Arial"/>
          <w:sz w:val="24"/>
          <w:szCs w:val="24"/>
        </w:rPr>
        <w:t xml:space="preserve">references not just to caring actions but to the </w:t>
      </w:r>
      <w:r w:rsidRPr="00946B76">
        <w:rPr>
          <w:rFonts w:ascii="Arial" w:eastAsiaTheme="majorEastAsia" w:hAnsi="Arial" w:cs="Arial"/>
          <w:sz w:val="24"/>
          <w:szCs w:val="24"/>
        </w:rPr>
        <w:t xml:space="preserve">desire to help others, and wishing others well or worrying about their wellbeing. Our initial understanding of care also included </w:t>
      </w:r>
      <w:r w:rsidRPr="00946B76">
        <w:rPr>
          <w:rFonts w:ascii="Arial" w:eastAsiaTheme="majorEastAsia" w:hAnsi="Arial" w:cs="Arial"/>
          <w:sz w:val="24"/>
          <w:szCs w:val="24"/>
        </w:rPr>
        <w:lastRenderedPageBreak/>
        <w:t>enjoying spending time with others or actively engaging in group activities (e.g., sports club).</w:t>
      </w:r>
    </w:p>
    <w:p w14:paraId="09AA5EBB" w14:textId="592F3AC7" w:rsidR="41B5BB61" w:rsidRPr="00946B76" w:rsidRDefault="045ED2B0" w:rsidP="26234BE2">
      <w:pPr>
        <w:spacing w:line="360" w:lineRule="auto"/>
        <w:ind w:firstLine="708"/>
        <w:rPr>
          <w:rFonts w:ascii="Arial" w:eastAsiaTheme="majorEastAsia" w:hAnsi="Arial" w:cs="Arial"/>
          <w:sz w:val="24"/>
          <w:szCs w:val="24"/>
        </w:rPr>
      </w:pPr>
      <w:r w:rsidRPr="00946B76">
        <w:rPr>
          <w:rFonts w:ascii="Arial" w:eastAsiaTheme="majorEastAsia" w:hAnsi="Arial" w:cs="Arial"/>
          <w:sz w:val="24"/>
          <w:szCs w:val="24"/>
        </w:rPr>
        <w:t xml:space="preserve"> Similar discussions followed on the care dimensions and what distinguished them from each other. E.g., could we assume that a wish for grandchildren meant that they also intended to care for said children, through babysitting, or did we need explicit mention of that? Throughout this process, we came to a general understanding of each dimension of care and set up guidelines that we could fall back on. E.g., in this question of grandchildren mentioned before we did want to have confirmation of some type of investment</w:t>
      </w:r>
      <w:r w:rsidR="7B8D39EE" w:rsidRPr="00946B76">
        <w:rPr>
          <w:rFonts w:ascii="Arial" w:eastAsiaTheme="majorEastAsia" w:hAnsi="Arial" w:cs="Arial"/>
          <w:sz w:val="24"/>
          <w:szCs w:val="24"/>
        </w:rPr>
        <w:t xml:space="preserve"> of time</w:t>
      </w:r>
      <w:r w:rsidRPr="00946B76">
        <w:rPr>
          <w:rFonts w:ascii="Arial" w:eastAsiaTheme="majorEastAsia" w:hAnsi="Arial" w:cs="Arial"/>
          <w:sz w:val="24"/>
          <w:szCs w:val="24"/>
        </w:rPr>
        <w:t>. An example of such guidelines is shared below (figure X) Even though we went on with a relatively fixed coding scheme, discussions on it have not stopped as interpretation remains a subjective matter.</w:t>
      </w:r>
    </w:p>
    <w:p w14:paraId="5E284A3E" w14:textId="3466708A" w:rsidR="41B5BB61" w:rsidRPr="00946B76" w:rsidRDefault="41B5BB61" w:rsidP="26234BE2">
      <w:pPr>
        <w:spacing w:line="360" w:lineRule="auto"/>
        <w:jc w:val="center"/>
        <w:rPr>
          <w:rFonts w:ascii="Arial" w:eastAsiaTheme="majorEastAsia" w:hAnsi="Arial" w:cs="Arial"/>
          <w:sz w:val="24"/>
          <w:szCs w:val="24"/>
        </w:rPr>
      </w:pPr>
      <w:r w:rsidRPr="00946B76">
        <w:rPr>
          <w:rFonts w:ascii="Arial" w:hAnsi="Arial" w:cs="Arial"/>
          <w:noProof/>
          <w:sz w:val="24"/>
          <w:szCs w:val="24"/>
        </w:rPr>
        <w:drawing>
          <wp:inline distT="0" distB="0" distL="0" distR="0" wp14:anchorId="1B469AC6" wp14:editId="04F57BA4">
            <wp:extent cx="4572000" cy="2324100"/>
            <wp:effectExtent l="0" t="0" r="0" b="0"/>
            <wp:docPr id="447136015" name="Picture 447136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4572000" cy="2324100"/>
                    </a:xfrm>
                    <a:prstGeom prst="rect">
                      <a:avLst/>
                    </a:prstGeom>
                  </pic:spPr>
                </pic:pic>
              </a:graphicData>
            </a:graphic>
          </wp:inline>
        </w:drawing>
      </w:r>
    </w:p>
    <w:p w14:paraId="693138DF" w14:textId="537A63BA" w:rsidR="41B5BB61" w:rsidRPr="00946B76" w:rsidRDefault="045ED2B0" w:rsidP="25F722A2">
      <w:pPr>
        <w:spacing w:line="360" w:lineRule="auto"/>
        <w:jc w:val="center"/>
        <w:rPr>
          <w:rFonts w:ascii="Arial" w:eastAsiaTheme="majorEastAsia" w:hAnsi="Arial" w:cs="Arial"/>
          <w:color w:val="000000" w:themeColor="text1"/>
          <w:sz w:val="24"/>
          <w:szCs w:val="24"/>
        </w:rPr>
      </w:pPr>
      <w:r w:rsidRPr="00946B76">
        <w:rPr>
          <w:rFonts w:ascii="Arial" w:eastAsiaTheme="majorEastAsia" w:hAnsi="Arial" w:cs="Arial"/>
          <w:color w:val="000000" w:themeColor="text1"/>
          <w:sz w:val="24"/>
          <w:szCs w:val="24"/>
        </w:rPr>
        <w:t>Figure 3: Example of some coding guidelines</w:t>
      </w:r>
    </w:p>
    <w:p w14:paraId="0155C2E9" w14:textId="769D511C" w:rsidR="3BEF379F" w:rsidRPr="00946B76" w:rsidRDefault="3BEF379F" w:rsidP="26234BE2">
      <w:pPr>
        <w:spacing w:line="360" w:lineRule="auto"/>
        <w:rPr>
          <w:rFonts w:ascii="Arial" w:eastAsiaTheme="majorEastAsia" w:hAnsi="Arial" w:cs="Arial"/>
          <w:i/>
          <w:iCs/>
          <w:sz w:val="24"/>
          <w:szCs w:val="24"/>
        </w:rPr>
      </w:pPr>
      <w:r w:rsidRPr="00946B76">
        <w:rPr>
          <w:rFonts w:ascii="Arial" w:eastAsiaTheme="majorEastAsia" w:hAnsi="Arial" w:cs="Arial"/>
          <w:i/>
          <w:iCs/>
          <w:sz w:val="24"/>
          <w:szCs w:val="24"/>
        </w:rPr>
        <w:t>Data Preparation</w:t>
      </w:r>
    </w:p>
    <w:p w14:paraId="7DCA325C" w14:textId="6AEF22C2" w:rsidR="3BEF379F" w:rsidRPr="00946B76" w:rsidRDefault="7F4D204A" w:rsidP="26234BE2">
      <w:pPr>
        <w:spacing w:line="360" w:lineRule="auto"/>
        <w:rPr>
          <w:rFonts w:ascii="Arial" w:eastAsiaTheme="majorEastAsia" w:hAnsi="Arial" w:cs="Arial"/>
          <w:sz w:val="24"/>
          <w:szCs w:val="24"/>
        </w:rPr>
      </w:pPr>
      <w:r w:rsidRPr="00946B76">
        <w:rPr>
          <w:rFonts w:ascii="Arial" w:eastAsiaTheme="majorEastAsia" w:hAnsi="Arial" w:cs="Arial"/>
          <w:sz w:val="24"/>
          <w:szCs w:val="24"/>
        </w:rPr>
        <w:t xml:space="preserve">Labelled data was loaded into R-Studio. Several data features were explored and adjusted for modelling purposes where needed. E.g.., textual data needed to be coded as factor class rather than character class. During preparation, it became apparent that there might have been a slight issue with either the sampling or the original data set as a few </w:t>
      </w:r>
      <w:r w:rsidR="7D2432EB" w:rsidRPr="00946B76">
        <w:rPr>
          <w:rFonts w:ascii="Arial" w:eastAsiaTheme="majorEastAsia" w:hAnsi="Arial" w:cs="Arial"/>
          <w:sz w:val="24"/>
          <w:szCs w:val="24"/>
        </w:rPr>
        <w:t xml:space="preserve">duplicates </w:t>
      </w:r>
      <w:r w:rsidRPr="00946B76">
        <w:rPr>
          <w:rFonts w:ascii="Arial" w:eastAsiaTheme="majorEastAsia" w:hAnsi="Arial" w:cs="Arial"/>
          <w:sz w:val="24"/>
          <w:szCs w:val="24"/>
        </w:rPr>
        <w:t>were detected. After removal, 1384 remained.</w:t>
      </w:r>
    </w:p>
    <w:tbl>
      <w:tblPr>
        <w:tblStyle w:val="TableGrid"/>
        <w:tblW w:w="0" w:type="auto"/>
        <w:tblLayout w:type="fixed"/>
        <w:tblLook w:val="06A0" w:firstRow="1" w:lastRow="0" w:firstColumn="1" w:lastColumn="0" w:noHBand="1" w:noVBand="1"/>
      </w:tblPr>
      <w:tblGrid>
        <w:gridCol w:w="2254"/>
        <w:gridCol w:w="2254"/>
        <w:gridCol w:w="2254"/>
        <w:gridCol w:w="2254"/>
      </w:tblGrid>
      <w:tr w:rsidR="26234BE2" w:rsidRPr="00946B76" w14:paraId="5A345850" w14:textId="77777777" w:rsidTr="26234BE2">
        <w:trPr>
          <w:trHeight w:val="300"/>
        </w:trPr>
        <w:tc>
          <w:tcPr>
            <w:tcW w:w="225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BB04A7C" w14:textId="4168B088" w:rsidR="26234BE2" w:rsidRPr="00946B76" w:rsidRDefault="26234BE2" w:rsidP="26234BE2">
            <w:pPr>
              <w:spacing w:line="360" w:lineRule="auto"/>
              <w:rPr>
                <w:rFonts w:ascii="Arial" w:eastAsiaTheme="majorEastAsia" w:hAnsi="Arial" w:cs="Arial"/>
                <w:b/>
                <w:bCs/>
                <w:color w:val="000000" w:themeColor="text1"/>
                <w:sz w:val="24"/>
                <w:szCs w:val="24"/>
              </w:rPr>
            </w:pPr>
            <w:proofErr w:type="spellStart"/>
            <w:r w:rsidRPr="00946B76">
              <w:rPr>
                <w:rFonts w:ascii="Arial" w:eastAsiaTheme="majorEastAsia" w:hAnsi="Arial" w:cs="Arial"/>
                <w:b/>
                <w:bCs/>
                <w:color w:val="000000" w:themeColor="text1"/>
                <w:sz w:val="24"/>
                <w:szCs w:val="24"/>
              </w:rPr>
              <w:t>Care_Family</w:t>
            </w:r>
            <w:proofErr w:type="spellEnd"/>
          </w:p>
        </w:tc>
        <w:tc>
          <w:tcPr>
            <w:tcW w:w="225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565B0FB" w14:textId="31E66C65" w:rsidR="26234BE2" w:rsidRPr="00946B76" w:rsidRDefault="26234BE2" w:rsidP="26234BE2">
            <w:pPr>
              <w:spacing w:line="360" w:lineRule="auto"/>
              <w:rPr>
                <w:rFonts w:ascii="Arial" w:eastAsiaTheme="majorEastAsia" w:hAnsi="Arial" w:cs="Arial"/>
                <w:b/>
                <w:bCs/>
                <w:color w:val="000000" w:themeColor="text1"/>
                <w:sz w:val="24"/>
                <w:szCs w:val="24"/>
              </w:rPr>
            </w:pPr>
            <w:proofErr w:type="spellStart"/>
            <w:r w:rsidRPr="00946B76">
              <w:rPr>
                <w:rFonts w:ascii="Arial" w:eastAsiaTheme="majorEastAsia" w:hAnsi="Arial" w:cs="Arial"/>
                <w:b/>
                <w:bCs/>
                <w:color w:val="000000" w:themeColor="text1"/>
                <w:sz w:val="24"/>
                <w:szCs w:val="24"/>
              </w:rPr>
              <w:t>Care_Friends</w:t>
            </w:r>
            <w:proofErr w:type="spellEnd"/>
          </w:p>
        </w:tc>
        <w:tc>
          <w:tcPr>
            <w:tcW w:w="225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6585D94" w14:textId="78005751" w:rsidR="26234BE2" w:rsidRPr="00946B76" w:rsidRDefault="26234BE2" w:rsidP="26234BE2">
            <w:pPr>
              <w:spacing w:line="360" w:lineRule="auto"/>
              <w:rPr>
                <w:rFonts w:ascii="Arial" w:eastAsiaTheme="majorEastAsia" w:hAnsi="Arial" w:cs="Arial"/>
                <w:b/>
                <w:bCs/>
                <w:color w:val="000000" w:themeColor="text1"/>
                <w:sz w:val="24"/>
                <w:szCs w:val="24"/>
              </w:rPr>
            </w:pPr>
            <w:proofErr w:type="spellStart"/>
            <w:r w:rsidRPr="00946B76">
              <w:rPr>
                <w:rFonts w:ascii="Arial" w:eastAsiaTheme="majorEastAsia" w:hAnsi="Arial" w:cs="Arial"/>
                <w:b/>
                <w:bCs/>
                <w:color w:val="000000" w:themeColor="text1"/>
                <w:sz w:val="24"/>
                <w:szCs w:val="24"/>
              </w:rPr>
              <w:t>Care_Others</w:t>
            </w:r>
            <w:proofErr w:type="spellEnd"/>
          </w:p>
        </w:tc>
        <w:tc>
          <w:tcPr>
            <w:tcW w:w="225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60399A3" w14:textId="5EF319BB" w:rsidR="26234BE2" w:rsidRPr="00946B76" w:rsidRDefault="26234BE2" w:rsidP="26234BE2">
            <w:pPr>
              <w:spacing w:line="360" w:lineRule="auto"/>
              <w:rPr>
                <w:rFonts w:ascii="Arial" w:eastAsiaTheme="majorEastAsia" w:hAnsi="Arial" w:cs="Arial"/>
                <w:b/>
                <w:bCs/>
                <w:color w:val="000000" w:themeColor="text1"/>
                <w:sz w:val="24"/>
                <w:szCs w:val="24"/>
              </w:rPr>
            </w:pPr>
            <w:r w:rsidRPr="00946B76">
              <w:rPr>
                <w:rFonts w:ascii="Arial" w:eastAsiaTheme="majorEastAsia" w:hAnsi="Arial" w:cs="Arial"/>
                <w:b/>
                <w:bCs/>
                <w:color w:val="000000" w:themeColor="text1"/>
                <w:sz w:val="24"/>
                <w:szCs w:val="24"/>
              </w:rPr>
              <w:t>No label</w:t>
            </w:r>
          </w:p>
        </w:tc>
      </w:tr>
      <w:tr w:rsidR="26234BE2" w:rsidRPr="00946B76" w14:paraId="6FD6CC4E" w14:textId="77777777" w:rsidTr="26234BE2">
        <w:trPr>
          <w:trHeight w:val="300"/>
        </w:trPr>
        <w:tc>
          <w:tcPr>
            <w:tcW w:w="225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5339834" w14:textId="628CEE6E" w:rsidR="26234BE2" w:rsidRPr="00946B76" w:rsidRDefault="26234BE2" w:rsidP="26234BE2">
            <w:pPr>
              <w:spacing w:line="360" w:lineRule="auto"/>
              <w:rPr>
                <w:rFonts w:ascii="Arial" w:eastAsiaTheme="majorEastAsia" w:hAnsi="Arial" w:cs="Arial"/>
                <w:color w:val="000000" w:themeColor="text1"/>
                <w:sz w:val="24"/>
                <w:szCs w:val="24"/>
              </w:rPr>
            </w:pPr>
            <w:r w:rsidRPr="00946B76">
              <w:rPr>
                <w:rFonts w:ascii="Arial" w:eastAsiaTheme="majorEastAsia" w:hAnsi="Arial" w:cs="Arial"/>
                <w:color w:val="000000" w:themeColor="text1"/>
                <w:sz w:val="24"/>
                <w:szCs w:val="24"/>
              </w:rPr>
              <w:t>902</w:t>
            </w:r>
          </w:p>
        </w:tc>
        <w:tc>
          <w:tcPr>
            <w:tcW w:w="225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45AB643" w14:textId="33F1AC53" w:rsidR="26234BE2" w:rsidRPr="00946B76" w:rsidRDefault="26234BE2" w:rsidP="26234BE2">
            <w:pPr>
              <w:spacing w:line="360" w:lineRule="auto"/>
              <w:rPr>
                <w:rFonts w:ascii="Arial" w:eastAsiaTheme="majorEastAsia" w:hAnsi="Arial" w:cs="Arial"/>
                <w:color w:val="000000" w:themeColor="text1"/>
                <w:sz w:val="24"/>
                <w:szCs w:val="24"/>
              </w:rPr>
            </w:pPr>
            <w:r w:rsidRPr="00946B76">
              <w:rPr>
                <w:rFonts w:ascii="Arial" w:eastAsiaTheme="majorEastAsia" w:hAnsi="Arial" w:cs="Arial"/>
                <w:color w:val="000000" w:themeColor="text1"/>
                <w:sz w:val="24"/>
                <w:szCs w:val="24"/>
              </w:rPr>
              <w:t>314</w:t>
            </w:r>
          </w:p>
        </w:tc>
        <w:tc>
          <w:tcPr>
            <w:tcW w:w="225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A597389" w14:textId="185F0E97" w:rsidR="26234BE2" w:rsidRPr="00946B76" w:rsidRDefault="26234BE2" w:rsidP="26234BE2">
            <w:pPr>
              <w:spacing w:line="360" w:lineRule="auto"/>
              <w:rPr>
                <w:rFonts w:ascii="Arial" w:eastAsiaTheme="majorEastAsia" w:hAnsi="Arial" w:cs="Arial"/>
                <w:color w:val="000000" w:themeColor="text1"/>
                <w:sz w:val="24"/>
                <w:szCs w:val="24"/>
              </w:rPr>
            </w:pPr>
            <w:r w:rsidRPr="00946B76">
              <w:rPr>
                <w:rFonts w:ascii="Arial" w:eastAsiaTheme="majorEastAsia" w:hAnsi="Arial" w:cs="Arial"/>
                <w:color w:val="000000" w:themeColor="text1"/>
                <w:sz w:val="24"/>
                <w:szCs w:val="24"/>
              </w:rPr>
              <w:t>203</w:t>
            </w:r>
          </w:p>
        </w:tc>
        <w:tc>
          <w:tcPr>
            <w:tcW w:w="225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1D9D0A9" w14:textId="67E3AEBE" w:rsidR="26234BE2" w:rsidRPr="00946B76" w:rsidRDefault="26234BE2" w:rsidP="26234BE2">
            <w:pPr>
              <w:spacing w:line="360" w:lineRule="auto"/>
              <w:rPr>
                <w:rFonts w:ascii="Arial" w:eastAsiaTheme="majorEastAsia" w:hAnsi="Arial" w:cs="Arial"/>
                <w:color w:val="000000" w:themeColor="text1"/>
                <w:sz w:val="24"/>
                <w:szCs w:val="24"/>
              </w:rPr>
            </w:pPr>
            <w:r w:rsidRPr="00946B76">
              <w:rPr>
                <w:rFonts w:ascii="Arial" w:eastAsiaTheme="majorEastAsia" w:hAnsi="Arial" w:cs="Arial"/>
                <w:color w:val="000000" w:themeColor="text1"/>
                <w:sz w:val="24"/>
                <w:szCs w:val="24"/>
              </w:rPr>
              <w:t>393</w:t>
            </w:r>
          </w:p>
        </w:tc>
      </w:tr>
    </w:tbl>
    <w:p w14:paraId="6695C938" w14:textId="460365BC" w:rsidR="3E973422" w:rsidRPr="00946B76" w:rsidRDefault="3E973422" w:rsidP="26234BE2">
      <w:pPr>
        <w:spacing w:line="360" w:lineRule="auto"/>
        <w:jc w:val="center"/>
        <w:rPr>
          <w:rFonts w:ascii="Arial" w:eastAsiaTheme="majorEastAsia" w:hAnsi="Arial" w:cs="Arial"/>
          <w:color w:val="000000" w:themeColor="text1"/>
          <w:sz w:val="24"/>
          <w:szCs w:val="24"/>
        </w:rPr>
      </w:pPr>
      <w:r w:rsidRPr="00946B76">
        <w:rPr>
          <w:rFonts w:ascii="Arial" w:eastAsiaTheme="majorEastAsia" w:hAnsi="Arial" w:cs="Arial"/>
          <w:color w:val="000000" w:themeColor="text1"/>
          <w:sz w:val="24"/>
          <w:szCs w:val="24"/>
        </w:rPr>
        <w:lastRenderedPageBreak/>
        <w:t>Table 5: Label distribution in the training data</w:t>
      </w:r>
    </w:p>
    <w:p w14:paraId="561C60E1" w14:textId="7FFCBEBA" w:rsidR="7D3C1953" w:rsidRPr="00946B76" w:rsidRDefault="7D3C1953" w:rsidP="26234BE2">
      <w:pPr>
        <w:spacing w:line="360" w:lineRule="auto"/>
        <w:rPr>
          <w:rFonts w:ascii="Arial" w:eastAsiaTheme="majorEastAsia" w:hAnsi="Arial" w:cs="Arial"/>
          <w:b/>
          <w:bCs/>
          <w:color w:val="000000" w:themeColor="text1"/>
          <w:sz w:val="24"/>
          <w:szCs w:val="24"/>
        </w:rPr>
      </w:pPr>
      <w:r w:rsidRPr="00946B76">
        <w:rPr>
          <w:rFonts w:ascii="Arial" w:eastAsiaTheme="majorEastAsia" w:hAnsi="Arial" w:cs="Arial"/>
          <w:b/>
          <w:bCs/>
          <w:color w:val="000000" w:themeColor="text1"/>
          <w:sz w:val="24"/>
          <w:szCs w:val="24"/>
        </w:rPr>
        <w:t>5.1.1 Naive Bayes Model</w:t>
      </w:r>
    </w:p>
    <w:p w14:paraId="6E1E56FC" w14:textId="09B35978" w:rsidR="7D3C1953" w:rsidRPr="00946B76" w:rsidRDefault="7D3C1953" w:rsidP="26234BE2">
      <w:pPr>
        <w:spacing w:line="360" w:lineRule="auto"/>
        <w:rPr>
          <w:rFonts w:ascii="Arial" w:eastAsiaTheme="majorEastAsia" w:hAnsi="Arial" w:cs="Arial"/>
          <w:i/>
          <w:iCs/>
          <w:color w:val="000000" w:themeColor="text1"/>
          <w:sz w:val="24"/>
          <w:szCs w:val="24"/>
        </w:rPr>
      </w:pPr>
      <w:r w:rsidRPr="00946B76">
        <w:rPr>
          <w:rFonts w:ascii="Arial" w:eastAsiaTheme="majorEastAsia" w:hAnsi="Arial" w:cs="Arial"/>
          <w:i/>
          <w:iCs/>
          <w:color w:val="000000" w:themeColor="text1"/>
          <w:sz w:val="24"/>
          <w:szCs w:val="24"/>
        </w:rPr>
        <w:t>Training</w:t>
      </w:r>
    </w:p>
    <w:p w14:paraId="31B058A3" w14:textId="123C7B09" w:rsidR="7D3C1953" w:rsidRPr="00946B76" w:rsidRDefault="7D3C1953" w:rsidP="26234BE2">
      <w:pPr>
        <w:spacing w:line="360" w:lineRule="auto"/>
        <w:rPr>
          <w:rFonts w:ascii="Arial" w:eastAsiaTheme="majorEastAsia" w:hAnsi="Arial" w:cs="Arial"/>
          <w:color w:val="000000" w:themeColor="text1"/>
          <w:sz w:val="24"/>
          <w:szCs w:val="24"/>
        </w:rPr>
      </w:pPr>
      <w:r w:rsidRPr="00946B76">
        <w:rPr>
          <w:rFonts w:ascii="Arial" w:eastAsiaTheme="majorEastAsia" w:hAnsi="Arial" w:cs="Arial"/>
          <w:color w:val="000000" w:themeColor="text1"/>
          <w:sz w:val="24"/>
          <w:szCs w:val="24"/>
        </w:rPr>
        <w:t>The labelled data was then transformed into a corpus object and split into training and testing data, where about 80% of the data set was dedicated to training purposes. Further, a document term matrix was created, tokenizing and stemming our training data. Data was then trained.</w:t>
      </w:r>
    </w:p>
    <w:p w14:paraId="0D75B152" w14:textId="7D6E17FE" w:rsidR="7D3C1953" w:rsidRPr="00946B76" w:rsidRDefault="7D3C1953" w:rsidP="26234BE2">
      <w:pPr>
        <w:spacing w:line="360" w:lineRule="auto"/>
        <w:rPr>
          <w:rFonts w:ascii="Arial" w:eastAsiaTheme="majorEastAsia" w:hAnsi="Arial" w:cs="Arial"/>
          <w:i/>
          <w:iCs/>
          <w:color w:val="000000" w:themeColor="text1"/>
          <w:sz w:val="24"/>
          <w:szCs w:val="24"/>
        </w:rPr>
      </w:pPr>
      <w:r w:rsidRPr="00946B76">
        <w:rPr>
          <w:rFonts w:ascii="Arial" w:eastAsiaTheme="majorEastAsia" w:hAnsi="Arial" w:cs="Arial"/>
          <w:i/>
          <w:iCs/>
          <w:color w:val="000000" w:themeColor="text1"/>
          <w:sz w:val="24"/>
          <w:szCs w:val="24"/>
        </w:rPr>
        <w:t>Testing</w:t>
      </w:r>
    </w:p>
    <w:p w14:paraId="4F5EAEFE" w14:textId="538CA235" w:rsidR="7D3C1953" w:rsidRPr="00946B76" w:rsidRDefault="7D3C1953" w:rsidP="26234BE2">
      <w:pPr>
        <w:spacing w:line="360" w:lineRule="auto"/>
        <w:rPr>
          <w:rFonts w:ascii="Arial" w:eastAsiaTheme="majorEastAsia" w:hAnsi="Arial" w:cs="Arial"/>
          <w:color w:val="000000" w:themeColor="text1"/>
          <w:sz w:val="24"/>
          <w:szCs w:val="24"/>
        </w:rPr>
      </w:pPr>
      <w:r w:rsidRPr="00946B76">
        <w:rPr>
          <w:rFonts w:ascii="Arial" w:eastAsiaTheme="majorEastAsia" w:hAnsi="Arial" w:cs="Arial"/>
          <w:color w:val="000000" w:themeColor="text1"/>
          <w:sz w:val="24"/>
          <w:szCs w:val="24"/>
        </w:rPr>
        <w:t xml:space="preserve">Test data underwent the same process as the training data before: it was made into a corpus object and from there into a document term matrix. </w:t>
      </w:r>
    </w:p>
    <w:p w14:paraId="37C73D43" w14:textId="74E7CE10" w:rsidR="7D3C1953" w:rsidRPr="00946B76" w:rsidRDefault="7D3C1953" w:rsidP="26234BE2">
      <w:pPr>
        <w:spacing w:line="360" w:lineRule="auto"/>
        <w:rPr>
          <w:rFonts w:ascii="Arial" w:eastAsiaTheme="majorEastAsia" w:hAnsi="Arial" w:cs="Arial"/>
          <w:i/>
          <w:iCs/>
          <w:color w:val="000000" w:themeColor="text1"/>
          <w:sz w:val="24"/>
          <w:szCs w:val="24"/>
        </w:rPr>
      </w:pPr>
      <w:r w:rsidRPr="00946B76">
        <w:rPr>
          <w:rFonts w:ascii="Arial" w:eastAsiaTheme="majorEastAsia" w:hAnsi="Arial" w:cs="Arial"/>
          <w:i/>
          <w:iCs/>
          <w:color w:val="000000" w:themeColor="text1"/>
          <w:sz w:val="24"/>
          <w:szCs w:val="24"/>
        </w:rPr>
        <w:t>Evaluation Metrics</w:t>
      </w:r>
    </w:p>
    <w:p w14:paraId="25D8E974" w14:textId="0391383C" w:rsidR="7D3C1953" w:rsidRPr="00946B76" w:rsidRDefault="7D3C1953" w:rsidP="26234BE2">
      <w:pPr>
        <w:spacing w:line="360" w:lineRule="auto"/>
        <w:rPr>
          <w:rFonts w:ascii="Arial" w:eastAsiaTheme="majorEastAsia" w:hAnsi="Arial" w:cs="Arial"/>
          <w:color w:val="000000" w:themeColor="text1"/>
          <w:sz w:val="24"/>
          <w:szCs w:val="24"/>
        </w:rPr>
      </w:pPr>
      <w:r w:rsidRPr="00946B76">
        <w:rPr>
          <w:rFonts w:ascii="Arial" w:eastAsiaTheme="majorEastAsia" w:hAnsi="Arial" w:cs="Arial"/>
          <w:color w:val="000000" w:themeColor="text1"/>
          <w:sz w:val="24"/>
          <w:szCs w:val="24"/>
        </w:rPr>
        <w:t>For both models, we have calculated their respective metric values. Metrics are indicators that represent the performance of a model. Metrics are great tools to quantify the quality of output data and can be used to compare model performances. However, quality can be interpreted in a variety of ways. Therefore, we considered four types of metrics that all relate to the model's confusion matrix output.</w:t>
      </w:r>
    </w:p>
    <w:p w14:paraId="38054ED3" w14:textId="7EBF905C" w:rsidR="7D3C1953" w:rsidRPr="00946B76" w:rsidRDefault="7D3C1953" w:rsidP="26234BE2">
      <w:pPr>
        <w:spacing w:line="360" w:lineRule="auto"/>
        <w:ind w:firstLine="708"/>
        <w:rPr>
          <w:rFonts w:ascii="Arial" w:eastAsiaTheme="majorEastAsia" w:hAnsi="Arial" w:cs="Arial"/>
          <w:color w:val="000000" w:themeColor="text1"/>
          <w:sz w:val="24"/>
          <w:szCs w:val="24"/>
        </w:rPr>
      </w:pPr>
      <w:r w:rsidRPr="00946B76">
        <w:rPr>
          <w:rFonts w:ascii="Arial" w:eastAsiaTheme="majorEastAsia" w:hAnsi="Arial" w:cs="Arial"/>
          <w:color w:val="000000" w:themeColor="text1"/>
          <w:sz w:val="24"/>
          <w:szCs w:val="24"/>
        </w:rPr>
        <w:t>A confusion matrix is a representation of the number of accurate predictions versus the number of predictions that were not accurate. In our matrices, zeros represent the absence of a label and ones represent the presence of a label.</w:t>
      </w:r>
    </w:p>
    <w:tbl>
      <w:tblPr>
        <w:tblStyle w:val="TableGrid"/>
        <w:tblW w:w="0" w:type="auto"/>
        <w:tblLayout w:type="fixed"/>
        <w:tblLook w:val="06A0" w:firstRow="1" w:lastRow="0" w:firstColumn="1" w:lastColumn="0" w:noHBand="1" w:noVBand="1"/>
      </w:tblPr>
      <w:tblGrid>
        <w:gridCol w:w="1288"/>
        <w:gridCol w:w="1288"/>
        <w:gridCol w:w="1288"/>
        <w:gridCol w:w="1288"/>
        <w:gridCol w:w="1288"/>
        <w:gridCol w:w="1288"/>
        <w:gridCol w:w="1288"/>
      </w:tblGrid>
      <w:tr w:rsidR="26234BE2" w:rsidRPr="00946B76" w14:paraId="2931518F" w14:textId="77777777" w:rsidTr="26234BE2">
        <w:trPr>
          <w:trHeight w:val="450"/>
        </w:trPr>
        <w:tc>
          <w:tcPr>
            <w:tcW w:w="1288" w:type="dxa"/>
            <w:tcBorders>
              <w:top w:val="single" w:sz="8" w:space="0" w:color="000000" w:themeColor="text1"/>
            </w:tcBorders>
            <w:tcMar>
              <w:top w:w="20" w:type="dxa"/>
              <w:left w:w="20" w:type="dxa"/>
              <w:bottom w:w="20" w:type="dxa"/>
              <w:right w:w="20" w:type="dxa"/>
            </w:tcMar>
          </w:tcPr>
          <w:p w14:paraId="4440A684" w14:textId="001ED763" w:rsidR="26234BE2" w:rsidRPr="00946B76" w:rsidRDefault="26234BE2" w:rsidP="26234BE2">
            <w:pPr>
              <w:jc w:val="center"/>
              <w:rPr>
                <w:rFonts w:ascii="Arial" w:eastAsiaTheme="majorEastAsia" w:hAnsi="Arial" w:cs="Arial"/>
                <w:i/>
                <w:iCs/>
                <w:color w:val="000000" w:themeColor="text1"/>
                <w:sz w:val="24"/>
                <w:szCs w:val="24"/>
              </w:rPr>
            </w:pPr>
          </w:p>
        </w:tc>
        <w:tc>
          <w:tcPr>
            <w:tcW w:w="2576" w:type="dxa"/>
            <w:gridSpan w:val="2"/>
            <w:tcBorders>
              <w:top w:val="single" w:sz="8" w:space="0" w:color="000000" w:themeColor="text1"/>
              <w:bottom w:val="single" w:sz="8" w:space="0" w:color="000000" w:themeColor="text1"/>
            </w:tcBorders>
            <w:tcMar>
              <w:top w:w="100" w:type="dxa"/>
              <w:left w:w="100" w:type="dxa"/>
              <w:bottom w:w="100" w:type="dxa"/>
              <w:right w:w="100" w:type="dxa"/>
            </w:tcMar>
          </w:tcPr>
          <w:p w14:paraId="35A43608" w14:textId="157F2BF4" w:rsidR="26234BE2" w:rsidRPr="00946B76" w:rsidRDefault="26234BE2" w:rsidP="26234BE2">
            <w:pPr>
              <w:jc w:val="center"/>
              <w:rPr>
                <w:rFonts w:ascii="Arial" w:eastAsiaTheme="majorEastAsia" w:hAnsi="Arial" w:cs="Arial"/>
                <w:i/>
                <w:iCs/>
                <w:color w:val="000000" w:themeColor="text1"/>
                <w:sz w:val="24"/>
                <w:szCs w:val="24"/>
              </w:rPr>
            </w:pPr>
            <w:proofErr w:type="spellStart"/>
            <w:r w:rsidRPr="00946B76">
              <w:rPr>
                <w:rFonts w:ascii="Arial" w:eastAsiaTheme="majorEastAsia" w:hAnsi="Arial" w:cs="Arial"/>
                <w:i/>
                <w:iCs/>
                <w:color w:val="000000" w:themeColor="text1"/>
                <w:sz w:val="24"/>
                <w:szCs w:val="24"/>
              </w:rPr>
              <w:t>Care_Family</w:t>
            </w:r>
            <w:proofErr w:type="spellEnd"/>
          </w:p>
        </w:tc>
        <w:tc>
          <w:tcPr>
            <w:tcW w:w="2576" w:type="dxa"/>
            <w:gridSpan w:val="2"/>
            <w:tcBorders>
              <w:top w:val="single" w:sz="8" w:space="0" w:color="000000" w:themeColor="text1"/>
              <w:bottom w:val="single" w:sz="8" w:space="0" w:color="000000" w:themeColor="text1"/>
            </w:tcBorders>
            <w:tcMar>
              <w:top w:w="100" w:type="dxa"/>
              <w:left w:w="100" w:type="dxa"/>
              <w:bottom w:w="100" w:type="dxa"/>
              <w:right w:w="100" w:type="dxa"/>
            </w:tcMar>
          </w:tcPr>
          <w:p w14:paraId="5C52607A" w14:textId="3F4F92A2" w:rsidR="26234BE2" w:rsidRPr="00946B76" w:rsidRDefault="26234BE2" w:rsidP="26234BE2">
            <w:pPr>
              <w:jc w:val="center"/>
              <w:rPr>
                <w:rFonts w:ascii="Arial" w:eastAsiaTheme="majorEastAsia" w:hAnsi="Arial" w:cs="Arial"/>
                <w:i/>
                <w:iCs/>
                <w:color w:val="000000" w:themeColor="text1"/>
                <w:sz w:val="24"/>
                <w:szCs w:val="24"/>
              </w:rPr>
            </w:pPr>
            <w:proofErr w:type="spellStart"/>
            <w:r w:rsidRPr="00946B76">
              <w:rPr>
                <w:rFonts w:ascii="Arial" w:eastAsiaTheme="majorEastAsia" w:hAnsi="Arial" w:cs="Arial"/>
                <w:i/>
                <w:iCs/>
                <w:color w:val="000000" w:themeColor="text1"/>
                <w:sz w:val="24"/>
                <w:szCs w:val="24"/>
              </w:rPr>
              <w:t>Care_Friends</w:t>
            </w:r>
            <w:proofErr w:type="spellEnd"/>
          </w:p>
        </w:tc>
        <w:tc>
          <w:tcPr>
            <w:tcW w:w="2576" w:type="dxa"/>
            <w:gridSpan w:val="2"/>
            <w:tcBorders>
              <w:top w:val="single" w:sz="8" w:space="0" w:color="000000" w:themeColor="text1"/>
              <w:bottom w:val="single" w:sz="8" w:space="0" w:color="000000" w:themeColor="text1"/>
            </w:tcBorders>
            <w:tcMar>
              <w:top w:w="100" w:type="dxa"/>
              <w:left w:w="100" w:type="dxa"/>
              <w:bottom w:w="100" w:type="dxa"/>
              <w:right w:w="100" w:type="dxa"/>
            </w:tcMar>
          </w:tcPr>
          <w:p w14:paraId="7C883ED3" w14:textId="6C9F6C2F" w:rsidR="26234BE2" w:rsidRPr="00946B76" w:rsidRDefault="26234BE2" w:rsidP="26234BE2">
            <w:pPr>
              <w:jc w:val="center"/>
              <w:rPr>
                <w:rFonts w:ascii="Arial" w:eastAsiaTheme="majorEastAsia" w:hAnsi="Arial" w:cs="Arial"/>
                <w:i/>
                <w:iCs/>
                <w:color w:val="000000" w:themeColor="text1"/>
                <w:sz w:val="24"/>
                <w:szCs w:val="24"/>
              </w:rPr>
            </w:pPr>
            <w:proofErr w:type="spellStart"/>
            <w:r w:rsidRPr="00946B76">
              <w:rPr>
                <w:rFonts w:ascii="Arial" w:eastAsiaTheme="majorEastAsia" w:hAnsi="Arial" w:cs="Arial"/>
                <w:i/>
                <w:iCs/>
                <w:color w:val="000000" w:themeColor="text1"/>
                <w:sz w:val="24"/>
                <w:szCs w:val="24"/>
              </w:rPr>
              <w:t>Care_Others</w:t>
            </w:r>
            <w:proofErr w:type="spellEnd"/>
          </w:p>
        </w:tc>
      </w:tr>
      <w:tr w:rsidR="26234BE2" w:rsidRPr="00946B76" w14:paraId="0806B0E3" w14:textId="77777777" w:rsidTr="26234BE2">
        <w:trPr>
          <w:trHeight w:val="450"/>
        </w:trPr>
        <w:tc>
          <w:tcPr>
            <w:tcW w:w="1288" w:type="dxa"/>
            <w:tcMar>
              <w:top w:w="20" w:type="dxa"/>
              <w:left w:w="20" w:type="dxa"/>
              <w:bottom w:w="20" w:type="dxa"/>
              <w:right w:w="20" w:type="dxa"/>
            </w:tcMar>
          </w:tcPr>
          <w:p w14:paraId="5B46A65F" w14:textId="4490E5EA" w:rsidR="26234BE2" w:rsidRPr="00946B76" w:rsidRDefault="26234BE2" w:rsidP="26234BE2">
            <w:pPr>
              <w:rPr>
                <w:rFonts w:ascii="Arial" w:eastAsiaTheme="majorEastAsia" w:hAnsi="Arial" w:cs="Arial"/>
                <w:b/>
                <w:bCs/>
                <w:color w:val="000000" w:themeColor="text1"/>
                <w:sz w:val="24"/>
                <w:szCs w:val="24"/>
              </w:rPr>
            </w:pPr>
            <w:r w:rsidRPr="00946B76">
              <w:rPr>
                <w:rFonts w:ascii="Arial" w:eastAsiaTheme="majorEastAsia" w:hAnsi="Arial" w:cs="Arial"/>
                <w:b/>
                <w:bCs/>
                <w:color w:val="000000" w:themeColor="text1"/>
                <w:sz w:val="24"/>
                <w:szCs w:val="24"/>
              </w:rPr>
              <w:t xml:space="preserve"> </w:t>
            </w:r>
          </w:p>
        </w:tc>
        <w:tc>
          <w:tcPr>
            <w:tcW w:w="1288" w:type="dxa"/>
            <w:tcBorders>
              <w:top w:val="single" w:sz="8" w:space="0" w:color="000000" w:themeColor="text1"/>
              <w:bottom w:val="single" w:sz="8" w:space="0" w:color="000000" w:themeColor="text1"/>
            </w:tcBorders>
            <w:tcMar>
              <w:top w:w="100" w:type="dxa"/>
              <w:left w:w="100" w:type="dxa"/>
              <w:bottom w:w="100" w:type="dxa"/>
              <w:right w:w="100" w:type="dxa"/>
            </w:tcMar>
          </w:tcPr>
          <w:p w14:paraId="6490616F" w14:textId="1CBA7E58" w:rsidR="26234BE2" w:rsidRPr="00946B76" w:rsidRDefault="26234BE2" w:rsidP="26234BE2">
            <w:pPr>
              <w:rPr>
                <w:rFonts w:ascii="Arial" w:eastAsiaTheme="majorEastAsia" w:hAnsi="Arial" w:cs="Arial"/>
                <w:b/>
                <w:bCs/>
                <w:color w:val="000000" w:themeColor="text1"/>
                <w:sz w:val="24"/>
                <w:szCs w:val="24"/>
              </w:rPr>
            </w:pPr>
            <w:r w:rsidRPr="00946B76">
              <w:rPr>
                <w:rFonts w:ascii="Arial" w:eastAsiaTheme="majorEastAsia" w:hAnsi="Arial" w:cs="Arial"/>
                <w:b/>
                <w:bCs/>
                <w:color w:val="000000" w:themeColor="text1"/>
                <w:sz w:val="24"/>
                <w:szCs w:val="24"/>
              </w:rPr>
              <w:t>Coded 0</w:t>
            </w:r>
          </w:p>
        </w:tc>
        <w:tc>
          <w:tcPr>
            <w:tcW w:w="1288" w:type="dxa"/>
            <w:tcBorders>
              <w:top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F298D9D" w14:textId="7A5AD3E8" w:rsidR="26234BE2" w:rsidRPr="00946B76" w:rsidRDefault="26234BE2" w:rsidP="26234BE2">
            <w:pPr>
              <w:rPr>
                <w:rFonts w:ascii="Arial" w:eastAsiaTheme="majorEastAsia" w:hAnsi="Arial" w:cs="Arial"/>
                <w:b/>
                <w:bCs/>
                <w:color w:val="000000" w:themeColor="text1"/>
                <w:sz w:val="24"/>
                <w:szCs w:val="24"/>
              </w:rPr>
            </w:pPr>
            <w:r w:rsidRPr="00946B76">
              <w:rPr>
                <w:rFonts w:ascii="Arial" w:eastAsiaTheme="majorEastAsia" w:hAnsi="Arial" w:cs="Arial"/>
                <w:b/>
                <w:bCs/>
                <w:color w:val="000000" w:themeColor="text1"/>
                <w:sz w:val="24"/>
                <w:szCs w:val="24"/>
              </w:rPr>
              <w:t>Coded 1</w:t>
            </w:r>
          </w:p>
        </w:tc>
        <w:tc>
          <w:tcPr>
            <w:tcW w:w="1288" w:type="dxa"/>
            <w:tcBorders>
              <w:top w:val="single" w:sz="8" w:space="0" w:color="000000" w:themeColor="text1"/>
              <w:left w:val="single" w:sz="8" w:space="0" w:color="000000" w:themeColor="text1"/>
              <w:bottom w:val="single" w:sz="8" w:space="0" w:color="000000" w:themeColor="text1"/>
            </w:tcBorders>
            <w:tcMar>
              <w:top w:w="100" w:type="dxa"/>
              <w:left w:w="100" w:type="dxa"/>
              <w:bottom w:w="100" w:type="dxa"/>
              <w:right w:w="100" w:type="dxa"/>
            </w:tcMar>
          </w:tcPr>
          <w:p w14:paraId="3A794A33" w14:textId="162E0EE4" w:rsidR="26234BE2" w:rsidRPr="00946B76" w:rsidRDefault="26234BE2" w:rsidP="26234BE2">
            <w:pPr>
              <w:rPr>
                <w:rFonts w:ascii="Arial" w:eastAsiaTheme="majorEastAsia" w:hAnsi="Arial" w:cs="Arial"/>
                <w:b/>
                <w:bCs/>
                <w:color w:val="000000" w:themeColor="text1"/>
                <w:sz w:val="24"/>
                <w:szCs w:val="24"/>
              </w:rPr>
            </w:pPr>
            <w:r w:rsidRPr="00946B76">
              <w:rPr>
                <w:rFonts w:ascii="Arial" w:eastAsiaTheme="majorEastAsia" w:hAnsi="Arial" w:cs="Arial"/>
                <w:b/>
                <w:bCs/>
                <w:color w:val="000000" w:themeColor="text1"/>
                <w:sz w:val="24"/>
                <w:szCs w:val="24"/>
              </w:rPr>
              <w:t>Coded 0</w:t>
            </w:r>
          </w:p>
        </w:tc>
        <w:tc>
          <w:tcPr>
            <w:tcW w:w="1288" w:type="dxa"/>
            <w:tcBorders>
              <w:top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E03756F" w14:textId="714FC977" w:rsidR="26234BE2" w:rsidRPr="00946B76" w:rsidRDefault="26234BE2" w:rsidP="26234BE2">
            <w:pPr>
              <w:rPr>
                <w:rFonts w:ascii="Arial" w:eastAsiaTheme="majorEastAsia" w:hAnsi="Arial" w:cs="Arial"/>
                <w:b/>
                <w:bCs/>
                <w:color w:val="000000" w:themeColor="text1"/>
                <w:sz w:val="24"/>
                <w:szCs w:val="24"/>
              </w:rPr>
            </w:pPr>
            <w:r w:rsidRPr="00946B76">
              <w:rPr>
                <w:rFonts w:ascii="Arial" w:eastAsiaTheme="majorEastAsia" w:hAnsi="Arial" w:cs="Arial"/>
                <w:b/>
                <w:bCs/>
                <w:color w:val="000000" w:themeColor="text1"/>
                <w:sz w:val="24"/>
                <w:szCs w:val="24"/>
              </w:rPr>
              <w:t>Coded 1</w:t>
            </w:r>
          </w:p>
        </w:tc>
        <w:tc>
          <w:tcPr>
            <w:tcW w:w="1288" w:type="dxa"/>
            <w:tcBorders>
              <w:top w:val="single" w:sz="8" w:space="0" w:color="000000" w:themeColor="text1"/>
              <w:left w:val="single" w:sz="8" w:space="0" w:color="000000" w:themeColor="text1"/>
              <w:bottom w:val="single" w:sz="8" w:space="0" w:color="000000" w:themeColor="text1"/>
            </w:tcBorders>
            <w:tcMar>
              <w:top w:w="100" w:type="dxa"/>
              <w:left w:w="100" w:type="dxa"/>
              <w:bottom w:w="100" w:type="dxa"/>
              <w:right w:w="100" w:type="dxa"/>
            </w:tcMar>
          </w:tcPr>
          <w:p w14:paraId="11020180" w14:textId="624F69CC" w:rsidR="26234BE2" w:rsidRPr="00946B76" w:rsidRDefault="26234BE2" w:rsidP="26234BE2">
            <w:pPr>
              <w:rPr>
                <w:rFonts w:ascii="Arial" w:eastAsiaTheme="majorEastAsia" w:hAnsi="Arial" w:cs="Arial"/>
                <w:b/>
                <w:bCs/>
                <w:color w:val="000000" w:themeColor="text1"/>
                <w:sz w:val="24"/>
                <w:szCs w:val="24"/>
              </w:rPr>
            </w:pPr>
            <w:r w:rsidRPr="00946B76">
              <w:rPr>
                <w:rFonts w:ascii="Arial" w:eastAsiaTheme="majorEastAsia" w:hAnsi="Arial" w:cs="Arial"/>
                <w:b/>
                <w:bCs/>
                <w:color w:val="000000" w:themeColor="text1"/>
                <w:sz w:val="24"/>
                <w:szCs w:val="24"/>
              </w:rPr>
              <w:t>Coded 0</w:t>
            </w:r>
          </w:p>
        </w:tc>
        <w:tc>
          <w:tcPr>
            <w:tcW w:w="1288" w:type="dxa"/>
            <w:tcBorders>
              <w:top w:val="single" w:sz="8" w:space="0" w:color="000000" w:themeColor="text1"/>
              <w:bottom w:val="single" w:sz="8" w:space="0" w:color="000000" w:themeColor="text1"/>
            </w:tcBorders>
            <w:tcMar>
              <w:top w:w="100" w:type="dxa"/>
              <w:left w:w="100" w:type="dxa"/>
              <w:bottom w:w="100" w:type="dxa"/>
              <w:right w:w="100" w:type="dxa"/>
            </w:tcMar>
          </w:tcPr>
          <w:p w14:paraId="48CE5D9F" w14:textId="219020B2" w:rsidR="26234BE2" w:rsidRPr="00946B76" w:rsidRDefault="26234BE2" w:rsidP="26234BE2">
            <w:pPr>
              <w:rPr>
                <w:rFonts w:ascii="Arial" w:eastAsiaTheme="majorEastAsia" w:hAnsi="Arial" w:cs="Arial"/>
                <w:b/>
                <w:bCs/>
                <w:color w:val="000000" w:themeColor="text1"/>
                <w:sz w:val="24"/>
                <w:szCs w:val="24"/>
              </w:rPr>
            </w:pPr>
            <w:r w:rsidRPr="00946B76">
              <w:rPr>
                <w:rFonts w:ascii="Arial" w:eastAsiaTheme="majorEastAsia" w:hAnsi="Arial" w:cs="Arial"/>
                <w:b/>
                <w:bCs/>
                <w:color w:val="000000" w:themeColor="text1"/>
                <w:sz w:val="24"/>
                <w:szCs w:val="24"/>
              </w:rPr>
              <w:t>Coded 1</w:t>
            </w:r>
          </w:p>
        </w:tc>
      </w:tr>
      <w:tr w:rsidR="26234BE2" w:rsidRPr="00946B76" w14:paraId="4D43A0D9" w14:textId="77777777" w:rsidTr="26234BE2">
        <w:trPr>
          <w:trHeight w:val="435"/>
        </w:trPr>
        <w:tc>
          <w:tcPr>
            <w:tcW w:w="1288" w:type="dxa"/>
            <w:tcMar>
              <w:top w:w="20" w:type="dxa"/>
              <w:left w:w="20" w:type="dxa"/>
              <w:bottom w:w="20" w:type="dxa"/>
              <w:right w:w="20" w:type="dxa"/>
            </w:tcMar>
          </w:tcPr>
          <w:p w14:paraId="6533A2EC" w14:textId="27D41385" w:rsidR="26234BE2" w:rsidRPr="00946B76" w:rsidRDefault="26234BE2" w:rsidP="26234BE2">
            <w:pPr>
              <w:rPr>
                <w:rFonts w:ascii="Arial" w:eastAsiaTheme="majorEastAsia" w:hAnsi="Arial" w:cs="Arial"/>
                <w:b/>
                <w:bCs/>
                <w:color w:val="000000" w:themeColor="text1"/>
                <w:sz w:val="24"/>
                <w:szCs w:val="24"/>
              </w:rPr>
            </w:pPr>
            <w:r w:rsidRPr="00946B76">
              <w:rPr>
                <w:rFonts w:ascii="Arial" w:eastAsiaTheme="majorEastAsia" w:hAnsi="Arial" w:cs="Arial"/>
                <w:b/>
                <w:bCs/>
                <w:color w:val="000000" w:themeColor="text1"/>
                <w:sz w:val="24"/>
                <w:szCs w:val="24"/>
              </w:rPr>
              <w:t>Predicted as 0</w:t>
            </w:r>
          </w:p>
        </w:tc>
        <w:tc>
          <w:tcPr>
            <w:tcW w:w="1288" w:type="dxa"/>
            <w:tcBorders>
              <w:top w:val="single" w:sz="8" w:space="0" w:color="000000" w:themeColor="text1"/>
            </w:tcBorders>
            <w:tcMar>
              <w:top w:w="100" w:type="dxa"/>
              <w:left w:w="100" w:type="dxa"/>
              <w:bottom w:w="100" w:type="dxa"/>
              <w:right w:w="100" w:type="dxa"/>
            </w:tcMar>
          </w:tcPr>
          <w:p w14:paraId="51D55CBC" w14:textId="1698CA5B" w:rsidR="26234BE2" w:rsidRPr="00946B76" w:rsidRDefault="26234BE2" w:rsidP="26234BE2">
            <w:pPr>
              <w:rPr>
                <w:rFonts w:ascii="Arial" w:eastAsiaTheme="majorEastAsia" w:hAnsi="Arial" w:cs="Arial"/>
                <w:color w:val="000000" w:themeColor="text1"/>
                <w:sz w:val="24"/>
                <w:szCs w:val="24"/>
              </w:rPr>
            </w:pPr>
            <w:r w:rsidRPr="00946B76">
              <w:rPr>
                <w:rFonts w:ascii="Arial" w:eastAsiaTheme="majorEastAsia" w:hAnsi="Arial" w:cs="Arial"/>
                <w:color w:val="000000" w:themeColor="text1"/>
                <w:sz w:val="24"/>
                <w:szCs w:val="24"/>
              </w:rPr>
              <w:t>68</w:t>
            </w:r>
          </w:p>
        </w:tc>
        <w:tc>
          <w:tcPr>
            <w:tcW w:w="1288" w:type="dxa"/>
            <w:tcBorders>
              <w:top w:val="single" w:sz="8" w:space="0" w:color="000000" w:themeColor="text1"/>
              <w:right w:val="single" w:sz="8" w:space="0" w:color="000000" w:themeColor="text1"/>
            </w:tcBorders>
            <w:tcMar>
              <w:top w:w="100" w:type="dxa"/>
              <w:left w:w="100" w:type="dxa"/>
              <w:bottom w:w="100" w:type="dxa"/>
              <w:right w:w="100" w:type="dxa"/>
            </w:tcMar>
          </w:tcPr>
          <w:p w14:paraId="76066E7F" w14:textId="634900CE" w:rsidR="26234BE2" w:rsidRPr="00946B76" w:rsidRDefault="26234BE2" w:rsidP="26234BE2">
            <w:pPr>
              <w:rPr>
                <w:rFonts w:ascii="Arial" w:eastAsiaTheme="majorEastAsia" w:hAnsi="Arial" w:cs="Arial"/>
                <w:color w:val="000000" w:themeColor="text1"/>
                <w:sz w:val="24"/>
                <w:szCs w:val="24"/>
              </w:rPr>
            </w:pPr>
            <w:r w:rsidRPr="00946B76">
              <w:rPr>
                <w:rFonts w:ascii="Arial" w:eastAsiaTheme="majorEastAsia" w:hAnsi="Arial" w:cs="Arial"/>
                <w:color w:val="000000" w:themeColor="text1"/>
                <w:sz w:val="24"/>
                <w:szCs w:val="24"/>
              </w:rPr>
              <w:t>30</w:t>
            </w:r>
          </w:p>
        </w:tc>
        <w:tc>
          <w:tcPr>
            <w:tcW w:w="1288" w:type="dxa"/>
            <w:tcBorders>
              <w:top w:val="single" w:sz="8" w:space="0" w:color="000000" w:themeColor="text1"/>
              <w:left w:val="single" w:sz="8" w:space="0" w:color="000000" w:themeColor="text1"/>
            </w:tcBorders>
            <w:tcMar>
              <w:top w:w="100" w:type="dxa"/>
              <w:left w:w="100" w:type="dxa"/>
              <w:bottom w:w="100" w:type="dxa"/>
              <w:right w:w="100" w:type="dxa"/>
            </w:tcMar>
          </w:tcPr>
          <w:p w14:paraId="697F5BD0" w14:textId="704320D8" w:rsidR="26234BE2" w:rsidRPr="00946B76" w:rsidRDefault="26234BE2" w:rsidP="26234BE2">
            <w:pPr>
              <w:rPr>
                <w:rFonts w:ascii="Arial" w:eastAsiaTheme="majorEastAsia" w:hAnsi="Arial" w:cs="Arial"/>
                <w:color w:val="000000" w:themeColor="text1"/>
                <w:sz w:val="24"/>
                <w:szCs w:val="24"/>
              </w:rPr>
            </w:pPr>
            <w:r w:rsidRPr="00946B76">
              <w:rPr>
                <w:rFonts w:ascii="Arial" w:eastAsiaTheme="majorEastAsia" w:hAnsi="Arial" w:cs="Arial"/>
                <w:color w:val="000000" w:themeColor="text1"/>
                <w:sz w:val="24"/>
                <w:szCs w:val="24"/>
              </w:rPr>
              <w:t>161</w:t>
            </w:r>
          </w:p>
        </w:tc>
        <w:tc>
          <w:tcPr>
            <w:tcW w:w="1288" w:type="dxa"/>
            <w:tcBorders>
              <w:top w:val="single" w:sz="8" w:space="0" w:color="000000" w:themeColor="text1"/>
              <w:right w:val="single" w:sz="8" w:space="0" w:color="000000" w:themeColor="text1"/>
            </w:tcBorders>
            <w:tcMar>
              <w:top w:w="100" w:type="dxa"/>
              <w:left w:w="100" w:type="dxa"/>
              <w:bottom w:w="100" w:type="dxa"/>
              <w:right w:w="100" w:type="dxa"/>
            </w:tcMar>
          </w:tcPr>
          <w:p w14:paraId="59E7BF80" w14:textId="0498DABD" w:rsidR="26234BE2" w:rsidRPr="00946B76" w:rsidRDefault="26234BE2" w:rsidP="26234BE2">
            <w:pPr>
              <w:rPr>
                <w:rFonts w:ascii="Arial" w:eastAsiaTheme="majorEastAsia" w:hAnsi="Arial" w:cs="Arial"/>
                <w:color w:val="000000" w:themeColor="text1"/>
                <w:sz w:val="24"/>
                <w:szCs w:val="24"/>
              </w:rPr>
            </w:pPr>
            <w:r w:rsidRPr="00946B76">
              <w:rPr>
                <w:rFonts w:ascii="Arial" w:eastAsiaTheme="majorEastAsia" w:hAnsi="Arial" w:cs="Arial"/>
                <w:color w:val="000000" w:themeColor="text1"/>
                <w:sz w:val="24"/>
                <w:szCs w:val="24"/>
              </w:rPr>
              <w:t>20</w:t>
            </w:r>
          </w:p>
        </w:tc>
        <w:tc>
          <w:tcPr>
            <w:tcW w:w="1288" w:type="dxa"/>
            <w:tcBorders>
              <w:top w:val="single" w:sz="8" w:space="0" w:color="000000" w:themeColor="text1"/>
              <w:left w:val="single" w:sz="8" w:space="0" w:color="000000" w:themeColor="text1"/>
            </w:tcBorders>
            <w:tcMar>
              <w:top w:w="100" w:type="dxa"/>
              <w:left w:w="100" w:type="dxa"/>
              <w:bottom w:w="100" w:type="dxa"/>
              <w:right w:w="100" w:type="dxa"/>
            </w:tcMar>
          </w:tcPr>
          <w:p w14:paraId="153B7D0E" w14:textId="4AE69942" w:rsidR="26234BE2" w:rsidRPr="00946B76" w:rsidRDefault="26234BE2" w:rsidP="26234BE2">
            <w:pPr>
              <w:rPr>
                <w:rFonts w:ascii="Arial" w:eastAsiaTheme="majorEastAsia" w:hAnsi="Arial" w:cs="Arial"/>
                <w:color w:val="000000" w:themeColor="text1"/>
                <w:sz w:val="24"/>
                <w:szCs w:val="24"/>
              </w:rPr>
            </w:pPr>
            <w:r w:rsidRPr="00946B76">
              <w:rPr>
                <w:rFonts w:ascii="Arial" w:eastAsiaTheme="majorEastAsia" w:hAnsi="Arial" w:cs="Arial"/>
                <w:color w:val="000000" w:themeColor="text1"/>
                <w:sz w:val="24"/>
                <w:szCs w:val="24"/>
              </w:rPr>
              <w:t>175</w:t>
            </w:r>
          </w:p>
        </w:tc>
        <w:tc>
          <w:tcPr>
            <w:tcW w:w="1288" w:type="dxa"/>
            <w:tcBorders>
              <w:top w:val="single" w:sz="8" w:space="0" w:color="000000" w:themeColor="text1"/>
            </w:tcBorders>
            <w:tcMar>
              <w:top w:w="100" w:type="dxa"/>
              <w:left w:w="100" w:type="dxa"/>
              <w:bottom w:w="100" w:type="dxa"/>
              <w:right w:w="100" w:type="dxa"/>
            </w:tcMar>
          </w:tcPr>
          <w:p w14:paraId="68076143" w14:textId="5857E55E" w:rsidR="26234BE2" w:rsidRPr="00946B76" w:rsidRDefault="26234BE2" w:rsidP="26234BE2">
            <w:pPr>
              <w:rPr>
                <w:rFonts w:ascii="Arial" w:eastAsiaTheme="majorEastAsia" w:hAnsi="Arial" w:cs="Arial"/>
                <w:color w:val="000000" w:themeColor="text1"/>
                <w:sz w:val="24"/>
                <w:szCs w:val="24"/>
              </w:rPr>
            </w:pPr>
            <w:r w:rsidRPr="00946B76">
              <w:rPr>
                <w:rFonts w:ascii="Arial" w:eastAsiaTheme="majorEastAsia" w:hAnsi="Arial" w:cs="Arial"/>
                <w:color w:val="000000" w:themeColor="text1"/>
                <w:sz w:val="24"/>
                <w:szCs w:val="24"/>
              </w:rPr>
              <w:t>13</w:t>
            </w:r>
          </w:p>
        </w:tc>
      </w:tr>
      <w:tr w:rsidR="26234BE2" w:rsidRPr="00946B76" w14:paraId="52B8AF30" w14:textId="77777777" w:rsidTr="26234BE2">
        <w:trPr>
          <w:trHeight w:val="450"/>
        </w:trPr>
        <w:tc>
          <w:tcPr>
            <w:tcW w:w="1288" w:type="dxa"/>
            <w:tcBorders>
              <w:bottom w:val="single" w:sz="8" w:space="0" w:color="000000" w:themeColor="text1"/>
            </w:tcBorders>
            <w:tcMar>
              <w:top w:w="20" w:type="dxa"/>
              <w:left w:w="20" w:type="dxa"/>
              <w:bottom w:w="20" w:type="dxa"/>
              <w:right w:w="20" w:type="dxa"/>
            </w:tcMar>
          </w:tcPr>
          <w:p w14:paraId="1C7EC10F" w14:textId="322E260B" w:rsidR="26234BE2" w:rsidRPr="00946B76" w:rsidRDefault="26234BE2" w:rsidP="26234BE2">
            <w:pPr>
              <w:rPr>
                <w:rFonts w:ascii="Arial" w:eastAsiaTheme="majorEastAsia" w:hAnsi="Arial" w:cs="Arial"/>
                <w:b/>
                <w:bCs/>
                <w:color w:val="000000" w:themeColor="text1"/>
                <w:sz w:val="24"/>
                <w:szCs w:val="24"/>
              </w:rPr>
            </w:pPr>
            <w:r w:rsidRPr="00946B76">
              <w:rPr>
                <w:rFonts w:ascii="Arial" w:eastAsiaTheme="majorEastAsia" w:hAnsi="Arial" w:cs="Arial"/>
                <w:b/>
                <w:bCs/>
                <w:color w:val="000000" w:themeColor="text1"/>
                <w:sz w:val="24"/>
                <w:szCs w:val="24"/>
              </w:rPr>
              <w:t>Predicted as 1</w:t>
            </w:r>
          </w:p>
        </w:tc>
        <w:tc>
          <w:tcPr>
            <w:tcW w:w="1288" w:type="dxa"/>
            <w:tcBorders>
              <w:bottom w:val="single" w:sz="8" w:space="0" w:color="000000" w:themeColor="text1"/>
            </w:tcBorders>
            <w:tcMar>
              <w:top w:w="100" w:type="dxa"/>
              <w:left w:w="100" w:type="dxa"/>
              <w:bottom w:w="100" w:type="dxa"/>
              <w:right w:w="100" w:type="dxa"/>
            </w:tcMar>
          </w:tcPr>
          <w:p w14:paraId="50F38098" w14:textId="4BDFB98D" w:rsidR="26234BE2" w:rsidRPr="00946B76" w:rsidRDefault="26234BE2" w:rsidP="26234BE2">
            <w:pPr>
              <w:rPr>
                <w:rFonts w:ascii="Arial" w:eastAsiaTheme="majorEastAsia" w:hAnsi="Arial" w:cs="Arial"/>
                <w:color w:val="000000" w:themeColor="text1"/>
                <w:sz w:val="24"/>
                <w:szCs w:val="24"/>
              </w:rPr>
            </w:pPr>
            <w:r w:rsidRPr="00946B76">
              <w:rPr>
                <w:rFonts w:ascii="Arial" w:eastAsiaTheme="majorEastAsia" w:hAnsi="Arial" w:cs="Arial"/>
                <w:color w:val="000000" w:themeColor="text1"/>
                <w:sz w:val="24"/>
                <w:szCs w:val="24"/>
              </w:rPr>
              <w:t>30</w:t>
            </w:r>
          </w:p>
        </w:tc>
        <w:tc>
          <w:tcPr>
            <w:tcW w:w="1288" w:type="dxa"/>
            <w:tcBorders>
              <w:bottom w:val="single" w:sz="8" w:space="0" w:color="000000" w:themeColor="text1"/>
              <w:right w:val="single" w:sz="8" w:space="0" w:color="000000" w:themeColor="text1"/>
            </w:tcBorders>
            <w:tcMar>
              <w:top w:w="100" w:type="dxa"/>
              <w:left w:w="100" w:type="dxa"/>
              <w:bottom w:w="100" w:type="dxa"/>
              <w:right w:w="100" w:type="dxa"/>
            </w:tcMar>
          </w:tcPr>
          <w:p w14:paraId="4BC266DC" w14:textId="593809DA" w:rsidR="26234BE2" w:rsidRPr="00946B76" w:rsidRDefault="26234BE2" w:rsidP="26234BE2">
            <w:pPr>
              <w:rPr>
                <w:rFonts w:ascii="Arial" w:eastAsiaTheme="majorEastAsia" w:hAnsi="Arial" w:cs="Arial"/>
                <w:color w:val="000000" w:themeColor="text1"/>
                <w:sz w:val="24"/>
                <w:szCs w:val="24"/>
              </w:rPr>
            </w:pPr>
            <w:r w:rsidRPr="00946B76">
              <w:rPr>
                <w:rFonts w:ascii="Arial" w:eastAsiaTheme="majorEastAsia" w:hAnsi="Arial" w:cs="Arial"/>
                <w:color w:val="000000" w:themeColor="text1"/>
                <w:sz w:val="24"/>
                <w:szCs w:val="24"/>
              </w:rPr>
              <w:t>152</w:t>
            </w:r>
          </w:p>
        </w:tc>
        <w:tc>
          <w:tcPr>
            <w:tcW w:w="1288" w:type="dxa"/>
            <w:tcBorders>
              <w:left w:val="single" w:sz="8" w:space="0" w:color="000000" w:themeColor="text1"/>
              <w:bottom w:val="single" w:sz="8" w:space="0" w:color="000000" w:themeColor="text1"/>
            </w:tcBorders>
            <w:tcMar>
              <w:top w:w="100" w:type="dxa"/>
              <w:left w:w="100" w:type="dxa"/>
              <w:bottom w:w="100" w:type="dxa"/>
              <w:right w:w="100" w:type="dxa"/>
            </w:tcMar>
          </w:tcPr>
          <w:p w14:paraId="2A679DC5" w14:textId="0F8C09DF" w:rsidR="26234BE2" w:rsidRPr="00946B76" w:rsidRDefault="26234BE2" w:rsidP="26234BE2">
            <w:pPr>
              <w:rPr>
                <w:rFonts w:ascii="Arial" w:eastAsiaTheme="majorEastAsia" w:hAnsi="Arial" w:cs="Arial"/>
                <w:color w:val="000000" w:themeColor="text1"/>
                <w:sz w:val="24"/>
                <w:szCs w:val="24"/>
              </w:rPr>
            </w:pPr>
            <w:r w:rsidRPr="00946B76">
              <w:rPr>
                <w:rFonts w:ascii="Arial" w:eastAsiaTheme="majorEastAsia" w:hAnsi="Arial" w:cs="Arial"/>
                <w:color w:val="000000" w:themeColor="text1"/>
                <w:sz w:val="24"/>
                <w:szCs w:val="24"/>
              </w:rPr>
              <w:t>44</w:t>
            </w:r>
          </w:p>
        </w:tc>
        <w:tc>
          <w:tcPr>
            <w:tcW w:w="1288" w:type="dxa"/>
            <w:tcBorders>
              <w:bottom w:val="single" w:sz="8" w:space="0" w:color="000000" w:themeColor="text1"/>
              <w:right w:val="single" w:sz="8" w:space="0" w:color="000000" w:themeColor="text1"/>
            </w:tcBorders>
            <w:tcMar>
              <w:top w:w="100" w:type="dxa"/>
              <w:left w:w="100" w:type="dxa"/>
              <w:bottom w:w="100" w:type="dxa"/>
              <w:right w:w="100" w:type="dxa"/>
            </w:tcMar>
          </w:tcPr>
          <w:p w14:paraId="00BF82DB" w14:textId="7D9412CC" w:rsidR="26234BE2" w:rsidRPr="00946B76" w:rsidRDefault="26234BE2" w:rsidP="26234BE2">
            <w:pPr>
              <w:rPr>
                <w:rFonts w:ascii="Arial" w:eastAsiaTheme="majorEastAsia" w:hAnsi="Arial" w:cs="Arial"/>
                <w:color w:val="000000" w:themeColor="text1"/>
                <w:sz w:val="24"/>
                <w:szCs w:val="24"/>
              </w:rPr>
            </w:pPr>
            <w:r w:rsidRPr="00946B76">
              <w:rPr>
                <w:rFonts w:ascii="Arial" w:eastAsiaTheme="majorEastAsia" w:hAnsi="Arial" w:cs="Arial"/>
                <w:color w:val="000000" w:themeColor="text1"/>
                <w:sz w:val="24"/>
                <w:szCs w:val="24"/>
              </w:rPr>
              <w:t>55</w:t>
            </w:r>
          </w:p>
        </w:tc>
        <w:tc>
          <w:tcPr>
            <w:tcW w:w="1288" w:type="dxa"/>
            <w:tcBorders>
              <w:left w:val="single" w:sz="8" w:space="0" w:color="000000" w:themeColor="text1"/>
              <w:bottom w:val="single" w:sz="8" w:space="0" w:color="000000" w:themeColor="text1"/>
            </w:tcBorders>
            <w:tcMar>
              <w:top w:w="100" w:type="dxa"/>
              <w:left w:w="100" w:type="dxa"/>
              <w:bottom w:w="100" w:type="dxa"/>
              <w:right w:w="100" w:type="dxa"/>
            </w:tcMar>
          </w:tcPr>
          <w:p w14:paraId="701E4980" w14:textId="2A06B648" w:rsidR="26234BE2" w:rsidRPr="00946B76" w:rsidRDefault="26234BE2" w:rsidP="26234BE2">
            <w:pPr>
              <w:rPr>
                <w:rFonts w:ascii="Arial" w:eastAsiaTheme="majorEastAsia" w:hAnsi="Arial" w:cs="Arial"/>
                <w:color w:val="000000" w:themeColor="text1"/>
                <w:sz w:val="24"/>
                <w:szCs w:val="24"/>
              </w:rPr>
            </w:pPr>
            <w:r w:rsidRPr="00946B76">
              <w:rPr>
                <w:rFonts w:ascii="Arial" w:eastAsiaTheme="majorEastAsia" w:hAnsi="Arial" w:cs="Arial"/>
                <w:color w:val="000000" w:themeColor="text1"/>
                <w:sz w:val="24"/>
                <w:szCs w:val="24"/>
              </w:rPr>
              <w:t>60</w:t>
            </w:r>
          </w:p>
        </w:tc>
        <w:tc>
          <w:tcPr>
            <w:tcW w:w="1288" w:type="dxa"/>
            <w:tcBorders>
              <w:bottom w:val="single" w:sz="8" w:space="0" w:color="000000" w:themeColor="text1"/>
            </w:tcBorders>
            <w:tcMar>
              <w:top w:w="100" w:type="dxa"/>
              <w:left w:w="100" w:type="dxa"/>
              <w:bottom w:w="100" w:type="dxa"/>
              <w:right w:w="100" w:type="dxa"/>
            </w:tcMar>
          </w:tcPr>
          <w:p w14:paraId="4D102EDE" w14:textId="2EDA1A65" w:rsidR="26234BE2" w:rsidRPr="00946B76" w:rsidRDefault="26234BE2" w:rsidP="26234BE2">
            <w:pPr>
              <w:rPr>
                <w:rFonts w:ascii="Arial" w:eastAsiaTheme="majorEastAsia" w:hAnsi="Arial" w:cs="Arial"/>
                <w:color w:val="000000" w:themeColor="text1"/>
                <w:sz w:val="24"/>
                <w:szCs w:val="24"/>
              </w:rPr>
            </w:pPr>
            <w:r w:rsidRPr="00946B76">
              <w:rPr>
                <w:rFonts w:ascii="Arial" w:eastAsiaTheme="majorEastAsia" w:hAnsi="Arial" w:cs="Arial"/>
                <w:color w:val="000000" w:themeColor="text1"/>
                <w:sz w:val="24"/>
                <w:szCs w:val="24"/>
              </w:rPr>
              <w:t>32</w:t>
            </w:r>
          </w:p>
        </w:tc>
      </w:tr>
    </w:tbl>
    <w:p w14:paraId="1E1D140F" w14:textId="25E2554F" w:rsidR="2115D560" w:rsidRPr="00946B76" w:rsidRDefault="2115D560" w:rsidP="26234BE2">
      <w:pPr>
        <w:jc w:val="center"/>
        <w:rPr>
          <w:rFonts w:ascii="Arial" w:eastAsiaTheme="majorEastAsia" w:hAnsi="Arial" w:cs="Arial"/>
          <w:color w:val="000000" w:themeColor="text1"/>
          <w:sz w:val="24"/>
          <w:szCs w:val="24"/>
        </w:rPr>
      </w:pPr>
      <w:r w:rsidRPr="00946B76">
        <w:rPr>
          <w:rFonts w:ascii="Arial" w:eastAsiaTheme="majorEastAsia" w:hAnsi="Arial" w:cs="Arial"/>
          <w:color w:val="000000" w:themeColor="text1"/>
          <w:sz w:val="24"/>
          <w:szCs w:val="24"/>
        </w:rPr>
        <w:t>Table 6: Confusion matrix NB model</w:t>
      </w:r>
    </w:p>
    <w:p w14:paraId="5D14CBDE" w14:textId="7C91A3C6" w:rsidR="2115D560" w:rsidRPr="00946B76" w:rsidRDefault="2115D560" w:rsidP="26234BE2">
      <w:pPr>
        <w:spacing w:line="360" w:lineRule="auto"/>
        <w:ind w:firstLine="708"/>
        <w:rPr>
          <w:rFonts w:ascii="Arial" w:eastAsiaTheme="majorEastAsia" w:hAnsi="Arial" w:cs="Arial"/>
          <w:sz w:val="24"/>
          <w:szCs w:val="24"/>
        </w:rPr>
      </w:pPr>
      <w:r w:rsidRPr="00946B76">
        <w:rPr>
          <w:rFonts w:ascii="Arial" w:eastAsiaTheme="majorEastAsia" w:hAnsi="Arial" w:cs="Arial"/>
          <w:sz w:val="24"/>
          <w:szCs w:val="24"/>
        </w:rPr>
        <w:t xml:space="preserve">Accuracy informs us how many times the model was right overall. It reflects on how many times a model incorrectly or correctly predicted a class. The precision metric considers what percentage of identifications turned out to be correct. The </w:t>
      </w:r>
      <w:r w:rsidRPr="00946B76">
        <w:rPr>
          <w:rFonts w:ascii="Arial" w:eastAsiaTheme="majorEastAsia" w:hAnsi="Arial" w:cs="Arial"/>
          <w:sz w:val="24"/>
          <w:szCs w:val="24"/>
        </w:rPr>
        <w:lastRenderedPageBreak/>
        <w:t>Recall metric reflects the proportion of true positives that were identified correctly. The F1 score can be seen as a harmonic mean between precision and recall scores.</w:t>
      </w:r>
    </w:p>
    <w:tbl>
      <w:tblPr>
        <w:tblStyle w:val="TableGrid"/>
        <w:tblW w:w="0" w:type="auto"/>
        <w:tblLayout w:type="fixed"/>
        <w:tblLook w:val="06A0" w:firstRow="1" w:lastRow="0" w:firstColumn="1" w:lastColumn="0" w:noHBand="1" w:noVBand="1"/>
      </w:tblPr>
      <w:tblGrid>
        <w:gridCol w:w="2254"/>
        <w:gridCol w:w="2254"/>
        <w:gridCol w:w="2254"/>
        <w:gridCol w:w="2254"/>
      </w:tblGrid>
      <w:tr w:rsidR="26234BE2" w:rsidRPr="00946B76" w14:paraId="455F2B1D" w14:textId="77777777" w:rsidTr="26234BE2">
        <w:trPr>
          <w:trHeight w:val="765"/>
        </w:trPr>
        <w:tc>
          <w:tcPr>
            <w:tcW w:w="22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14:paraId="2B39BE79" w14:textId="05E5F44B" w:rsidR="26234BE2" w:rsidRPr="00946B76" w:rsidRDefault="26234BE2" w:rsidP="26234BE2">
            <w:pPr>
              <w:rPr>
                <w:rFonts w:ascii="Arial" w:eastAsiaTheme="majorEastAsia" w:hAnsi="Arial" w:cs="Arial"/>
                <w:sz w:val="24"/>
                <w:szCs w:val="24"/>
              </w:rPr>
            </w:pPr>
            <w:r w:rsidRPr="00946B76">
              <w:rPr>
                <w:rFonts w:ascii="Arial" w:hAnsi="Arial" w:cs="Arial"/>
                <w:sz w:val="24"/>
                <w:szCs w:val="24"/>
              </w:rPr>
              <w:br/>
            </w:r>
          </w:p>
        </w:tc>
        <w:tc>
          <w:tcPr>
            <w:tcW w:w="22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14:paraId="54D3DA58" w14:textId="3D247DB4" w:rsidR="26234BE2" w:rsidRPr="00946B76" w:rsidRDefault="26234BE2" w:rsidP="26234BE2">
            <w:pPr>
              <w:rPr>
                <w:rFonts w:ascii="Arial" w:eastAsiaTheme="majorEastAsia" w:hAnsi="Arial" w:cs="Arial"/>
                <w:b/>
                <w:bCs/>
                <w:color w:val="000000" w:themeColor="text1"/>
                <w:sz w:val="24"/>
                <w:szCs w:val="24"/>
              </w:rPr>
            </w:pPr>
            <w:proofErr w:type="spellStart"/>
            <w:r w:rsidRPr="00946B76">
              <w:rPr>
                <w:rFonts w:ascii="Arial" w:eastAsiaTheme="majorEastAsia" w:hAnsi="Arial" w:cs="Arial"/>
                <w:b/>
                <w:bCs/>
                <w:color w:val="000000" w:themeColor="text1"/>
                <w:sz w:val="24"/>
                <w:szCs w:val="24"/>
              </w:rPr>
              <w:t>Care_Family</w:t>
            </w:r>
            <w:proofErr w:type="spellEnd"/>
          </w:p>
        </w:tc>
        <w:tc>
          <w:tcPr>
            <w:tcW w:w="22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14:paraId="4920503B" w14:textId="4F98E101" w:rsidR="26234BE2" w:rsidRPr="00946B76" w:rsidRDefault="26234BE2" w:rsidP="26234BE2">
            <w:pPr>
              <w:rPr>
                <w:rFonts w:ascii="Arial" w:eastAsiaTheme="majorEastAsia" w:hAnsi="Arial" w:cs="Arial"/>
                <w:b/>
                <w:bCs/>
                <w:color w:val="000000" w:themeColor="text1"/>
                <w:sz w:val="24"/>
                <w:szCs w:val="24"/>
              </w:rPr>
            </w:pPr>
            <w:proofErr w:type="spellStart"/>
            <w:r w:rsidRPr="00946B76">
              <w:rPr>
                <w:rFonts w:ascii="Arial" w:eastAsiaTheme="majorEastAsia" w:hAnsi="Arial" w:cs="Arial"/>
                <w:b/>
                <w:bCs/>
                <w:color w:val="000000" w:themeColor="text1"/>
                <w:sz w:val="24"/>
                <w:szCs w:val="24"/>
              </w:rPr>
              <w:t>Care_Friends</w:t>
            </w:r>
            <w:proofErr w:type="spellEnd"/>
          </w:p>
        </w:tc>
        <w:tc>
          <w:tcPr>
            <w:tcW w:w="22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14:paraId="10F801D3" w14:textId="51C3D916" w:rsidR="26234BE2" w:rsidRPr="00946B76" w:rsidRDefault="26234BE2" w:rsidP="26234BE2">
            <w:pPr>
              <w:rPr>
                <w:rFonts w:ascii="Arial" w:eastAsiaTheme="majorEastAsia" w:hAnsi="Arial" w:cs="Arial"/>
                <w:b/>
                <w:bCs/>
                <w:color w:val="000000" w:themeColor="text1"/>
                <w:sz w:val="24"/>
                <w:szCs w:val="24"/>
              </w:rPr>
            </w:pPr>
            <w:proofErr w:type="spellStart"/>
            <w:r w:rsidRPr="00946B76">
              <w:rPr>
                <w:rFonts w:ascii="Arial" w:eastAsiaTheme="majorEastAsia" w:hAnsi="Arial" w:cs="Arial"/>
                <w:b/>
                <w:bCs/>
                <w:color w:val="000000" w:themeColor="text1"/>
                <w:sz w:val="24"/>
                <w:szCs w:val="24"/>
              </w:rPr>
              <w:t>Care_Others</w:t>
            </w:r>
            <w:proofErr w:type="spellEnd"/>
          </w:p>
        </w:tc>
      </w:tr>
      <w:tr w:rsidR="26234BE2" w:rsidRPr="00946B76" w14:paraId="553217EE" w14:textId="77777777" w:rsidTr="26234BE2">
        <w:trPr>
          <w:trHeight w:val="300"/>
        </w:trPr>
        <w:tc>
          <w:tcPr>
            <w:tcW w:w="22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14:paraId="3EF183F9" w14:textId="5EA15AFD" w:rsidR="26234BE2" w:rsidRPr="00946B76" w:rsidRDefault="26234BE2" w:rsidP="26234BE2">
            <w:pPr>
              <w:rPr>
                <w:rFonts w:ascii="Arial" w:eastAsiaTheme="majorEastAsia" w:hAnsi="Arial" w:cs="Arial"/>
                <w:b/>
                <w:bCs/>
                <w:color w:val="000000" w:themeColor="text1"/>
                <w:sz w:val="24"/>
                <w:szCs w:val="24"/>
              </w:rPr>
            </w:pPr>
            <w:r w:rsidRPr="00946B76">
              <w:rPr>
                <w:rFonts w:ascii="Arial" w:eastAsiaTheme="majorEastAsia" w:hAnsi="Arial" w:cs="Arial"/>
                <w:b/>
                <w:bCs/>
                <w:color w:val="000000" w:themeColor="text1"/>
                <w:sz w:val="24"/>
                <w:szCs w:val="24"/>
              </w:rPr>
              <w:t>Accuracy</w:t>
            </w:r>
          </w:p>
        </w:tc>
        <w:tc>
          <w:tcPr>
            <w:tcW w:w="22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14:paraId="75C63131" w14:textId="158EB000" w:rsidR="26234BE2" w:rsidRPr="00946B76" w:rsidRDefault="26234BE2" w:rsidP="26234BE2">
            <w:pPr>
              <w:rPr>
                <w:rFonts w:ascii="Arial" w:eastAsiaTheme="majorEastAsia" w:hAnsi="Arial" w:cs="Arial"/>
                <w:color w:val="000000" w:themeColor="text1"/>
                <w:sz w:val="24"/>
                <w:szCs w:val="24"/>
              </w:rPr>
            </w:pPr>
            <w:r w:rsidRPr="00946B76">
              <w:rPr>
                <w:rFonts w:ascii="Arial" w:eastAsiaTheme="majorEastAsia" w:hAnsi="Arial" w:cs="Arial"/>
                <w:color w:val="000000" w:themeColor="text1"/>
                <w:sz w:val="24"/>
                <w:szCs w:val="24"/>
              </w:rPr>
              <w:t>0.79</w:t>
            </w:r>
          </w:p>
        </w:tc>
        <w:tc>
          <w:tcPr>
            <w:tcW w:w="22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14:paraId="20497282" w14:textId="48E49BCB" w:rsidR="26234BE2" w:rsidRPr="00946B76" w:rsidRDefault="26234BE2" w:rsidP="26234BE2">
            <w:pPr>
              <w:rPr>
                <w:rFonts w:ascii="Arial" w:eastAsiaTheme="majorEastAsia" w:hAnsi="Arial" w:cs="Arial"/>
                <w:color w:val="000000" w:themeColor="text1"/>
                <w:sz w:val="24"/>
                <w:szCs w:val="24"/>
              </w:rPr>
            </w:pPr>
            <w:r w:rsidRPr="00946B76">
              <w:rPr>
                <w:rFonts w:ascii="Arial" w:eastAsiaTheme="majorEastAsia" w:hAnsi="Arial" w:cs="Arial"/>
                <w:color w:val="000000" w:themeColor="text1"/>
                <w:sz w:val="24"/>
                <w:szCs w:val="24"/>
              </w:rPr>
              <w:t>0.77</w:t>
            </w:r>
          </w:p>
        </w:tc>
        <w:tc>
          <w:tcPr>
            <w:tcW w:w="22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14:paraId="05BCA084" w14:textId="1DA5D8C5" w:rsidR="26234BE2" w:rsidRPr="00946B76" w:rsidRDefault="26234BE2" w:rsidP="26234BE2">
            <w:pPr>
              <w:rPr>
                <w:rFonts w:ascii="Arial" w:eastAsiaTheme="majorEastAsia" w:hAnsi="Arial" w:cs="Arial"/>
                <w:color w:val="000000" w:themeColor="text1"/>
                <w:sz w:val="24"/>
                <w:szCs w:val="24"/>
              </w:rPr>
            </w:pPr>
            <w:r w:rsidRPr="00946B76">
              <w:rPr>
                <w:rFonts w:ascii="Arial" w:eastAsiaTheme="majorEastAsia" w:hAnsi="Arial" w:cs="Arial"/>
                <w:color w:val="000000" w:themeColor="text1"/>
                <w:sz w:val="24"/>
                <w:szCs w:val="24"/>
              </w:rPr>
              <w:t>0.74</w:t>
            </w:r>
          </w:p>
        </w:tc>
      </w:tr>
      <w:tr w:rsidR="26234BE2" w:rsidRPr="00946B76" w14:paraId="3D0A8C5B" w14:textId="77777777" w:rsidTr="26234BE2">
        <w:trPr>
          <w:trHeight w:val="300"/>
        </w:trPr>
        <w:tc>
          <w:tcPr>
            <w:tcW w:w="22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14:paraId="531CB644" w14:textId="702EBB42" w:rsidR="26234BE2" w:rsidRPr="00946B76" w:rsidRDefault="26234BE2" w:rsidP="26234BE2">
            <w:pPr>
              <w:rPr>
                <w:rFonts w:ascii="Arial" w:eastAsiaTheme="majorEastAsia" w:hAnsi="Arial" w:cs="Arial"/>
                <w:b/>
                <w:bCs/>
                <w:color w:val="000000" w:themeColor="text1"/>
                <w:sz w:val="24"/>
                <w:szCs w:val="24"/>
              </w:rPr>
            </w:pPr>
            <w:r w:rsidRPr="00946B76">
              <w:rPr>
                <w:rFonts w:ascii="Arial" w:eastAsiaTheme="majorEastAsia" w:hAnsi="Arial" w:cs="Arial"/>
                <w:b/>
                <w:bCs/>
                <w:color w:val="000000" w:themeColor="text1"/>
                <w:sz w:val="24"/>
                <w:szCs w:val="24"/>
              </w:rPr>
              <w:t>Precision</w:t>
            </w:r>
          </w:p>
        </w:tc>
        <w:tc>
          <w:tcPr>
            <w:tcW w:w="22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14:paraId="0D49BF63" w14:textId="311E998A" w:rsidR="26234BE2" w:rsidRPr="00946B76" w:rsidRDefault="26234BE2" w:rsidP="26234BE2">
            <w:pPr>
              <w:rPr>
                <w:rFonts w:ascii="Arial" w:eastAsiaTheme="majorEastAsia" w:hAnsi="Arial" w:cs="Arial"/>
                <w:color w:val="000000" w:themeColor="text1"/>
                <w:sz w:val="24"/>
                <w:szCs w:val="24"/>
              </w:rPr>
            </w:pPr>
            <w:r w:rsidRPr="00946B76">
              <w:rPr>
                <w:rFonts w:ascii="Arial" w:eastAsiaTheme="majorEastAsia" w:hAnsi="Arial" w:cs="Arial"/>
                <w:color w:val="000000" w:themeColor="text1"/>
                <w:sz w:val="24"/>
                <w:szCs w:val="24"/>
              </w:rPr>
              <w:t>0.69</w:t>
            </w:r>
          </w:p>
        </w:tc>
        <w:tc>
          <w:tcPr>
            <w:tcW w:w="22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14:paraId="0BDADD53" w14:textId="38BAFCC8" w:rsidR="26234BE2" w:rsidRPr="00946B76" w:rsidRDefault="26234BE2" w:rsidP="26234BE2">
            <w:pPr>
              <w:rPr>
                <w:rFonts w:ascii="Arial" w:eastAsiaTheme="majorEastAsia" w:hAnsi="Arial" w:cs="Arial"/>
                <w:color w:val="000000" w:themeColor="text1"/>
                <w:sz w:val="24"/>
                <w:szCs w:val="24"/>
              </w:rPr>
            </w:pPr>
            <w:r w:rsidRPr="00946B76">
              <w:rPr>
                <w:rFonts w:ascii="Arial" w:eastAsiaTheme="majorEastAsia" w:hAnsi="Arial" w:cs="Arial"/>
                <w:color w:val="000000" w:themeColor="text1"/>
                <w:sz w:val="24"/>
                <w:szCs w:val="24"/>
              </w:rPr>
              <w:t>0.89</w:t>
            </w:r>
          </w:p>
        </w:tc>
        <w:tc>
          <w:tcPr>
            <w:tcW w:w="22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14:paraId="5B14AD2E" w14:textId="4D1F9433" w:rsidR="26234BE2" w:rsidRPr="00946B76" w:rsidRDefault="26234BE2" w:rsidP="26234BE2">
            <w:pPr>
              <w:rPr>
                <w:rFonts w:ascii="Arial" w:eastAsiaTheme="majorEastAsia" w:hAnsi="Arial" w:cs="Arial"/>
                <w:color w:val="000000" w:themeColor="text1"/>
                <w:sz w:val="24"/>
                <w:szCs w:val="24"/>
              </w:rPr>
            </w:pPr>
            <w:r w:rsidRPr="00946B76">
              <w:rPr>
                <w:rFonts w:ascii="Arial" w:eastAsiaTheme="majorEastAsia" w:hAnsi="Arial" w:cs="Arial"/>
                <w:color w:val="000000" w:themeColor="text1"/>
                <w:sz w:val="24"/>
                <w:szCs w:val="24"/>
              </w:rPr>
              <w:t>0.93</w:t>
            </w:r>
          </w:p>
        </w:tc>
      </w:tr>
      <w:tr w:rsidR="26234BE2" w:rsidRPr="00946B76" w14:paraId="3F24C2AE" w14:textId="77777777" w:rsidTr="26234BE2">
        <w:trPr>
          <w:trHeight w:val="300"/>
        </w:trPr>
        <w:tc>
          <w:tcPr>
            <w:tcW w:w="22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14:paraId="7DC2DF3C" w14:textId="35E835AC" w:rsidR="26234BE2" w:rsidRPr="00946B76" w:rsidRDefault="26234BE2" w:rsidP="26234BE2">
            <w:pPr>
              <w:rPr>
                <w:rFonts w:ascii="Arial" w:eastAsiaTheme="majorEastAsia" w:hAnsi="Arial" w:cs="Arial"/>
                <w:b/>
                <w:bCs/>
                <w:color w:val="000000" w:themeColor="text1"/>
                <w:sz w:val="24"/>
                <w:szCs w:val="24"/>
              </w:rPr>
            </w:pPr>
            <w:r w:rsidRPr="00946B76">
              <w:rPr>
                <w:rFonts w:ascii="Arial" w:eastAsiaTheme="majorEastAsia" w:hAnsi="Arial" w:cs="Arial"/>
                <w:b/>
                <w:bCs/>
                <w:color w:val="000000" w:themeColor="text1"/>
                <w:sz w:val="24"/>
                <w:szCs w:val="24"/>
              </w:rPr>
              <w:t>Recall</w:t>
            </w:r>
          </w:p>
        </w:tc>
        <w:tc>
          <w:tcPr>
            <w:tcW w:w="22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14:paraId="15A34678" w14:textId="0686CAAB" w:rsidR="26234BE2" w:rsidRPr="00946B76" w:rsidRDefault="26234BE2" w:rsidP="26234BE2">
            <w:pPr>
              <w:rPr>
                <w:rFonts w:ascii="Arial" w:eastAsiaTheme="majorEastAsia" w:hAnsi="Arial" w:cs="Arial"/>
                <w:color w:val="000000" w:themeColor="text1"/>
                <w:sz w:val="24"/>
                <w:szCs w:val="24"/>
              </w:rPr>
            </w:pPr>
            <w:r w:rsidRPr="00946B76">
              <w:rPr>
                <w:rFonts w:ascii="Arial" w:eastAsiaTheme="majorEastAsia" w:hAnsi="Arial" w:cs="Arial"/>
                <w:color w:val="000000" w:themeColor="text1"/>
                <w:sz w:val="24"/>
                <w:szCs w:val="24"/>
              </w:rPr>
              <w:t>0.69</w:t>
            </w:r>
          </w:p>
        </w:tc>
        <w:tc>
          <w:tcPr>
            <w:tcW w:w="22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14:paraId="2E2D60BC" w14:textId="52BA4AC5" w:rsidR="26234BE2" w:rsidRPr="00946B76" w:rsidRDefault="26234BE2" w:rsidP="26234BE2">
            <w:pPr>
              <w:rPr>
                <w:rFonts w:ascii="Arial" w:eastAsiaTheme="majorEastAsia" w:hAnsi="Arial" w:cs="Arial"/>
                <w:color w:val="000000" w:themeColor="text1"/>
                <w:sz w:val="24"/>
                <w:szCs w:val="24"/>
              </w:rPr>
            </w:pPr>
            <w:r w:rsidRPr="00946B76">
              <w:rPr>
                <w:rFonts w:ascii="Arial" w:eastAsiaTheme="majorEastAsia" w:hAnsi="Arial" w:cs="Arial"/>
                <w:color w:val="000000" w:themeColor="text1"/>
                <w:sz w:val="24"/>
                <w:szCs w:val="24"/>
              </w:rPr>
              <w:t>0.79</w:t>
            </w:r>
          </w:p>
        </w:tc>
        <w:tc>
          <w:tcPr>
            <w:tcW w:w="22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14:paraId="24DCF754" w14:textId="081DCF62" w:rsidR="26234BE2" w:rsidRPr="00946B76" w:rsidRDefault="26234BE2" w:rsidP="26234BE2">
            <w:pPr>
              <w:rPr>
                <w:rFonts w:ascii="Arial" w:eastAsiaTheme="majorEastAsia" w:hAnsi="Arial" w:cs="Arial"/>
                <w:color w:val="000000" w:themeColor="text1"/>
                <w:sz w:val="24"/>
                <w:szCs w:val="24"/>
              </w:rPr>
            </w:pPr>
            <w:r w:rsidRPr="00946B76">
              <w:rPr>
                <w:rFonts w:ascii="Arial" w:eastAsiaTheme="majorEastAsia" w:hAnsi="Arial" w:cs="Arial"/>
                <w:color w:val="000000" w:themeColor="text1"/>
                <w:sz w:val="24"/>
                <w:szCs w:val="24"/>
              </w:rPr>
              <w:t>0.74</w:t>
            </w:r>
          </w:p>
        </w:tc>
      </w:tr>
      <w:tr w:rsidR="26234BE2" w:rsidRPr="00946B76" w14:paraId="1CC5793E" w14:textId="77777777" w:rsidTr="26234BE2">
        <w:trPr>
          <w:trHeight w:val="300"/>
        </w:trPr>
        <w:tc>
          <w:tcPr>
            <w:tcW w:w="22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14:paraId="201E8EFE" w14:textId="508D3595" w:rsidR="26234BE2" w:rsidRPr="00946B76" w:rsidRDefault="26234BE2" w:rsidP="26234BE2">
            <w:pPr>
              <w:rPr>
                <w:rFonts w:ascii="Arial" w:eastAsiaTheme="majorEastAsia" w:hAnsi="Arial" w:cs="Arial"/>
                <w:b/>
                <w:bCs/>
                <w:color w:val="000000" w:themeColor="text1"/>
                <w:sz w:val="24"/>
                <w:szCs w:val="24"/>
              </w:rPr>
            </w:pPr>
            <w:proofErr w:type="spellStart"/>
            <w:r w:rsidRPr="00946B76">
              <w:rPr>
                <w:rFonts w:ascii="Arial" w:eastAsiaTheme="majorEastAsia" w:hAnsi="Arial" w:cs="Arial"/>
                <w:b/>
                <w:bCs/>
                <w:color w:val="000000" w:themeColor="text1"/>
                <w:sz w:val="24"/>
                <w:szCs w:val="24"/>
              </w:rPr>
              <w:t>F_meas</w:t>
            </w:r>
            <w:proofErr w:type="spellEnd"/>
          </w:p>
        </w:tc>
        <w:tc>
          <w:tcPr>
            <w:tcW w:w="22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14:paraId="3936BB4F" w14:textId="32F383F8" w:rsidR="26234BE2" w:rsidRPr="00946B76" w:rsidRDefault="26234BE2" w:rsidP="26234BE2">
            <w:pPr>
              <w:rPr>
                <w:rFonts w:ascii="Arial" w:eastAsiaTheme="majorEastAsia" w:hAnsi="Arial" w:cs="Arial"/>
                <w:color w:val="000000" w:themeColor="text1"/>
                <w:sz w:val="24"/>
                <w:szCs w:val="24"/>
              </w:rPr>
            </w:pPr>
            <w:r w:rsidRPr="00946B76">
              <w:rPr>
                <w:rFonts w:ascii="Arial" w:eastAsiaTheme="majorEastAsia" w:hAnsi="Arial" w:cs="Arial"/>
                <w:color w:val="000000" w:themeColor="text1"/>
                <w:sz w:val="24"/>
                <w:szCs w:val="24"/>
              </w:rPr>
              <w:t>0.69</w:t>
            </w:r>
          </w:p>
        </w:tc>
        <w:tc>
          <w:tcPr>
            <w:tcW w:w="22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14:paraId="6BDDD714" w14:textId="57D51F6C" w:rsidR="26234BE2" w:rsidRPr="00946B76" w:rsidRDefault="26234BE2" w:rsidP="26234BE2">
            <w:pPr>
              <w:rPr>
                <w:rFonts w:ascii="Arial" w:eastAsiaTheme="majorEastAsia" w:hAnsi="Arial" w:cs="Arial"/>
                <w:color w:val="000000" w:themeColor="text1"/>
                <w:sz w:val="24"/>
                <w:szCs w:val="24"/>
              </w:rPr>
            </w:pPr>
            <w:r w:rsidRPr="00946B76">
              <w:rPr>
                <w:rFonts w:ascii="Arial" w:eastAsiaTheme="majorEastAsia" w:hAnsi="Arial" w:cs="Arial"/>
                <w:color w:val="000000" w:themeColor="text1"/>
                <w:sz w:val="24"/>
                <w:szCs w:val="24"/>
              </w:rPr>
              <w:t>0.83</w:t>
            </w:r>
          </w:p>
        </w:tc>
        <w:tc>
          <w:tcPr>
            <w:tcW w:w="22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14:paraId="1FF82C64" w14:textId="63456C11" w:rsidR="26234BE2" w:rsidRPr="00946B76" w:rsidRDefault="26234BE2" w:rsidP="26234BE2">
            <w:pPr>
              <w:rPr>
                <w:rFonts w:ascii="Arial" w:eastAsiaTheme="majorEastAsia" w:hAnsi="Arial" w:cs="Arial"/>
                <w:color w:val="000000" w:themeColor="text1"/>
                <w:sz w:val="24"/>
                <w:szCs w:val="24"/>
              </w:rPr>
            </w:pPr>
            <w:r w:rsidRPr="00946B76">
              <w:rPr>
                <w:rFonts w:ascii="Arial" w:eastAsiaTheme="majorEastAsia" w:hAnsi="Arial" w:cs="Arial"/>
                <w:color w:val="000000" w:themeColor="text1"/>
                <w:sz w:val="24"/>
                <w:szCs w:val="24"/>
              </w:rPr>
              <w:t>0.83</w:t>
            </w:r>
          </w:p>
        </w:tc>
      </w:tr>
    </w:tbl>
    <w:p w14:paraId="248E6010" w14:textId="5BA1F09B" w:rsidR="006847F9" w:rsidRPr="00946B76" w:rsidRDefault="006847F9" w:rsidP="26234BE2">
      <w:pPr>
        <w:jc w:val="center"/>
        <w:rPr>
          <w:rFonts w:ascii="Arial" w:eastAsiaTheme="majorEastAsia" w:hAnsi="Arial" w:cs="Arial"/>
          <w:color w:val="000000" w:themeColor="text1"/>
          <w:sz w:val="24"/>
          <w:szCs w:val="24"/>
        </w:rPr>
      </w:pPr>
      <w:r w:rsidRPr="00946B76">
        <w:rPr>
          <w:rFonts w:ascii="Arial" w:eastAsiaTheme="majorEastAsia" w:hAnsi="Arial" w:cs="Arial"/>
          <w:color w:val="000000" w:themeColor="text1"/>
          <w:sz w:val="24"/>
          <w:szCs w:val="24"/>
        </w:rPr>
        <w:t>Table 7: Metrics NB Model</w:t>
      </w:r>
    </w:p>
    <w:p w14:paraId="46F7AC52" w14:textId="6F2CE3FB" w:rsidR="7D3C1953" w:rsidRPr="00946B76" w:rsidRDefault="7D3C1953" w:rsidP="26234BE2">
      <w:pPr>
        <w:spacing w:line="360" w:lineRule="auto"/>
        <w:rPr>
          <w:rFonts w:ascii="Arial" w:eastAsiaTheme="majorEastAsia" w:hAnsi="Arial" w:cs="Arial"/>
          <w:b/>
          <w:bCs/>
          <w:color w:val="000000" w:themeColor="text1"/>
          <w:sz w:val="24"/>
          <w:szCs w:val="24"/>
        </w:rPr>
      </w:pPr>
      <w:r w:rsidRPr="00946B76">
        <w:rPr>
          <w:rFonts w:ascii="Arial" w:eastAsiaTheme="majorEastAsia" w:hAnsi="Arial" w:cs="Arial"/>
          <w:b/>
          <w:bCs/>
          <w:color w:val="000000" w:themeColor="text1"/>
          <w:sz w:val="24"/>
          <w:szCs w:val="24"/>
        </w:rPr>
        <w:t>5.1.2 Support Vector Machine Model</w:t>
      </w:r>
    </w:p>
    <w:p w14:paraId="61A59225" w14:textId="29BEF39F" w:rsidR="3F0D2D2A" w:rsidRPr="00946B76" w:rsidRDefault="3F0D2D2A" w:rsidP="26234BE2">
      <w:pPr>
        <w:spacing w:line="360" w:lineRule="auto"/>
        <w:rPr>
          <w:rFonts w:ascii="Arial" w:eastAsiaTheme="majorEastAsia" w:hAnsi="Arial" w:cs="Arial"/>
          <w:color w:val="000000" w:themeColor="text1"/>
          <w:sz w:val="24"/>
          <w:szCs w:val="24"/>
        </w:rPr>
      </w:pPr>
      <w:r w:rsidRPr="00946B76">
        <w:rPr>
          <w:rFonts w:ascii="Arial" w:eastAsiaTheme="majorEastAsia" w:hAnsi="Arial" w:cs="Arial"/>
          <w:color w:val="000000" w:themeColor="text1"/>
          <w:sz w:val="24"/>
          <w:szCs w:val="24"/>
        </w:rPr>
        <w:t>Testing and training were done on the same testing and training data. Metrics are represented in a similar matter. In this way performance between our two models could be compared.</w:t>
      </w:r>
    </w:p>
    <w:tbl>
      <w:tblPr>
        <w:tblStyle w:val="TableGrid"/>
        <w:tblW w:w="0" w:type="auto"/>
        <w:tblLayout w:type="fixed"/>
        <w:tblLook w:val="06A0" w:firstRow="1" w:lastRow="0" w:firstColumn="1" w:lastColumn="0" w:noHBand="1" w:noVBand="1"/>
      </w:tblPr>
      <w:tblGrid>
        <w:gridCol w:w="2254"/>
        <w:gridCol w:w="2254"/>
        <w:gridCol w:w="2254"/>
        <w:gridCol w:w="2254"/>
      </w:tblGrid>
      <w:tr w:rsidR="26234BE2" w:rsidRPr="00946B76" w14:paraId="3DB7CA10" w14:textId="77777777" w:rsidTr="26234BE2">
        <w:trPr>
          <w:trHeight w:val="990"/>
        </w:trPr>
        <w:tc>
          <w:tcPr>
            <w:tcW w:w="225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EFB5362" w14:textId="55C40FE7" w:rsidR="26234BE2" w:rsidRPr="00946B76" w:rsidRDefault="26234BE2" w:rsidP="26234BE2">
            <w:pPr>
              <w:spacing w:line="360" w:lineRule="auto"/>
              <w:rPr>
                <w:rFonts w:ascii="Arial" w:eastAsiaTheme="majorEastAsia" w:hAnsi="Arial" w:cs="Arial"/>
                <w:sz w:val="24"/>
                <w:szCs w:val="24"/>
              </w:rPr>
            </w:pPr>
            <w:r w:rsidRPr="00946B76">
              <w:rPr>
                <w:rFonts w:ascii="Arial" w:hAnsi="Arial" w:cs="Arial"/>
                <w:sz w:val="24"/>
                <w:szCs w:val="24"/>
              </w:rPr>
              <w:br/>
            </w:r>
          </w:p>
        </w:tc>
        <w:tc>
          <w:tcPr>
            <w:tcW w:w="225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658541C" w14:textId="203B57C8" w:rsidR="26234BE2" w:rsidRPr="00946B76" w:rsidRDefault="26234BE2" w:rsidP="26234BE2">
            <w:pPr>
              <w:spacing w:line="360" w:lineRule="auto"/>
              <w:rPr>
                <w:rFonts w:ascii="Arial" w:eastAsiaTheme="majorEastAsia" w:hAnsi="Arial" w:cs="Arial"/>
                <w:b/>
                <w:bCs/>
                <w:color w:val="000000" w:themeColor="text1"/>
                <w:sz w:val="24"/>
                <w:szCs w:val="24"/>
              </w:rPr>
            </w:pPr>
            <w:proofErr w:type="spellStart"/>
            <w:r w:rsidRPr="00946B76">
              <w:rPr>
                <w:rFonts w:ascii="Arial" w:eastAsiaTheme="majorEastAsia" w:hAnsi="Arial" w:cs="Arial"/>
                <w:b/>
                <w:bCs/>
                <w:color w:val="000000" w:themeColor="text1"/>
                <w:sz w:val="24"/>
                <w:szCs w:val="24"/>
              </w:rPr>
              <w:t>Care_Family</w:t>
            </w:r>
            <w:proofErr w:type="spellEnd"/>
          </w:p>
        </w:tc>
        <w:tc>
          <w:tcPr>
            <w:tcW w:w="225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851851E" w14:textId="111440B0" w:rsidR="26234BE2" w:rsidRPr="00946B76" w:rsidRDefault="26234BE2" w:rsidP="26234BE2">
            <w:pPr>
              <w:spacing w:line="360" w:lineRule="auto"/>
              <w:rPr>
                <w:rFonts w:ascii="Arial" w:eastAsiaTheme="majorEastAsia" w:hAnsi="Arial" w:cs="Arial"/>
                <w:b/>
                <w:bCs/>
                <w:color w:val="000000" w:themeColor="text1"/>
                <w:sz w:val="24"/>
                <w:szCs w:val="24"/>
              </w:rPr>
            </w:pPr>
            <w:proofErr w:type="spellStart"/>
            <w:r w:rsidRPr="00946B76">
              <w:rPr>
                <w:rFonts w:ascii="Arial" w:eastAsiaTheme="majorEastAsia" w:hAnsi="Arial" w:cs="Arial"/>
                <w:b/>
                <w:bCs/>
                <w:color w:val="000000" w:themeColor="text1"/>
                <w:sz w:val="24"/>
                <w:szCs w:val="24"/>
              </w:rPr>
              <w:t>Care_Friends</w:t>
            </w:r>
            <w:proofErr w:type="spellEnd"/>
          </w:p>
        </w:tc>
        <w:tc>
          <w:tcPr>
            <w:tcW w:w="225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E7AC9D7" w14:textId="1A1FD902" w:rsidR="26234BE2" w:rsidRPr="00946B76" w:rsidRDefault="26234BE2" w:rsidP="26234BE2">
            <w:pPr>
              <w:spacing w:line="360" w:lineRule="auto"/>
              <w:rPr>
                <w:rFonts w:ascii="Arial" w:eastAsiaTheme="majorEastAsia" w:hAnsi="Arial" w:cs="Arial"/>
                <w:b/>
                <w:bCs/>
                <w:color w:val="000000" w:themeColor="text1"/>
                <w:sz w:val="24"/>
                <w:szCs w:val="24"/>
              </w:rPr>
            </w:pPr>
            <w:proofErr w:type="spellStart"/>
            <w:r w:rsidRPr="00946B76">
              <w:rPr>
                <w:rFonts w:ascii="Arial" w:eastAsiaTheme="majorEastAsia" w:hAnsi="Arial" w:cs="Arial"/>
                <w:b/>
                <w:bCs/>
                <w:color w:val="000000" w:themeColor="text1"/>
                <w:sz w:val="24"/>
                <w:szCs w:val="24"/>
              </w:rPr>
              <w:t>Care_Others</w:t>
            </w:r>
            <w:proofErr w:type="spellEnd"/>
          </w:p>
        </w:tc>
      </w:tr>
      <w:tr w:rsidR="26234BE2" w:rsidRPr="00946B76" w14:paraId="0DB05FEC" w14:textId="77777777" w:rsidTr="26234BE2">
        <w:trPr>
          <w:trHeight w:val="300"/>
        </w:trPr>
        <w:tc>
          <w:tcPr>
            <w:tcW w:w="225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00CEA17" w14:textId="3C2EBFC9" w:rsidR="26234BE2" w:rsidRPr="00946B76" w:rsidRDefault="26234BE2" w:rsidP="26234BE2">
            <w:pPr>
              <w:spacing w:line="360" w:lineRule="auto"/>
              <w:rPr>
                <w:rFonts w:ascii="Arial" w:eastAsiaTheme="majorEastAsia" w:hAnsi="Arial" w:cs="Arial"/>
                <w:b/>
                <w:bCs/>
                <w:color w:val="000000" w:themeColor="text1"/>
                <w:sz w:val="24"/>
                <w:szCs w:val="24"/>
              </w:rPr>
            </w:pPr>
            <w:r w:rsidRPr="00946B76">
              <w:rPr>
                <w:rFonts w:ascii="Arial" w:eastAsiaTheme="majorEastAsia" w:hAnsi="Arial" w:cs="Arial"/>
                <w:b/>
                <w:bCs/>
                <w:color w:val="000000" w:themeColor="text1"/>
                <w:sz w:val="24"/>
                <w:szCs w:val="24"/>
              </w:rPr>
              <w:t>Accuracy</w:t>
            </w:r>
          </w:p>
        </w:tc>
        <w:tc>
          <w:tcPr>
            <w:tcW w:w="225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AF4E981" w14:textId="7F988665" w:rsidR="26234BE2" w:rsidRPr="00946B76" w:rsidRDefault="26234BE2" w:rsidP="26234BE2">
            <w:pPr>
              <w:spacing w:line="360" w:lineRule="auto"/>
              <w:rPr>
                <w:rFonts w:ascii="Arial" w:eastAsiaTheme="majorEastAsia" w:hAnsi="Arial" w:cs="Arial"/>
                <w:color w:val="000000" w:themeColor="text1"/>
                <w:sz w:val="24"/>
                <w:szCs w:val="24"/>
              </w:rPr>
            </w:pPr>
            <w:r w:rsidRPr="00946B76">
              <w:rPr>
                <w:rFonts w:ascii="Arial" w:eastAsiaTheme="majorEastAsia" w:hAnsi="Arial" w:cs="Arial"/>
                <w:color w:val="000000" w:themeColor="text1"/>
                <w:sz w:val="24"/>
                <w:szCs w:val="24"/>
              </w:rPr>
              <w:t>0.78</w:t>
            </w:r>
          </w:p>
        </w:tc>
        <w:tc>
          <w:tcPr>
            <w:tcW w:w="225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8B5F998" w14:textId="051934A1" w:rsidR="26234BE2" w:rsidRPr="00946B76" w:rsidRDefault="26234BE2" w:rsidP="26234BE2">
            <w:pPr>
              <w:spacing w:line="360" w:lineRule="auto"/>
              <w:rPr>
                <w:rFonts w:ascii="Arial" w:eastAsiaTheme="majorEastAsia" w:hAnsi="Arial" w:cs="Arial"/>
                <w:color w:val="000000" w:themeColor="text1"/>
                <w:sz w:val="24"/>
                <w:szCs w:val="24"/>
              </w:rPr>
            </w:pPr>
            <w:r w:rsidRPr="00946B76">
              <w:rPr>
                <w:rFonts w:ascii="Arial" w:eastAsiaTheme="majorEastAsia" w:hAnsi="Arial" w:cs="Arial"/>
                <w:color w:val="000000" w:themeColor="text1"/>
                <w:sz w:val="24"/>
                <w:szCs w:val="24"/>
              </w:rPr>
              <w:t>0.90</w:t>
            </w:r>
          </w:p>
        </w:tc>
        <w:tc>
          <w:tcPr>
            <w:tcW w:w="225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C10F332" w14:textId="603E3D85" w:rsidR="26234BE2" w:rsidRPr="00946B76" w:rsidRDefault="26234BE2" w:rsidP="26234BE2">
            <w:pPr>
              <w:spacing w:line="360" w:lineRule="auto"/>
              <w:rPr>
                <w:rFonts w:ascii="Arial" w:eastAsiaTheme="majorEastAsia" w:hAnsi="Arial" w:cs="Arial"/>
                <w:color w:val="000000" w:themeColor="text1"/>
                <w:sz w:val="24"/>
                <w:szCs w:val="24"/>
              </w:rPr>
            </w:pPr>
            <w:r w:rsidRPr="00946B76">
              <w:rPr>
                <w:rFonts w:ascii="Arial" w:eastAsiaTheme="majorEastAsia" w:hAnsi="Arial" w:cs="Arial"/>
                <w:color w:val="000000" w:themeColor="text1"/>
                <w:sz w:val="24"/>
                <w:szCs w:val="24"/>
              </w:rPr>
              <w:t>0.87</w:t>
            </w:r>
          </w:p>
        </w:tc>
      </w:tr>
      <w:tr w:rsidR="26234BE2" w:rsidRPr="00946B76" w14:paraId="5291E725" w14:textId="77777777" w:rsidTr="26234BE2">
        <w:trPr>
          <w:trHeight w:val="300"/>
        </w:trPr>
        <w:tc>
          <w:tcPr>
            <w:tcW w:w="225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9944279" w14:textId="76B5F579" w:rsidR="26234BE2" w:rsidRPr="00946B76" w:rsidRDefault="26234BE2" w:rsidP="26234BE2">
            <w:pPr>
              <w:spacing w:line="360" w:lineRule="auto"/>
              <w:rPr>
                <w:rFonts w:ascii="Arial" w:eastAsiaTheme="majorEastAsia" w:hAnsi="Arial" w:cs="Arial"/>
                <w:b/>
                <w:bCs/>
                <w:color w:val="000000" w:themeColor="text1"/>
                <w:sz w:val="24"/>
                <w:szCs w:val="24"/>
              </w:rPr>
            </w:pPr>
            <w:r w:rsidRPr="00946B76">
              <w:rPr>
                <w:rFonts w:ascii="Arial" w:eastAsiaTheme="majorEastAsia" w:hAnsi="Arial" w:cs="Arial"/>
                <w:b/>
                <w:bCs/>
                <w:color w:val="000000" w:themeColor="text1"/>
                <w:sz w:val="24"/>
                <w:szCs w:val="24"/>
              </w:rPr>
              <w:t>Precision</w:t>
            </w:r>
          </w:p>
        </w:tc>
        <w:tc>
          <w:tcPr>
            <w:tcW w:w="225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BD674B1" w14:textId="264B4D8E" w:rsidR="26234BE2" w:rsidRPr="00946B76" w:rsidRDefault="26234BE2" w:rsidP="26234BE2">
            <w:pPr>
              <w:spacing w:line="360" w:lineRule="auto"/>
              <w:rPr>
                <w:rFonts w:ascii="Arial" w:eastAsiaTheme="majorEastAsia" w:hAnsi="Arial" w:cs="Arial"/>
                <w:color w:val="000000" w:themeColor="text1"/>
                <w:sz w:val="24"/>
                <w:szCs w:val="24"/>
              </w:rPr>
            </w:pPr>
            <w:r w:rsidRPr="00946B76">
              <w:rPr>
                <w:rFonts w:ascii="Arial" w:eastAsiaTheme="majorEastAsia" w:hAnsi="Arial" w:cs="Arial"/>
                <w:color w:val="000000" w:themeColor="text1"/>
                <w:sz w:val="24"/>
                <w:szCs w:val="24"/>
              </w:rPr>
              <w:t>0.71</w:t>
            </w:r>
          </w:p>
        </w:tc>
        <w:tc>
          <w:tcPr>
            <w:tcW w:w="225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A44E8DC" w14:textId="74708AD1" w:rsidR="26234BE2" w:rsidRPr="00946B76" w:rsidRDefault="26234BE2" w:rsidP="26234BE2">
            <w:pPr>
              <w:spacing w:line="360" w:lineRule="auto"/>
              <w:rPr>
                <w:rFonts w:ascii="Arial" w:eastAsiaTheme="majorEastAsia" w:hAnsi="Arial" w:cs="Arial"/>
                <w:color w:val="000000" w:themeColor="text1"/>
                <w:sz w:val="24"/>
                <w:szCs w:val="24"/>
              </w:rPr>
            </w:pPr>
            <w:r w:rsidRPr="00946B76">
              <w:rPr>
                <w:rFonts w:ascii="Arial" w:eastAsiaTheme="majorEastAsia" w:hAnsi="Arial" w:cs="Arial"/>
                <w:color w:val="000000" w:themeColor="text1"/>
                <w:sz w:val="24"/>
                <w:szCs w:val="24"/>
              </w:rPr>
              <w:t>0.92</w:t>
            </w:r>
          </w:p>
        </w:tc>
        <w:tc>
          <w:tcPr>
            <w:tcW w:w="225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0BB26EF" w14:textId="3E38CBC0" w:rsidR="26234BE2" w:rsidRPr="00946B76" w:rsidRDefault="26234BE2" w:rsidP="26234BE2">
            <w:pPr>
              <w:spacing w:line="360" w:lineRule="auto"/>
              <w:rPr>
                <w:rFonts w:ascii="Arial" w:eastAsiaTheme="majorEastAsia" w:hAnsi="Arial" w:cs="Arial"/>
                <w:color w:val="000000" w:themeColor="text1"/>
                <w:sz w:val="24"/>
                <w:szCs w:val="24"/>
              </w:rPr>
            </w:pPr>
            <w:r w:rsidRPr="00946B76">
              <w:rPr>
                <w:rFonts w:ascii="Arial" w:eastAsiaTheme="majorEastAsia" w:hAnsi="Arial" w:cs="Arial"/>
                <w:color w:val="000000" w:themeColor="text1"/>
                <w:sz w:val="24"/>
                <w:szCs w:val="24"/>
              </w:rPr>
              <w:t>0.91</w:t>
            </w:r>
          </w:p>
        </w:tc>
      </w:tr>
      <w:tr w:rsidR="26234BE2" w:rsidRPr="00946B76" w14:paraId="16F705FD" w14:textId="77777777" w:rsidTr="26234BE2">
        <w:trPr>
          <w:trHeight w:val="300"/>
        </w:trPr>
        <w:tc>
          <w:tcPr>
            <w:tcW w:w="225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80F00EE" w14:textId="5DA37E30" w:rsidR="26234BE2" w:rsidRPr="00946B76" w:rsidRDefault="26234BE2" w:rsidP="26234BE2">
            <w:pPr>
              <w:spacing w:line="360" w:lineRule="auto"/>
              <w:rPr>
                <w:rFonts w:ascii="Arial" w:eastAsiaTheme="majorEastAsia" w:hAnsi="Arial" w:cs="Arial"/>
                <w:b/>
                <w:bCs/>
                <w:color w:val="000000" w:themeColor="text1"/>
                <w:sz w:val="24"/>
                <w:szCs w:val="24"/>
              </w:rPr>
            </w:pPr>
            <w:r w:rsidRPr="00946B76">
              <w:rPr>
                <w:rFonts w:ascii="Arial" w:eastAsiaTheme="majorEastAsia" w:hAnsi="Arial" w:cs="Arial"/>
                <w:b/>
                <w:bCs/>
                <w:color w:val="000000" w:themeColor="text1"/>
                <w:sz w:val="24"/>
                <w:szCs w:val="24"/>
              </w:rPr>
              <w:t>Recall</w:t>
            </w:r>
          </w:p>
        </w:tc>
        <w:tc>
          <w:tcPr>
            <w:tcW w:w="225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E06AC2B" w14:textId="24D2ACB2" w:rsidR="26234BE2" w:rsidRPr="00946B76" w:rsidRDefault="26234BE2" w:rsidP="26234BE2">
            <w:pPr>
              <w:spacing w:line="360" w:lineRule="auto"/>
              <w:rPr>
                <w:rFonts w:ascii="Arial" w:eastAsiaTheme="majorEastAsia" w:hAnsi="Arial" w:cs="Arial"/>
                <w:color w:val="000000" w:themeColor="text1"/>
                <w:sz w:val="24"/>
                <w:szCs w:val="24"/>
              </w:rPr>
            </w:pPr>
            <w:r w:rsidRPr="00946B76">
              <w:rPr>
                <w:rFonts w:ascii="Arial" w:eastAsiaTheme="majorEastAsia" w:hAnsi="Arial" w:cs="Arial"/>
                <w:color w:val="000000" w:themeColor="text1"/>
                <w:sz w:val="24"/>
                <w:szCs w:val="24"/>
              </w:rPr>
              <w:t>0.70</w:t>
            </w:r>
          </w:p>
        </w:tc>
        <w:tc>
          <w:tcPr>
            <w:tcW w:w="225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26B7AF2" w14:textId="41F4B503" w:rsidR="26234BE2" w:rsidRPr="00946B76" w:rsidRDefault="26234BE2" w:rsidP="26234BE2">
            <w:pPr>
              <w:spacing w:line="360" w:lineRule="auto"/>
              <w:rPr>
                <w:rFonts w:ascii="Arial" w:eastAsiaTheme="majorEastAsia" w:hAnsi="Arial" w:cs="Arial"/>
                <w:color w:val="000000" w:themeColor="text1"/>
                <w:sz w:val="24"/>
                <w:szCs w:val="24"/>
              </w:rPr>
            </w:pPr>
            <w:r w:rsidRPr="00946B76">
              <w:rPr>
                <w:rFonts w:ascii="Arial" w:eastAsiaTheme="majorEastAsia" w:hAnsi="Arial" w:cs="Arial"/>
                <w:color w:val="000000" w:themeColor="text1"/>
                <w:sz w:val="24"/>
                <w:szCs w:val="24"/>
              </w:rPr>
              <w:t>0.95</w:t>
            </w:r>
          </w:p>
        </w:tc>
        <w:tc>
          <w:tcPr>
            <w:tcW w:w="225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A6A4353" w14:textId="7A44B2BF" w:rsidR="26234BE2" w:rsidRPr="00946B76" w:rsidRDefault="26234BE2" w:rsidP="26234BE2">
            <w:pPr>
              <w:spacing w:line="360" w:lineRule="auto"/>
              <w:rPr>
                <w:rFonts w:ascii="Arial" w:eastAsiaTheme="majorEastAsia" w:hAnsi="Arial" w:cs="Arial"/>
                <w:color w:val="000000" w:themeColor="text1"/>
                <w:sz w:val="24"/>
                <w:szCs w:val="24"/>
              </w:rPr>
            </w:pPr>
            <w:r w:rsidRPr="00946B76">
              <w:rPr>
                <w:rFonts w:ascii="Arial" w:eastAsiaTheme="majorEastAsia" w:hAnsi="Arial" w:cs="Arial"/>
                <w:color w:val="000000" w:themeColor="text1"/>
                <w:sz w:val="24"/>
                <w:szCs w:val="24"/>
              </w:rPr>
              <w:t>0.93</w:t>
            </w:r>
          </w:p>
        </w:tc>
      </w:tr>
      <w:tr w:rsidR="26234BE2" w:rsidRPr="00946B76" w14:paraId="02CD388E" w14:textId="77777777" w:rsidTr="26234BE2">
        <w:trPr>
          <w:trHeight w:val="300"/>
        </w:trPr>
        <w:tc>
          <w:tcPr>
            <w:tcW w:w="225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A4AFDB0" w14:textId="67774A9B" w:rsidR="26234BE2" w:rsidRPr="00946B76" w:rsidRDefault="26234BE2" w:rsidP="26234BE2">
            <w:pPr>
              <w:spacing w:line="360" w:lineRule="auto"/>
              <w:rPr>
                <w:rFonts w:ascii="Arial" w:eastAsiaTheme="majorEastAsia" w:hAnsi="Arial" w:cs="Arial"/>
                <w:b/>
                <w:bCs/>
                <w:color w:val="000000" w:themeColor="text1"/>
                <w:sz w:val="24"/>
                <w:szCs w:val="24"/>
              </w:rPr>
            </w:pPr>
            <w:proofErr w:type="spellStart"/>
            <w:r w:rsidRPr="00946B76">
              <w:rPr>
                <w:rFonts w:ascii="Arial" w:eastAsiaTheme="majorEastAsia" w:hAnsi="Arial" w:cs="Arial"/>
                <w:b/>
                <w:bCs/>
                <w:color w:val="000000" w:themeColor="text1"/>
                <w:sz w:val="24"/>
                <w:szCs w:val="24"/>
              </w:rPr>
              <w:t>F_meas</w:t>
            </w:r>
            <w:proofErr w:type="spellEnd"/>
          </w:p>
        </w:tc>
        <w:tc>
          <w:tcPr>
            <w:tcW w:w="225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5138864" w14:textId="47874253" w:rsidR="26234BE2" w:rsidRPr="00946B76" w:rsidRDefault="26234BE2" w:rsidP="26234BE2">
            <w:pPr>
              <w:spacing w:line="360" w:lineRule="auto"/>
              <w:rPr>
                <w:rFonts w:ascii="Arial" w:eastAsiaTheme="majorEastAsia" w:hAnsi="Arial" w:cs="Arial"/>
                <w:color w:val="000000" w:themeColor="text1"/>
                <w:sz w:val="24"/>
                <w:szCs w:val="24"/>
              </w:rPr>
            </w:pPr>
            <w:r w:rsidRPr="00946B76">
              <w:rPr>
                <w:rFonts w:ascii="Arial" w:eastAsiaTheme="majorEastAsia" w:hAnsi="Arial" w:cs="Arial"/>
                <w:color w:val="000000" w:themeColor="text1"/>
                <w:sz w:val="24"/>
                <w:szCs w:val="24"/>
              </w:rPr>
              <w:t>0.71</w:t>
            </w:r>
          </w:p>
        </w:tc>
        <w:tc>
          <w:tcPr>
            <w:tcW w:w="225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D80EB82" w14:textId="4CED0D78" w:rsidR="26234BE2" w:rsidRPr="00946B76" w:rsidRDefault="26234BE2" w:rsidP="26234BE2">
            <w:pPr>
              <w:spacing w:line="360" w:lineRule="auto"/>
              <w:rPr>
                <w:rFonts w:ascii="Arial" w:eastAsiaTheme="majorEastAsia" w:hAnsi="Arial" w:cs="Arial"/>
                <w:color w:val="000000" w:themeColor="text1"/>
                <w:sz w:val="24"/>
                <w:szCs w:val="24"/>
              </w:rPr>
            </w:pPr>
            <w:r w:rsidRPr="00946B76">
              <w:rPr>
                <w:rFonts w:ascii="Arial" w:eastAsiaTheme="majorEastAsia" w:hAnsi="Arial" w:cs="Arial"/>
                <w:color w:val="000000" w:themeColor="text1"/>
                <w:sz w:val="24"/>
                <w:szCs w:val="24"/>
              </w:rPr>
              <w:t>0.93</w:t>
            </w:r>
          </w:p>
        </w:tc>
        <w:tc>
          <w:tcPr>
            <w:tcW w:w="225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A914D81" w14:textId="50D558C0" w:rsidR="26234BE2" w:rsidRPr="00946B76" w:rsidRDefault="26234BE2" w:rsidP="26234BE2">
            <w:pPr>
              <w:spacing w:line="360" w:lineRule="auto"/>
              <w:rPr>
                <w:rFonts w:ascii="Arial" w:eastAsiaTheme="majorEastAsia" w:hAnsi="Arial" w:cs="Arial"/>
                <w:color w:val="000000" w:themeColor="text1"/>
                <w:sz w:val="24"/>
                <w:szCs w:val="24"/>
              </w:rPr>
            </w:pPr>
            <w:r w:rsidRPr="00946B76">
              <w:rPr>
                <w:rFonts w:ascii="Arial" w:eastAsiaTheme="majorEastAsia" w:hAnsi="Arial" w:cs="Arial"/>
                <w:color w:val="000000" w:themeColor="text1"/>
                <w:sz w:val="24"/>
                <w:szCs w:val="24"/>
              </w:rPr>
              <w:t>0.92</w:t>
            </w:r>
          </w:p>
        </w:tc>
      </w:tr>
    </w:tbl>
    <w:p w14:paraId="3FB67130" w14:textId="6710E18F" w:rsidR="3F0D2D2A" w:rsidRPr="00946B76" w:rsidRDefault="3F0D2D2A" w:rsidP="26234BE2">
      <w:pPr>
        <w:spacing w:line="360" w:lineRule="auto"/>
        <w:jc w:val="center"/>
        <w:rPr>
          <w:rFonts w:ascii="Arial" w:eastAsiaTheme="majorEastAsia" w:hAnsi="Arial" w:cs="Arial"/>
          <w:color w:val="000000" w:themeColor="text1"/>
          <w:sz w:val="24"/>
          <w:szCs w:val="24"/>
        </w:rPr>
      </w:pPr>
      <w:r w:rsidRPr="00946B76">
        <w:rPr>
          <w:rFonts w:ascii="Arial" w:eastAsiaTheme="majorEastAsia" w:hAnsi="Arial" w:cs="Arial"/>
          <w:color w:val="000000" w:themeColor="text1"/>
          <w:sz w:val="24"/>
          <w:szCs w:val="24"/>
        </w:rPr>
        <w:t>Table 8: Metrics SVM Model</w:t>
      </w:r>
    </w:p>
    <w:p w14:paraId="464F57B8" w14:textId="34AEB94C" w:rsidR="26234BE2" w:rsidRPr="00946B76" w:rsidRDefault="26234BE2" w:rsidP="26234BE2">
      <w:pPr>
        <w:spacing w:line="360" w:lineRule="auto"/>
        <w:jc w:val="center"/>
        <w:rPr>
          <w:rFonts w:ascii="Arial" w:eastAsiaTheme="majorEastAsia" w:hAnsi="Arial" w:cs="Arial"/>
          <w:color w:val="000000" w:themeColor="text1"/>
          <w:sz w:val="24"/>
          <w:szCs w:val="24"/>
        </w:rPr>
      </w:pPr>
    </w:p>
    <w:tbl>
      <w:tblPr>
        <w:tblStyle w:val="TableGrid"/>
        <w:tblW w:w="0" w:type="auto"/>
        <w:tblLayout w:type="fixed"/>
        <w:tblLook w:val="06A0" w:firstRow="1" w:lastRow="0" w:firstColumn="1" w:lastColumn="0" w:noHBand="1" w:noVBand="1"/>
      </w:tblPr>
      <w:tblGrid>
        <w:gridCol w:w="1288"/>
        <w:gridCol w:w="1288"/>
        <w:gridCol w:w="1288"/>
        <w:gridCol w:w="1288"/>
        <w:gridCol w:w="1288"/>
        <w:gridCol w:w="1288"/>
        <w:gridCol w:w="1288"/>
      </w:tblGrid>
      <w:tr w:rsidR="26234BE2" w:rsidRPr="00946B76" w14:paraId="42DCC4B2" w14:textId="77777777" w:rsidTr="26234BE2">
        <w:trPr>
          <w:trHeight w:val="450"/>
        </w:trPr>
        <w:tc>
          <w:tcPr>
            <w:tcW w:w="1288" w:type="dxa"/>
            <w:tcBorders>
              <w:top w:val="single" w:sz="8" w:space="0" w:color="000000" w:themeColor="text1"/>
            </w:tcBorders>
            <w:tcMar>
              <w:top w:w="20" w:type="dxa"/>
              <w:left w:w="20" w:type="dxa"/>
              <w:bottom w:w="20" w:type="dxa"/>
              <w:right w:w="20" w:type="dxa"/>
            </w:tcMar>
          </w:tcPr>
          <w:p w14:paraId="3855FA94" w14:textId="23662FDC" w:rsidR="26234BE2" w:rsidRPr="00946B76" w:rsidRDefault="26234BE2" w:rsidP="26234BE2">
            <w:pPr>
              <w:spacing w:line="360" w:lineRule="auto"/>
              <w:jc w:val="center"/>
              <w:rPr>
                <w:rFonts w:ascii="Arial" w:eastAsiaTheme="majorEastAsia" w:hAnsi="Arial" w:cs="Arial"/>
                <w:i/>
                <w:iCs/>
                <w:color w:val="000000" w:themeColor="text1"/>
                <w:sz w:val="24"/>
                <w:szCs w:val="24"/>
              </w:rPr>
            </w:pPr>
            <w:r w:rsidRPr="00946B76">
              <w:rPr>
                <w:rFonts w:ascii="Arial" w:eastAsiaTheme="majorEastAsia" w:hAnsi="Arial" w:cs="Arial"/>
                <w:i/>
                <w:iCs/>
                <w:color w:val="000000" w:themeColor="text1"/>
                <w:sz w:val="24"/>
                <w:szCs w:val="24"/>
              </w:rPr>
              <w:t xml:space="preserve"> </w:t>
            </w:r>
          </w:p>
        </w:tc>
        <w:tc>
          <w:tcPr>
            <w:tcW w:w="2576" w:type="dxa"/>
            <w:gridSpan w:val="2"/>
            <w:tcBorders>
              <w:top w:val="single" w:sz="8" w:space="0" w:color="000000" w:themeColor="text1"/>
              <w:bottom w:val="single" w:sz="8" w:space="0" w:color="000000" w:themeColor="text1"/>
            </w:tcBorders>
            <w:tcMar>
              <w:top w:w="100" w:type="dxa"/>
              <w:left w:w="100" w:type="dxa"/>
              <w:bottom w:w="100" w:type="dxa"/>
              <w:right w:w="100" w:type="dxa"/>
            </w:tcMar>
          </w:tcPr>
          <w:p w14:paraId="069970FE" w14:textId="7F4069D9" w:rsidR="26234BE2" w:rsidRPr="00946B76" w:rsidRDefault="26234BE2" w:rsidP="26234BE2">
            <w:pPr>
              <w:spacing w:line="360" w:lineRule="auto"/>
              <w:jc w:val="center"/>
              <w:rPr>
                <w:rFonts w:ascii="Arial" w:eastAsiaTheme="majorEastAsia" w:hAnsi="Arial" w:cs="Arial"/>
                <w:i/>
                <w:iCs/>
                <w:color w:val="000000" w:themeColor="text1"/>
                <w:sz w:val="24"/>
                <w:szCs w:val="24"/>
              </w:rPr>
            </w:pPr>
            <w:proofErr w:type="spellStart"/>
            <w:r w:rsidRPr="00946B76">
              <w:rPr>
                <w:rFonts w:ascii="Arial" w:eastAsiaTheme="majorEastAsia" w:hAnsi="Arial" w:cs="Arial"/>
                <w:i/>
                <w:iCs/>
                <w:color w:val="000000" w:themeColor="text1"/>
                <w:sz w:val="24"/>
                <w:szCs w:val="24"/>
              </w:rPr>
              <w:t>Care_Family</w:t>
            </w:r>
            <w:proofErr w:type="spellEnd"/>
          </w:p>
        </w:tc>
        <w:tc>
          <w:tcPr>
            <w:tcW w:w="2576" w:type="dxa"/>
            <w:gridSpan w:val="2"/>
            <w:tcBorders>
              <w:top w:val="single" w:sz="8" w:space="0" w:color="000000" w:themeColor="text1"/>
              <w:bottom w:val="single" w:sz="8" w:space="0" w:color="000000" w:themeColor="text1"/>
            </w:tcBorders>
            <w:tcMar>
              <w:top w:w="100" w:type="dxa"/>
              <w:left w:w="100" w:type="dxa"/>
              <w:bottom w:w="100" w:type="dxa"/>
              <w:right w:w="100" w:type="dxa"/>
            </w:tcMar>
          </w:tcPr>
          <w:p w14:paraId="2F657A1B" w14:textId="2915F3B9" w:rsidR="26234BE2" w:rsidRPr="00946B76" w:rsidRDefault="26234BE2" w:rsidP="26234BE2">
            <w:pPr>
              <w:spacing w:line="360" w:lineRule="auto"/>
              <w:jc w:val="center"/>
              <w:rPr>
                <w:rFonts w:ascii="Arial" w:eastAsiaTheme="majorEastAsia" w:hAnsi="Arial" w:cs="Arial"/>
                <w:i/>
                <w:iCs/>
                <w:color w:val="000000" w:themeColor="text1"/>
                <w:sz w:val="24"/>
                <w:szCs w:val="24"/>
              </w:rPr>
            </w:pPr>
            <w:proofErr w:type="spellStart"/>
            <w:r w:rsidRPr="00946B76">
              <w:rPr>
                <w:rFonts w:ascii="Arial" w:eastAsiaTheme="majorEastAsia" w:hAnsi="Arial" w:cs="Arial"/>
                <w:i/>
                <w:iCs/>
                <w:color w:val="000000" w:themeColor="text1"/>
                <w:sz w:val="24"/>
                <w:szCs w:val="24"/>
              </w:rPr>
              <w:t>Care_Friends</w:t>
            </w:r>
            <w:proofErr w:type="spellEnd"/>
          </w:p>
        </w:tc>
        <w:tc>
          <w:tcPr>
            <w:tcW w:w="2576" w:type="dxa"/>
            <w:gridSpan w:val="2"/>
            <w:tcBorders>
              <w:top w:val="single" w:sz="8" w:space="0" w:color="000000" w:themeColor="text1"/>
              <w:bottom w:val="single" w:sz="8" w:space="0" w:color="000000" w:themeColor="text1"/>
            </w:tcBorders>
            <w:tcMar>
              <w:top w:w="100" w:type="dxa"/>
              <w:left w:w="100" w:type="dxa"/>
              <w:bottom w:w="100" w:type="dxa"/>
              <w:right w:w="100" w:type="dxa"/>
            </w:tcMar>
          </w:tcPr>
          <w:p w14:paraId="63C522C2" w14:textId="6F094A1C" w:rsidR="26234BE2" w:rsidRPr="00946B76" w:rsidRDefault="26234BE2" w:rsidP="26234BE2">
            <w:pPr>
              <w:spacing w:line="360" w:lineRule="auto"/>
              <w:jc w:val="center"/>
              <w:rPr>
                <w:rFonts w:ascii="Arial" w:eastAsiaTheme="majorEastAsia" w:hAnsi="Arial" w:cs="Arial"/>
                <w:i/>
                <w:iCs/>
                <w:color w:val="000000" w:themeColor="text1"/>
                <w:sz w:val="24"/>
                <w:szCs w:val="24"/>
              </w:rPr>
            </w:pPr>
            <w:proofErr w:type="spellStart"/>
            <w:r w:rsidRPr="00946B76">
              <w:rPr>
                <w:rFonts w:ascii="Arial" w:eastAsiaTheme="majorEastAsia" w:hAnsi="Arial" w:cs="Arial"/>
                <w:i/>
                <w:iCs/>
                <w:color w:val="000000" w:themeColor="text1"/>
                <w:sz w:val="24"/>
                <w:szCs w:val="24"/>
              </w:rPr>
              <w:t>Care_Others</w:t>
            </w:r>
            <w:proofErr w:type="spellEnd"/>
          </w:p>
        </w:tc>
      </w:tr>
      <w:tr w:rsidR="26234BE2" w:rsidRPr="00946B76" w14:paraId="6A432D77" w14:textId="77777777" w:rsidTr="26234BE2">
        <w:trPr>
          <w:trHeight w:val="450"/>
        </w:trPr>
        <w:tc>
          <w:tcPr>
            <w:tcW w:w="1288" w:type="dxa"/>
            <w:tcMar>
              <w:top w:w="20" w:type="dxa"/>
              <w:left w:w="20" w:type="dxa"/>
              <w:bottom w:w="20" w:type="dxa"/>
              <w:right w:w="20" w:type="dxa"/>
            </w:tcMar>
          </w:tcPr>
          <w:p w14:paraId="3A176E39" w14:textId="408062A1" w:rsidR="26234BE2" w:rsidRPr="00946B76" w:rsidRDefault="26234BE2" w:rsidP="26234BE2">
            <w:pPr>
              <w:spacing w:line="360" w:lineRule="auto"/>
              <w:rPr>
                <w:rFonts w:ascii="Arial" w:eastAsiaTheme="majorEastAsia" w:hAnsi="Arial" w:cs="Arial"/>
                <w:b/>
                <w:bCs/>
                <w:color w:val="000000" w:themeColor="text1"/>
                <w:sz w:val="24"/>
                <w:szCs w:val="24"/>
              </w:rPr>
            </w:pPr>
            <w:r w:rsidRPr="00946B76">
              <w:rPr>
                <w:rFonts w:ascii="Arial" w:eastAsiaTheme="majorEastAsia" w:hAnsi="Arial" w:cs="Arial"/>
                <w:b/>
                <w:bCs/>
                <w:color w:val="000000" w:themeColor="text1"/>
                <w:sz w:val="24"/>
                <w:szCs w:val="24"/>
              </w:rPr>
              <w:t xml:space="preserve"> </w:t>
            </w:r>
          </w:p>
        </w:tc>
        <w:tc>
          <w:tcPr>
            <w:tcW w:w="1288" w:type="dxa"/>
            <w:tcBorders>
              <w:top w:val="single" w:sz="8" w:space="0" w:color="000000" w:themeColor="text1"/>
              <w:bottom w:val="single" w:sz="8" w:space="0" w:color="000000" w:themeColor="text1"/>
            </w:tcBorders>
            <w:tcMar>
              <w:top w:w="100" w:type="dxa"/>
              <w:left w:w="100" w:type="dxa"/>
              <w:bottom w:w="100" w:type="dxa"/>
              <w:right w:w="100" w:type="dxa"/>
            </w:tcMar>
          </w:tcPr>
          <w:p w14:paraId="2C289E2A" w14:textId="216A8C79" w:rsidR="26234BE2" w:rsidRPr="00946B76" w:rsidRDefault="26234BE2" w:rsidP="26234BE2">
            <w:pPr>
              <w:spacing w:line="360" w:lineRule="auto"/>
              <w:rPr>
                <w:rFonts w:ascii="Arial" w:eastAsiaTheme="majorEastAsia" w:hAnsi="Arial" w:cs="Arial"/>
                <w:b/>
                <w:bCs/>
                <w:color w:val="000000" w:themeColor="text1"/>
                <w:sz w:val="24"/>
                <w:szCs w:val="24"/>
              </w:rPr>
            </w:pPr>
            <w:r w:rsidRPr="00946B76">
              <w:rPr>
                <w:rFonts w:ascii="Arial" w:eastAsiaTheme="majorEastAsia" w:hAnsi="Arial" w:cs="Arial"/>
                <w:b/>
                <w:bCs/>
                <w:color w:val="000000" w:themeColor="text1"/>
                <w:sz w:val="24"/>
                <w:szCs w:val="24"/>
              </w:rPr>
              <w:t>Coded 0</w:t>
            </w:r>
          </w:p>
        </w:tc>
        <w:tc>
          <w:tcPr>
            <w:tcW w:w="1288" w:type="dxa"/>
            <w:tcBorders>
              <w:top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977BD70" w14:textId="0628D07F" w:rsidR="26234BE2" w:rsidRPr="00946B76" w:rsidRDefault="26234BE2" w:rsidP="26234BE2">
            <w:pPr>
              <w:spacing w:line="360" w:lineRule="auto"/>
              <w:rPr>
                <w:rFonts w:ascii="Arial" w:eastAsiaTheme="majorEastAsia" w:hAnsi="Arial" w:cs="Arial"/>
                <w:b/>
                <w:bCs/>
                <w:color w:val="000000" w:themeColor="text1"/>
                <w:sz w:val="24"/>
                <w:szCs w:val="24"/>
              </w:rPr>
            </w:pPr>
            <w:r w:rsidRPr="00946B76">
              <w:rPr>
                <w:rFonts w:ascii="Arial" w:eastAsiaTheme="majorEastAsia" w:hAnsi="Arial" w:cs="Arial"/>
                <w:b/>
                <w:bCs/>
                <w:color w:val="000000" w:themeColor="text1"/>
                <w:sz w:val="24"/>
                <w:szCs w:val="24"/>
              </w:rPr>
              <w:t>Coded 1</w:t>
            </w:r>
          </w:p>
        </w:tc>
        <w:tc>
          <w:tcPr>
            <w:tcW w:w="1288" w:type="dxa"/>
            <w:tcBorders>
              <w:top w:val="single" w:sz="8" w:space="0" w:color="000000" w:themeColor="text1"/>
              <w:left w:val="single" w:sz="8" w:space="0" w:color="000000" w:themeColor="text1"/>
              <w:bottom w:val="single" w:sz="8" w:space="0" w:color="000000" w:themeColor="text1"/>
            </w:tcBorders>
            <w:tcMar>
              <w:top w:w="100" w:type="dxa"/>
              <w:left w:w="100" w:type="dxa"/>
              <w:bottom w:w="100" w:type="dxa"/>
              <w:right w:w="100" w:type="dxa"/>
            </w:tcMar>
          </w:tcPr>
          <w:p w14:paraId="08C4FB15" w14:textId="7ADCA51A" w:rsidR="26234BE2" w:rsidRPr="00946B76" w:rsidRDefault="26234BE2" w:rsidP="26234BE2">
            <w:pPr>
              <w:spacing w:line="360" w:lineRule="auto"/>
              <w:rPr>
                <w:rFonts w:ascii="Arial" w:eastAsiaTheme="majorEastAsia" w:hAnsi="Arial" w:cs="Arial"/>
                <w:b/>
                <w:bCs/>
                <w:color w:val="000000" w:themeColor="text1"/>
                <w:sz w:val="24"/>
                <w:szCs w:val="24"/>
              </w:rPr>
            </w:pPr>
            <w:r w:rsidRPr="00946B76">
              <w:rPr>
                <w:rFonts w:ascii="Arial" w:eastAsiaTheme="majorEastAsia" w:hAnsi="Arial" w:cs="Arial"/>
                <w:b/>
                <w:bCs/>
                <w:color w:val="000000" w:themeColor="text1"/>
                <w:sz w:val="24"/>
                <w:szCs w:val="24"/>
              </w:rPr>
              <w:t>Coded 0</w:t>
            </w:r>
          </w:p>
        </w:tc>
        <w:tc>
          <w:tcPr>
            <w:tcW w:w="1288" w:type="dxa"/>
            <w:tcBorders>
              <w:top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F5BD665" w14:textId="4B8C8772" w:rsidR="26234BE2" w:rsidRPr="00946B76" w:rsidRDefault="26234BE2" w:rsidP="26234BE2">
            <w:pPr>
              <w:spacing w:line="360" w:lineRule="auto"/>
              <w:rPr>
                <w:rFonts w:ascii="Arial" w:eastAsiaTheme="majorEastAsia" w:hAnsi="Arial" w:cs="Arial"/>
                <w:b/>
                <w:bCs/>
                <w:color w:val="000000" w:themeColor="text1"/>
                <w:sz w:val="24"/>
                <w:szCs w:val="24"/>
              </w:rPr>
            </w:pPr>
            <w:r w:rsidRPr="00946B76">
              <w:rPr>
                <w:rFonts w:ascii="Arial" w:eastAsiaTheme="majorEastAsia" w:hAnsi="Arial" w:cs="Arial"/>
                <w:b/>
                <w:bCs/>
                <w:color w:val="000000" w:themeColor="text1"/>
                <w:sz w:val="24"/>
                <w:szCs w:val="24"/>
              </w:rPr>
              <w:t>Coded 1</w:t>
            </w:r>
          </w:p>
        </w:tc>
        <w:tc>
          <w:tcPr>
            <w:tcW w:w="1288" w:type="dxa"/>
            <w:tcBorders>
              <w:top w:val="single" w:sz="8" w:space="0" w:color="000000" w:themeColor="text1"/>
              <w:left w:val="single" w:sz="8" w:space="0" w:color="000000" w:themeColor="text1"/>
              <w:bottom w:val="single" w:sz="8" w:space="0" w:color="000000" w:themeColor="text1"/>
            </w:tcBorders>
            <w:tcMar>
              <w:top w:w="100" w:type="dxa"/>
              <w:left w:w="100" w:type="dxa"/>
              <w:bottom w:w="100" w:type="dxa"/>
              <w:right w:w="100" w:type="dxa"/>
            </w:tcMar>
          </w:tcPr>
          <w:p w14:paraId="58084793" w14:textId="0A6B901B" w:rsidR="26234BE2" w:rsidRPr="00946B76" w:rsidRDefault="26234BE2" w:rsidP="26234BE2">
            <w:pPr>
              <w:spacing w:line="360" w:lineRule="auto"/>
              <w:rPr>
                <w:rFonts w:ascii="Arial" w:eastAsiaTheme="majorEastAsia" w:hAnsi="Arial" w:cs="Arial"/>
                <w:b/>
                <w:bCs/>
                <w:color w:val="000000" w:themeColor="text1"/>
                <w:sz w:val="24"/>
                <w:szCs w:val="24"/>
              </w:rPr>
            </w:pPr>
            <w:r w:rsidRPr="00946B76">
              <w:rPr>
                <w:rFonts w:ascii="Arial" w:eastAsiaTheme="majorEastAsia" w:hAnsi="Arial" w:cs="Arial"/>
                <w:b/>
                <w:bCs/>
                <w:color w:val="000000" w:themeColor="text1"/>
                <w:sz w:val="24"/>
                <w:szCs w:val="24"/>
              </w:rPr>
              <w:t>Coded 0</w:t>
            </w:r>
          </w:p>
        </w:tc>
        <w:tc>
          <w:tcPr>
            <w:tcW w:w="1288" w:type="dxa"/>
            <w:tcBorders>
              <w:top w:val="single" w:sz="8" w:space="0" w:color="000000" w:themeColor="text1"/>
              <w:bottom w:val="single" w:sz="8" w:space="0" w:color="000000" w:themeColor="text1"/>
            </w:tcBorders>
            <w:tcMar>
              <w:top w:w="100" w:type="dxa"/>
              <w:left w:w="100" w:type="dxa"/>
              <w:bottom w:w="100" w:type="dxa"/>
              <w:right w:w="100" w:type="dxa"/>
            </w:tcMar>
          </w:tcPr>
          <w:p w14:paraId="11CB5D0F" w14:textId="791F1295" w:rsidR="26234BE2" w:rsidRPr="00946B76" w:rsidRDefault="26234BE2" w:rsidP="26234BE2">
            <w:pPr>
              <w:spacing w:line="360" w:lineRule="auto"/>
              <w:rPr>
                <w:rFonts w:ascii="Arial" w:eastAsiaTheme="majorEastAsia" w:hAnsi="Arial" w:cs="Arial"/>
                <w:b/>
                <w:bCs/>
                <w:color w:val="000000" w:themeColor="text1"/>
                <w:sz w:val="24"/>
                <w:szCs w:val="24"/>
              </w:rPr>
            </w:pPr>
            <w:r w:rsidRPr="00946B76">
              <w:rPr>
                <w:rFonts w:ascii="Arial" w:eastAsiaTheme="majorEastAsia" w:hAnsi="Arial" w:cs="Arial"/>
                <w:b/>
                <w:bCs/>
                <w:color w:val="000000" w:themeColor="text1"/>
                <w:sz w:val="24"/>
                <w:szCs w:val="24"/>
              </w:rPr>
              <w:t>Coded 1</w:t>
            </w:r>
          </w:p>
        </w:tc>
      </w:tr>
      <w:tr w:rsidR="26234BE2" w:rsidRPr="00946B76" w14:paraId="36316B3D" w14:textId="77777777" w:rsidTr="26234BE2">
        <w:trPr>
          <w:trHeight w:val="435"/>
        </w:trPr>
        <w:tc>
          <w:tcPr>
            <w:tcW w:w="1288" w:type="dxa"/>
            <w:tcMar>
              <w:top w:w="20" w:type="dxa"/>
              <w:left w:w="20" w:type="dxa"/>
              <w:bottom w:w="20" w:type="dxa"/>
              <w:right w:w="20" w:type="dxa"/>
            </w:tcMar>
          </w:tcPr>
          <w:p w14:paraId="2DAE3A56" w14:textId="7B06DB4A" w:rsidR="26234BE2" w:rsidRPr="00946B76" w:rsidRDefault="26234BE2" w:rsidP="26234BE2">
            <w:pPr>
              <w:spacing w:line="360" w:lineRule="auto"/>
              <w:rPr>
                <w:rFonts w:ascii="Arial" w:eastAsiaTheme="majorEastAsia" w:hAnsi="Arial" w:cs="Arial"/>
                <w:b/>
                <w:bCs/>
                <w:color w:val="000000" w:themeColor="text1"/>
                <w:sz w:val="24"/>
                <w:szCs w:val="24"/>
              </w:rPr>
            </w:pPr>
            <w:r w:rsidRPr="00946B76">
              <w:rPr>
                <w:rFonts w:ascii="Arial" w:eastAsiaTheme="majorEastAsia" w:hAnsi="Arial" w:cs="Arial"/>
                <w:b/>
                <w:bCs/>
                <w:color w:val="000000" w:themeColor="text1"/>
                <w:sz w:val="24"/>
                <w:szCs w:val="24"/>
              </w:rPr>
              <w:t>Predicted as 0</w:t>
            </w:r>
          </w:p>
        </w:tc>
        <w:tc>
          <w:tcPr>
            <w:tcW w:w="1288" w:type="dxa"/>
            <w:tcBorders>
              <w:top w:val="single" w:sz="8" w:space="0" w:color="000000" w:themeColor="text1"/>
            </w:tcBorders>
            <w:tcMar>
              <w:top w:w="100" w:type="dxa"/>
              <w:left w:w="100" w:type="dxa"/>
              <w:bottom w:w="100" w:type="dxa"/>
              <w:right w:w="100" w:type="dxa"/>
            </w:tcMar>
          </w:tcPr>
          <w:p w14:paraId="48C0A6F2" w14:textId="4A72CF4D" w:rsidR="26234BE2" w:rsidRPr="00946B76" w:rsidRDefault="26234BE2" w:rsidP="26234BE2">
            <w:pPr>
              <w:spacing w:line="360" w:lineRule="auto"/>
              <w:rPr>
                <w:rFonts w:ascii="Arial" w:eastAsiaTheme="majorEastAsia" w:hAnsi="Arial" w:cs="Arial"/>
                <w:color w:val="000000" w:themeColor="text1"/>
                <w:sz w:val="24"/>
                <w:szCs w:val="24"/>
              </w:rPr>
            </w:pPr>
            <w:r w:rsidRPr="00946B76">
              <w:rPr>
                <w:rFonts w:ascii="Arial" w:eastAsiaTheme="majorEastAsia" w:hAnsi="Arial" w:cs="Arial"/>
                <w:color w:val="000000" w:themeColor="text1"/>
                <w:sz w:val="24"/>
                <w:szCs w:val="24"/>
              </w:rPr>
              <w:t>69</w:t>
            </w:r>
          </w:p>
        </w:tc>
        <w:tc>
          <w:tcPr>
            <w:tcW w:w="1288" w:type="dxa"/>
            <w:tcBorders>
              <w:top w:val="single" w:sz="8" w:space="0" w:color="000000" w:themeColor="text1"/>
              <w:right w:val="single" w:sz="8" w:space="0" w:color="000000" w:themeColor="text1"/>
            </w:tcBorders>
            <w:tcMar>
              <w:top w:w="100" w:type="dxa"/>
              <w:left w:w="100" w:type="dxa"/>
              <w:bottom w:w="100" w:type="dxa"/>
              <w:right w:w="100" w:type="dxa"/>
            </w:tcMar>
          </w:tcPr>
          <w:p w14:paraId="601731A1" w14:textId="0417134B" w:rsidR="26234BE2" w:rsidRPr="00946B76" w:rsidRDefault="26234BE2" w:rsidP="26234BE2">
            <w:pPr>
              <w:spacing w:line="360" w:lineRule="auto"/>
              <w:rPr>
                <w:rFonts w:ascii="Arial" w:eastAsiaTheme="majorEastAsia" w:hAnsi="Arial" w:cs="Arial"/>
                <w:color w:val="000000" w:themeColor="text1"/>
                <w:sz w:val="24"/>
                <w:szCs w:val="24"/>
              </w:rPr>
            </w:pPr>
            <w:r w:rsidRPr="00946B76">
              <w:rPr>
                <w:rFonts w:ascii="Arial" w:eastAsiaTheme="majorEastAsia" w:hAnsi="Arial" w:cs="Arial"/>
                <w:color w:val="000000" w:themeColor="text1"/>
                <w:sz w:val="24"/>
                <w:szCs w:val="24"/>
              </w:rPr>
              <w:t>28</w:t>
            </w:r>
          </w:p>
        </w:tc>
        <w:tc>
          <w:tcPr>
            <w:tcW w:w="1288" w:type="dxa"/>
            <w:tcBorders>
              <w:top w:val="single" w:sz="8" w:space="0" w:color="000000" w:themeColor="text1"/>
              <w:left w:val="single" w:sz="8" w:space="0" w:color="000000" w:themeColor="text1"/>
            </w:tcBorders>
            <w:tcMar>
              <w:top w:w="100" w:type="dxa"/>
              <w:left w:w="100" w:type="dxa"/>
              <w:bottom w:w="100" w:type="dxa"/>
              <w:right w:w="100" w:type="dxa"/>
            </w:tcMar>
          </w:tcPr>
          <w:p w14:paraId="037B8983" w14:textId="309CFC25" w:rsidR="26234BE2" w:rsidRPr="00946B76" w:rsidRDefault="26234BE2" w:rsidP="26234BE2">
            <w:pPr>
              <w:spacing w:line="360" w:lineRule="auto"/>
              <w:rPr>
                <w:rFonts w:ascii="Arial" w:eastAsiaTheme="majorEastAsia" w:hAnsi="Arial" w:cs="Arial"/>
                <w:color w:val="000000" w:themeColor="text1"/>
                <w:sz w:val="24"/>
                <w:szCs w:val="24"/>
              </w:rPr>
            </w:pPr>
            <w:r w:rsidRPr="00946B76">
              <w:rPr>
                <w:rFonts w:ascii="Arial" w:eastAsiaTheme="majorEastAsia" w:hAnsi="Arial" w:cs="Arial"/>
                <w:color w:val="000000" w:themeColor="text1"/>
                <w:sz w:val="24"/>
                <w:szCs w:val="24"/>
              </w:rPr>
              <w:t>194</w:t>
            </w:r>
          </w:p>
        </w:tc>
        <w:tc>
          <w:tcPr>
            <w:tcW w:w="1288" w:type="dxa"/>
            <w:tcBorders>
              <w:top w:val="single" w:sz="8" w:space="0" w:color="000000" w:themeColor="text1"/>
              <w:right w:val="single" w:sz="8" w:space="0" w:color="000000" w:themeColor="text1"/>
            </w:tcBorders>
            <w:tcMar>
              <w:top w:w="100" w:type="dxa"/>
              <w:left w:w="100" w:type="dxa"/>
              <w:bottom w:w="100" w:type="dxa"/>
              <w:right w:w="100" w:type="dxa"/>
            </w:tcMar>
          </w:tcPr>
          <w:p w14:paraId="04504077" w14:textId="05CF4C3F" w:rsidR="26234BE2" w:rsidRPr="00946B76" w:rsidRDefault="26234BE2" w:rsidP="26234BE2">
            <w:pPr>
              <w:spacing w:line="360" w:lineRule="auto"/>
              <w:rPr>
                <w:rFonts w:ascii="Arial" w:eastAsiaTheme="majorEastAsia" w:hAnsi="Arial" w:cs="Arial"/>
                <w:color w:val="000000" w:themeColor="text1"/>
                <w:sz w:val="24"/>
                <w:szCs w:val="24"/>
              </w:rPr>
            </w:pPr>
            <w:r w:rsidRPr="00946B76">
              <w:rPr>
                <w:rFonts w:ascii="Arial" w:eastAsiaTheme="majorEastAsia" w:hAnsi="Arial" w:cs="Arial"/>
                <w:color w:val="000000" w:themeColor="text1"/>
                <w:sz w:val="24"/>
                <w:szCs w:val="24"/>
              </w:rPr>
              <w:t>17</w:t>
            </w:r>
          </w:p>
        </w:tc>
        <w:tc>
          <w:tcPr>
            <w:tcW w:w="1288" w:type="dxa"/>
            <w:tcBorders>
              <w:top w:val="single" w:sz="8" w:space="0" w:color="000000" w:themeColor="text1"/>
              <w:left w:val="single" w:sz="8" w:space="0" w:color="000000" w:themeColor="text1"/>
            </w:tcBorders>
            <w:tcMar>
              <w:top w:w="100" w:type="dxa"/>
              <w:left w:w="100" w:type="dxa"/>
              <w:bottom w:w="100" w:type="dxa"/>
              <w:right w:w="100" w:type="dxa"/>
            </w:tcMar>
          </w:tcPr>
          <w:p w14:paraId="3CD49E90" w14:textId="6654F9D6" w:rsidR="26234BE2" w:rsidRPr="00946B76" w:rsidRDefault="26234BE2" w:rsidP="26234BE2">
            <w:pPr>
              <w:spacing w:line="360" w:lineRule="auto"/>
              <w:rPr>
                <w:rFonts w:ascii="Arial" w:eastAsiaTheme="majorEastAsia" w:hAnsi="Arial" w:cs="Arial"/>
                <w:color w:val="000000" w:themeColor="text1"/>
                <w:sz w:val="24"/>
                <w:szCs w:val="24"/>
              </w:rPr>
            </w:pPr>
            <w:r w:rsidRPr="00946B76">
              <w:rPr>
                <w:rFonts w:ascii="Arial" w:eastAsiaTheme="majorEastAsia" w:hAnsi="Arial" w:cs="Arial"/>
                <w:color w:val="000000" w:themeColor="text1"/>
                <w:sz w:val="24"/>
                <w:szCs w:val="24"/>
              </w:rPr>
              <w:t>219</w:t>
            </w:r>
          </w:p>
        </w:tc>
        <w:tc>
          <w:tcPr>
            <w:tcW w:w="1288" w:type="dxa"/>
            <w:tcBorders>
              <w:top w:val="single" w:sz="8" w:space="0" w:color="000000" w:themeColor="text1"/>
            </w:tcBorders>
            <w:tcMar>
              <w:top w:w="100" w:type="dxa"/>
              <w:left w:w="100" w:type="dxa"/>
              <w:bottom w:w="100" w:type="dxa"/>
              <w:right w:w="100" w:type="dxa"/>
            </w:tcMar>
          </w:tcPr>
          <w:p w14:paraId="4B4864DA" w14:textId="397D1616" w:rsidR="26234BE2" w:rsidRPr="00946B76" w:rsidRDefault="26234BE2" w:rsidP="26234BE2">
            <w:pPr>
              <w:spacing w:line="360" w:lineRule="auto"/>
              <w:rPr>
                <w:rFonts w:ascii="Arial" w:eastAsiaTheme="majorEastAsia" w:hAnsi="Arial" w:cs="Arial"/>
                <w:color w:val="000000" w:themeColor="text1"/>
                <w:sz w:val="24"/>
                <w:szCs w:val="24"/>
              </w:rPr>
            </w:pPr>
            <w:r w:rsidRPr="00946B76">
              <w:rPr>
                <w:rFonts w:ascii="Arial" w:eastAsiaTheme="majorEastAsia" w:hAnsi="Arial" w:cs="Arial"/>
                <w:color w:val="000000" w:themeColor="text1"/>
                <w:sz w:val="24"/>
                <w:szCs w:val="24"/>
              </w:rPr>
              <w:t>21</w:t>
            </w:r>
          </w:p>
        </w:tc>
      </w:tr>
      <w:tr w:rsidR="26234BE2" w:rsidRPr="00946B76" w14:paraId="57C4DC17" w14:textId="77777777" w:rsidTr="26234BE2">
        <w:trPr>
          <w:trHeight w:val="450"/>
        </w:trPr>
        <w:tc>
          <w:tcPr>
            <w:tcW w:w="1288" w:type="dxa"/>
            <w:tcBorders>
              <w:bottom w:val="single" w:sz="8" w:space="0" w:color="000000" w:themeColor="text1"/>
            </w:tcBorders>
            <w:tcMar>
              <w:top w:w="20" w:type="dxa"/>
              <w:left w:w="20" w:type="dxa"/>
              <w:bottom w:w="20" w:type="dxa"/>
              <w:right w:w="20" w:type="dxa"/>
            </w:tcMar>
          </w:tcPr>
          <w:p w14:paraId="05DD72E0" w14:textId="7BFC4F7D" w:rsidR="26234BE2" w:rsidRPr="00946B76" w:rsidRDefault="26234BE2" w:rsidP="26234BE2">
            <w:pPr>
              <w:spacing w:line="360" w:lineRule="auto"/>
              <w:rPr>
                <w:rFonts w:ascii="Arial" w:eastAsiaTheme="majorEastAsia" w:hAnsi="Arial" w:cs="Arial"/>
                <w:b/>
                <w:bCs/>
                <w:color w:val="000000" w:themeColor="text1"/>
                <w:sz w:val="24"/>
                <w:szCs w:val="24"/>
              </w:rPr>
            </w:pPr>
            <w:r w:rsidRPr="00946B76">
              <w:rPr>
                <w:rFonts w:ascii="Arial" w:eastAsiaTheme="majorEastAsia" w:hAnsi="Arial" w:cs="Arial"/>
                <w:b/>
                <w:bCs/>
                <w:color w:val="000000" w:themeColor="text1"/>
                <w:sz w:val="24"/>
                <w:szCs w:val="24"/>
              </w:rPr>
              <w:lastRenderedPageBreak/>
              <w:t>Predicted as 1</w:t>
            </w:r>
          </w:p>
        </w:tc>
        <w:tc>
          <w:tcPr>
            <w:tcW w:w="1288" w:type="dxa"/>
            <w:tcBorders>
              <w:bottom w:val="single" w:sz="8" w:space="0" w:color="000000" w:themeColor="text1"/>
            </w:tcBorders>
            <w:tcMar>
              <w:top w:w="100" w:type="dxa"/>
              <w:left w:w="100" w:type="dxa"/>
              <w:bottom w:w="100" w:type="dxa"/>
              <w:right w:w="100" w:type="dxa"/>
            </w:tcMar>
          </w:tcPr>
          <w:p w14:paraId="0AF0958E" w14:textId="0E982D17" w:rsidR="26234BE2" w:rsidRPr="00946B76" w:rsidRDefault="26234BE2" w:rsidP="26234BE2">
            <w:pPr>
              <w:spacing w:line="360" w:lineRule="auto"/>
              <w:rPr>
                <w:rFonts w:ascii="Arial" w:eastAsiaTheme="majorEastAsia" w:hAnsi="Arial" w:cs="Arial"/>
                <w:color w:val="000000" w:themeColor="text1"/>
                <w:sz w:val="24"/>
                <w:szCs w:val="24"/>
              </w:rPr>
            </w:pPr>
            <w:r w:rsidRPr="00946B76">
              <w:rPr>
                <w:rFonts w:ascii="Arial" w:eastAsiaTheme="majorEastAsia" w:hAnsi="Arial" w:cs="Arial"/>
                <w:color w:val="000000" w:themeColor="text1"/>
                <w:sz w:val="24"/>
                <w:szCs w:val="24"/>
              </w:rPr>
              <w:t>29</w:t>
            </w:r>
          </w:p>
        </w:tc>
        <w:tc>
          <w:tcPr>
            <w:tcW w:w="1288" w:type="dxa"/>
            <w:tcBorders>
              <w:bottom w:val="single" w:sz="8" w:space="0" w:color="000000" w:themeColor="text1"/>
              <w:right w:val="single" w:sz="8" w:space="0" w:color="000000" w:themeColor="text1"/>
            </w:tcBorders>
            <w:tcMar>
              <w:top w:w="100" w:type="dxa"/>
              <w:left w:w="100" w:type="dxa"/>
              <w:bottom w:w="100" w:type="dxa"/>
              <w:right w:w="100" w:type="dxa"/>
            </w:tcMar>
          </w:tcPr>
          <w:p w14:paraId="28AC82D6" w14:textId="12A45BC5" w:rsidR="26234BE2" w:rsidRPr="00946B76" w:rsidRDefault="26234BE2" w:rsidP="26234BE2">
            <w:pPr>
              <w:spacing w:line="360" w:lineRule="auto"/>
              <w:rPr>
                <w:rFonts w:ascii="Arial" w:eastAsiaTheme="majorEastAsia" w:hAnsi="Arial" w:cs="Arial"/>
                <w:color w:val="000000" w:themeColor="text1"/>
                <w:sz w:val="24"/>
                <w:szCs w:val="24"/>
              </w:rPr>
            </w:pPr>
            <w:r w:rsidRPr="00946B76">
              <w:rPr>
                <w:rFonts w:ascii="Arial" w:eastAsiaTheme="majorEastAsia" w:hAnsi="Arial" w:cs="Arial"/>
                <w:color w:val="000000" w:themeColor="text1"/>
                <w:sz w:val="24"/>
                <w:szCs w:val="24"/>
              </w:rPr>
              <w:t>154</w:t>
            </w:r>
          </w:p>
        </w:tc>
        <w:tc>
          <w:tcPr>
            <w:tcW w:w="1288" w:type="dxa"/>
            <w:tcBorders>
              <w:left w:val="single" w:sz="8" w:space="0" w:color="000000" w:themeColor="text1"/>
              <w:bottom w:val="single" w:sz="8" w:space="0" w:color="000000" w:themeColor="text1"/>
            </w:tcBorders>
            <w:tcMar>
              <w:top w:w="100" w:type="dxa"/>
              <w:left w:w="100" w:type="dxa"/>
              <w:bottom w:w="100" w:type="dxa"/>
              <w:right w:w="100" w:type="dxa"/>
            </w:tcMar>
          </w:tcPr>
          <w:p w14:paraId="2DC589D2" w14:textId="484C4B4F" w:rsidR="26234BE2" w:rsidRPr="00946B76" w:rsidRDefault="26234BE2" w:rsidP="26234BE2">
            <w:pPr>
              <w:spacing w:line="360" w:lineRule="auto"/>
              <w:rPr>
                <w:rFonts w:ascii="Arial" w:eastAsiaTheme="majorEastAsia" w:hAnsi="Arial" w:cs="Arial"/>
                <w:color w:val="000000" w:themeColor="text1"/>
                <w:sz w:val="24"/>
                <w:szCs w:val="24"/>
              </w:rPr>
            </w:pPr>
            <w:r w:rsidRPr="00946B76">
              <w:rPr>
                <w:rFonts w:ascii="Arial" w:eastAsiaTheme="majorEastAsia" w:hAnsi="Arial" w:cs="Arial"/>
                <w:color w:val="000000" w:themeColor="text1"/>
                <w:sz w:val="24"/>
                <w:szCs w:val="24"/>
              </w:rPr>
              <w:t>11</w:t>
            </w:r>
          </w:p>
        </w:tc>
        <w:tc>
          <w:tcPr>
            <w:tcW w:w="1288" w:type="dxa"/>
            <w:tcBorders>
              <w:bottom w:val="single" w:sz="8" w:space="0" w:color="000000" w:themeColor="text1"/>
              <w:right w:val="single" w:sz="8" w:space="0" w:color="000000" w:themeColor="text1"/>
            </w:tcBorders>
            <w:tcMar>
              <w:top w:w="100" w:type="dxa"/>
              <w:left w:w="100" w:type="dxa"/>
              <w:bottom w:w="100" w:type="dxa"/>
              <w:right w:w="100" w:type="dxa"/>
            </w:tcMar>
          </w:tcPr>
          <w:p w14:paraId="1FA4589E" w14:textId="57A1987D" w:rsidR="26234BE2" w:rsidRPr="00946B76" w:rsidRDefault="26234BE2" w:rsidP="26234BE2">
            <w:pPr>
              <w:spacing w:line="360" w:lineRule="auto"/>
              <w:rPr>
                <w:rFonts w:ascii="Arial" w:eastAsiaTheme="majorEastAsia" w:hAnsi="Arial" w:cs="Arial"/>
                <w:color w:val="000000" w:themeColor="text1"/>
                <w:sz w:val="24"/>
                <w:szCs w:val="24"/>
              </w:rPr>
            </w:pPr>
            <w:r w:rsidRPr="00946B76">
              <w:rPr>
                <w:rFonts w:ascii="Arial" w:eastAsiaTheme="majorEastAsia" w:hAnsi="Arial" w:cs="Arial"/>
                <w:color w:val="000000" w:themeColor="text1"/>
                <w:sz w:val="24"/>
                <w:szCs w:val="24"/>
              </w:rPr>
              <w:t>58</w:t>
            </w:r>
          </w:p>
        </w:tc>
        <w:tc>
          <w:tcPr>
            <w:tcW w:w="1288" w:type="dxa"/>
            <w:tcBorders>
              <w:left w:val="single" w:sz="8" w:space="0" w:color="000000" w:themeColor="text1"/>
              <w:bottom w:val="single" w:sz="8" w:space="0" w:color="000000" w:themeColor="text1"/>
            </w:tcBorders>
            <w:tcMar>
              <w:top w:w="100" w:type="dxa"/>
              <w:left w:w="100" w:type="dxa"/>
              <w:bottom w:w="100" w:type="dxa"/>
              <w:right w:w="100" w:type="dxa"/>
            </w:tcMar>
          </w:tcPr>
          <w:p w14:paraId="28D98EA2" w14:textId="4EC16A36" w:rsidR="26234BE2" w:rsidRPr="00946B76" w:rsidRDefault="26234BE2" w:rsidP="26234BE2">
            <w:pPr>
              <w:spacing w:line="360" w:lineRule="auto"/>
              <w:rPr>
                <w:rFonts w:ascii="Arial" w:eastAsiaTheme="majorEastAsia" w:hAnsi="Arial" w:cs="Arial"/>
                <w:color w:val="000000" w:themeColor="text1"/>
                <w:sz w:val="24"/>
                <w:szCs w:val="24"/>
              </w:rPr>
            </w:pPr>
            <w:r w:rsidRPr="00946B76">
              <w:rPr>
                <w:rFonts w:ascii="Arial" w:eastAsiaTheme="majorEastAsia" w:hAnsi="Arial" w:cs="Arial"/>
                <w:color w:val="000000" w:themeColor="text1"/>
                <w:sz w:val="24"/>
                <w:szCs w:val="24"/>
              </w:rPr>
              <w:t>16</w:t>
            </w:r>
          </w:p>
        </w:tc>
        <w:tc>
          <w:tcPr>
            <w:tcW w:w="1288" w:type="dxa"/>
            <w:tcBorders>
              <w:bottom w:val="single" w:sz="8" w:space="0" w:color="000000" w:themeColor="text1"/>
            </w:tcBorders>
            <w:tcMar>
              <w:top w:w="100" w:type="dxa"/>
              <w:left w:w="100" w:type="dxa"/>
              <w:bottom w:w="100" w:type="dxa"/>
              <w:right w:w="100" w:type="dxa"/>
            </w:tcMar>
          </w:tcPr>
          <w:p w14:paraId="5DAEC767" w14:textId="2FD6DF7F" w:rsidR="26234BE2" w:rsidRPr="00946B76" w:rsidRDefault="26234BE2" w:rsidP="26234BE2">
            <w:pPr>
              <w:spacing w:line="360" w:lineRule="auto"/>
              <w:rPr>
                <w:rFonts w:ascii="Arial" w:eastAsiaTheme="majorEastAsia" w:hAnsi="Arial" w:cs="Arial"/>
                <w:color w:val="000000" w:themeColor="text1"/>
                <w:sz w:val="24"/>
                <w:szCs w:val="24"/>
              </w:rPr>
            </w:pPr>
            <w:r w:rsidRPr="00946B76">
              <w:rPr>
                <w:rFonts w:ascii="Arial" w:eastAsiaTheme="majorEastAsia" w:hAnsi="Arial" w:cs="Arial"/>
                <w:color w:val="000000" w:themeColor="text1"/>
                <w:sz w:val="24"/>
                <w:szCs w:val="24"/>
              </w:rPr>
              <w:t>24</w:t>
            </w:r>
          </w:p>
        </w:tc>
      </w:tr>
    </w:tbl>
    <w:p w14:paraId="4C9A2C2E" w14:textId="39A49F9C" w:rsidR="3F0D2D2A" w:rsidRPr="00946B76" w:rsidRDefault="3F0D2D2A" w:rsidP="26234BE2">
      <w:pPr>
        <w:spacing w:line="360" w:lineRule="auto"/>
        <w:jc w:val="center"/>
        <w:rPr>
          <w:rFonts w:ascii="Arial" w:eastAsiaTheme="majorEastAsia" w:hAnsi="Arial" w:cs="Arial"/>
          <w:color w:val="000000" w:themeColor="text1"/>
          <w:sz w:val="24"/>
          <w:szCs w:val="24"/>
        </w:rPr>
      </w:pPr>
      <w:r w:rsidRPr="00946B76">
        <w:rPr>
          <w:rFonts w:ascii="Arial" w:eastAsiaTheme="majorEastAsia" w:hAnsi="Arial" w:cs="Arial"/>
          <w:color w:val="000000" w:themeColor="text1"/>
          <w:sz w:val="24"/>
          <w:szCs w:val="24"/>
        </w:rPr>
        <w:t>Table 9: Confusion matrix SVM model</w:t>
      </w:r>
    </w:p>
    <w:p w14:paraId="6467C7D6" w14:textId="42D820D7" w:rsidR="3F0D2D2A" w:rsidRPr="00946B76" w:rsidRDefault="3F0D2D2A" w:rsidP="26234BE2">
      <w:pPr>
        <w:spacing w:line="360" w:lineRule="auto"/>
        <w:rPr>
          <w:rFonts w:ascii="Arial" w:eastAsiaTheme="majorEastAsia" w:hAnsi="Arial" w:cs="Arial"/>
          <w:i/>
          <w:iCs/>
          <w:color w:val="000000" w:themeColor="text1"/>
          <w:sz w:val="24"/>
          <w:szCs w:val="24"/>
        </w:rPr>
      </w:pPr>
      <w:r w:rsidRPr="00946B76">
        <w:rPr>
          <w:rFonts w:ascii="Arial" w:eastAsiaTheme="majorEastAsia" w:hAnsi="Arial" w:cs="Arial"/>
          <w:i/>
          <w:iCs/>
          <w:color w:val="000000" w:themeColor="text1"/>
          <w:sz w:val="24"/>
          <w:szCs w:val="24"/>
        </w:rPr>
        <w:t>Interpretation</w:t>
      </w:r>
    </w:p>
    <w:p w14:paraId="6A791EA8" w14:textId="1AF0DFE9" w:rsidR="3F0D2D2A" w:rsidRPr="00946B76" w:rsidRDefault="3F0D2D2A" w:rsidP="452A86B4">
      <w:pPr>
        <w:spacing w:line="360" w:lineRule="auto"/>
        <w:rPr>
          <w:rFonts w:ascii="Arial" w:eastAsiaTheme="majorEastAsia" w:hAnsi="Arial" w:cs="Arial"/>
          <w:color w:val="000000" w:themeColor="text1"/>
          <w:sz w:val="24"/>
          <w:szCs w:val="24"/>
        </w:rPr>
      </w:pPr>
      <w:r w:rsidRPr="00946B76">
        <w:rPr>
          <w:rFonts w:ascii="Arial" w:eastAsiaTheme="majorEastAsia" w:hAnsi="Arial" w:cs="Arial"/>
          <w:color w:val="000000" w:themeColor="text1"/>
          <w:sz w:val="24"/>
          <w:szCs w:val="24"/>
        </w:rPr>
        <w:t xml:space="preserve">When considering the metrics of both models, they appear to function rather successfully. </w:t>
      </w:r>
      <w:r w:rsidR="4C318B93" w:rsidRPr="00946B76">
        <w:rPr>
          <w:rFonts w:ascii="Arial" w:eastAsiaTheme="majorEastAsia" w:hAnsi="Arial" w:cs="Arial"/>
          <w:color w:val="000000" w:themeColor="text1"/>
          <w:sz w:val="24"/>
          <w:szCs w:val="24"/>
        </w:rPr>
        <w:t xml:space="preserve"> Especially accuracy is fairly high. Other measures appear slightly lower, yet </w:t>
      </w:r>
      <w:r w:rsidR="2E2BFAAF" w:rsidRPr="00946B76">
        <w:rPr>
          <w:rFonts w:ascii="Arial" w:eastAsiaTheme="majorEastAsia" w:hAnsi="Arial" w:cs="Arial"/>
          <w:color w:val="000000" w:themeColor="text1"/>
          <w:sz w:val="24"/>
          <w:szCs w:val="24"/>
        </w:rPr>
        <w:t>high enough for</w:t>
      </w:r>
      <w:r w:rsidR="4C318B93" w:rsidRPr="00946B76">
        <w:rPr>
          <w:rFonts w:ascii="Arial" w:eastAsiaTheme="majorEastAsia" w:hAnsi="Arial" w:cs="Arial"/>
          <w:color w:val="000000" w:themeColor="text1"/>
          <w:sz w:val="24"/>
          <w:szCs w:val="24"/>
        </w:rPr>
        <w:t xml:space="preserve"> functioning. </w:t>
      </w:r>
      <w:r w:rsidRPr="00946B76">
        <w:rPr>
          <w:rFonts w:ascii="Arial" w:eastAsiaTheme="majorEastAsia" w:hAnsi="Arial" w:cs="Arial"/>
          <w:color w:val="000000" w:themeColor="text1"/>
          <w:sz w:val="24"/>
          <w:szCs w:val="24"/>
        </w:rPr>
        <w:t>However, when looking at the confusion matrices, a more complex picture is painted</w:t>
      </w:r>
      <w:r w:rsidR="5196EE11" w:rsidRPr="00946B76">
        <w:rPr>
          <w:rFonts w:ascii="Arial" w:eastAsiaTheme="majorEastAsia" w:hAnsi="Arial" w:cs="Arial"/>
          <w:color w:val="000000" w:themeColor="text1"/>
          <w:sz w:val="24"/>
          <w:szCs w:val="24"/>
        </w:rPr>
        <w:t xml:space="preserve"> regarding these differences</w:t>
      </w:r>
      <w:r w:rsidR="4BAD5971" w:rsidRPr="00946B76">
        <w:rPr>
          <w:rFonts w:ascii="Arial" w:eastAsiaTheme="majorEastAsia" w:hAnsi="Arial" w:cs="Arial"/>
          <w:color w:val="000000" w:themeColor="text1"/>
          <w:sz w:val="24"/>
          <w:szCs w:val="24"/>
        </w:rPr>
        <w:t xml:space="preserve">. </w:t>
      </w:r>
      <w:r w:rsidRPr="00946B76">
        <w:rPr>
          <w:rFonts w:ascii="Arial" w:eastAsiaTheme="majorEastAsia" w:hAnsi="Arial" w:cs="Arial"/>
          <w:color w:val="000000" w:themeColor="text1"/>
          <w:sz w:val="24"/>
          <w:szCs w:val="24"/>
        </w:rPr>
        <w:t xml:space="preserve">For example, in table 6 above, the algorithm predicted it to be appropriate to label </w:t>
      </w:r>
      <w:r w:rsidR="2267322B" w:rsidRPr="00946B76">
        <w:rPr>
          <w:rFonts w:ascii="Arial" w:eastAsiaTheme="majorEastAsia" w:hAnsi="Arial" w:cs="Arial"/>
          <w:color w:val="000000" w:themeColor="text1"/>
          <w:sz w:val="24"/>
          <w:szCs w:val="24"/>
        </w:rPr>
        <w:t>30</w:t>
      </w:r>
      <w:r w:rsidRPr="00946B76">
        <w:rPr>
          <w:rFonts w:ascii="Arial" w:eastAsiaTheme="majorEastAsia" w:hAnsi="Arial" w:cs="Arial"/>
          <w:color w:val="000000" w:themeColor="text1"/>
          <w:sz w:val="24"/>
          <w:szCs w:val="24"/>
        </w:rPr>
        <w:t xml:space="preserve"> cases that we ourselves considered irrelevant for the Family category. For that same category, </w:t>
      </w:r>
      <w:r w:rsidR="07C07F68" w:rsidRPr="00946B76">
        <w:rPr>
          <w:rFonts w:ascii="Arial" w:eastAsiaTheme="majorEastAsia" w:hAnsi="Arial" w:cs="Arial"/>
          <w:color w:val="000000" w:themeColor="text1"/>
          <w:sz w:val="24"/>
          <w:szCs w:val="24"/>
        </w:rPr>
        <w:t>30</w:t>
      </w:r>
      <w:r w:rsidRPr="00946B76">
        <w:rPr>
          <w:rFonts w:ascii="Arial" w:eastAsiaTheme="majorEastAsia" w:hAnsi="Arial" w:cs="Arial"/>
          <w:color w:val="000000" w:themeColor="text1"/>
          <w:sz w:val="24"/>
          <w:szCs w:val="24"/>
        </w:rPr>
        <w:t xml:space="preserve"> cases that we did label ourselves were dismissed by the model. These are our false positives and negatives. They are present for every category, which is essentially not an issue as this happens in most models. In the Family</w:t>
      </w:r>
      <w:r w:rsidR="7CBE9FC6" w:rsidRPr="00946B76">
        <w:rPr>
          <w:rFonts w:ascii="Arial" w:eastAsiaTheme="majorEastAsia" w:hAnsi="Arial" w:cs="Arial"/>
          <w:color w:val="000000" w:themeColor="text1"/>
          <w:sz w:val="24"/>
          <w:szCs w:val="24"/>
        </w:rPr>
        <w:t xml:space="preserve"> and Friends</w:t>
      </w:r>
      <w:r w:rsidRPr="00946B76">
        <w:rPr>
          <w:rFonts w:ascii="Arial" w:eastAsiaTheme="majorEastAsia" w:hAnsi="Arial" w:cs="Arial"/>
          <w:color w:val="000000" w:themeColor="text1"/>
          <w:sz w:val="24"/>
          <w:szCs w:val="24"/>
        </w:rPr>
        <w:t xml:space="preserve"> category, true positives and negatives are abundant. However, we did share some concerns over the predictions made in the </w:t>
      </w:r>
      <w:bookmarkStart w:id="0" w:name="_Int_tSRcSEnA"/>
      <w:r w:rsidR="136F0AA4" w:rsidRPr="00946B76">
        <w:rPr>
          <w:rFonts w:ascii="Arial" w:eastAsiaTheme="majorEastAsia" w:hAnsi="Arial" w:cs="Arial"/>
          <w:color w:val="000000" w:themeColor="text1"/>
          <w:sz w:val="24"/>
          <w:szCs w:val="24"/>
        </w:rPr>
        <w:t>O</w:t>
      </w:r>
      <w:r w:rsidRPr="00946B76">
        <w:rPr>
          <w:rFonts w:ascii="Arial" w:eastAsiaTheme="majorEastAsia" w:hAnsi="Arial" w:cs="Arial"/>
          <w:color w:val="000000" w:themeColor="text1"/>
          <w:sz w:val="24"/>
          <w:szCs w:val="24"/>
        </w:rPr>
        <w:t>thers</w:t>
      </w:r>
      <w:bookmarkEnd w:id="0"/>
      <w:r w:rsidRPr="00946B76">
        <w:rPr>
          <w:rFonts w:ascii="Arial" w:eastAsiaTheme="majorEastAsia" w:hAnsi="Arial" w:cs="Arial"/>
          <w:color w:val="000000" w:themeColor="text1"/>
          <w:sz w:val="24"/>
          <w:szCs w:val="24"/>
        </w:rPr>
        <w:t xml:space="preserve"> category. The model seems </w:t>
      </w:r>
      <w:r w:rsidR="1B8AA2BF" w:rsidRPr="00946B76">
        <w:rPr>
          <w:rFonts w:ascii="Arial" w:eastAsiaTheme="majorEastAsia" w:hAnsi="Arial" w:cs="Arial"/>
          <w:color w:val="000000" w:themeColor="text1"/>
          <w:sz w:val="24"/>
          <w:szCs w:val="24"/>
        </w:rPr>
        <w:t>better</w:t>
      </w:r>
      <w:r w:rsidRPr="00946B76">
        <w:rPr>
          <w:rFonts w:ascii="Arial" w:eastAsiaTheme="majorEastAsia" w:hAnsi="Arial" w:cs="Arial"/>
          <w:color w:val="000000" w:themeColor="text1"/>
          <w:sz w:val="24"/>
          <w:szCs w:val="24"/>
        </w:rPr>
        <w:t xml:space="preserve"> at predicting non-labels</w:t>
      </w:r>
      <w:r w:rsidR="2A28CDBB" w:rsidRPr="00946B76">
        <w:rPr>
          <w:rFonts w:ascii="Arial" w:eastAsiaTheme="majorEastAsia" w:hAnsi="Arial" w:cs="Arial"/>
          <w:color w:val="000000" w:themeColor="text1"/>
          <w:sz w:val="24"/>
          <w:szCs w:val="24"/>
        </w:rPr>
        <w:t xml:space="preserve"> than</w:t>
      </w:r>
      <w:r w:rsidRPr="00946B76">
        <w:rPr>
          <w:rFonts w:ascii="Arial" w:eastAsiaTheme="majorEastAsia" w:hAnsi="Arial" w:cs="Arial"/>
          <w:color w:val="000000" w:themeColor="text1"/>
          <w:sz w:val="24"/>
          <w:szCs w:val="24"/>
        </w:rPr>
        <w:t xml:space="preserve"> </w:t>
      </w:r>
      <w:r w:rsidR="7C85384C" w:rsidRPr="00946B76">
        <w:rPr>
          <w:rFonts w:ascii="Arial" w:eastAsiaTheme="majorEastAsia" w:hAnsi="Arial" w:cs="Arial"/>
          <w:color w:val="000000" w:themeColor="text1"/>
          <w:sz w:val="24"/>
          <w:szCs w:val="24"/>
        </w:rPr>
        <w:t>labels (our dimensions)</w:t>
      </w:r>
      <w:r w:rsidRPr="00946B76">
        <w:rPr>
          <w:rFonts w:ascii="Arial" w:eastAsiaTheme="majorEastAsia" w:hAnsi="Arial" w:cs="Arial"/>
          <w:color w:val="000000" w:themeColor="text1"/>
          <w:sz w:val="24"/>
          <w:szCs w:val="24"/>
        </w:rPr>
        <w:t>. As a result, we could be missing out on a lot of relevant data points when we apply these models to the rest of our (unlabelled) data.</w:t>
      </w:r>
    </w:p>
    <w:p w14:paraId="02B06A30" w14:textId="35983FD7" w:rsidR="3F0D2D2A" w:rsidRPr="00946B76" w:rsidRDefault="3F0D2D2A" w:rsidP="156658EE">
      <w:pPr>
        <w:spacing w:line="360" w:lineRule="auto"/>
        <w:ind w:firstLine="708"/>
        <w:rPr>
          <w:rFonts w:ascii="Arial" w:eastAsiaTheme="majorEastAsia" w:hAnsi="Arial" w:cs="Arial"/>
          <w:color w:val="000000" w:themeColor="text1"/>
          <w:sz w:val="24"/>
          <w:szCs w:val="24"/>
        </w:rPr>
      </w:pPr>
      <w:r w:rsidRPr="00946B76">
        <w:rPr>
          <w:rFonts w:ascii="Arial" w:eastAsiaTheme="majorEastAsia" w:hAnsi="Arial" w:cs="Arial"/>
          <w:color w:val="000000" w:themeColor="text1"/>
          <w:sz w:val="24"/>
          <w:szCs w:val="24"/>
        </w:rPr>
        <w:t>We proceeded to form a file of all the Care for Other cases, joined with their respective prediction and true labels. In this way, we were able to manually inspect the circumstances under which the models assigned certain labels to texts.</w:t>
      </w:r>
    </w:p>
    <w:p w14:paraId="16C91F47" w14:textId="09F61E04" w:rsidR="4F068897" w:rsidRPr="00946B76" w:rsidRDefault="45F1FD4B" w:rsidP="25F722A2">
      <w:pPr>
        <w:spacing w:line="360" w:lineRule="auto"/>
        <w:rPr>
          <w:rFonts w:ascii="Arial" w:eastAsiaTheme="majorEastAsia" w:hAnsi="Arial" w:cs="Arial"/>
          <w:sz w:val="24"/>
          <w:szCs w:val="24"/>
        </w:rPr>
      </w:pPr>
      <w:r w:rsidRPr="00946B76">
        <w:rPr>
          <w:rFonts w:ascii="Arial" w:eastAsiaTheme="majorEastAsia" w:hAnsi="Arial" w:cs="Arial"/>
          <w:b/>
          <w:bCs/>
          <w:sz w:val="24"/>
          <w:szCs w:val="24"/>
        </w:rPr>
        <w:t>6. Moving Forward/Future Work</w:t>
      </w:r>
      <w:r w:rsidR="4F068897" w:rsidRPr="00946B76">
        <w:rPr>
          <w:rFonts w:ascii="Arial" w:hAnsi="Arial" w:cs="Arial"/>
          <w:sz w:val="24"/>
          <w:szCs w:val="24"/>
        </w:rPr>
        <w:br/>
      </w:r>
      <w:r w:rsidR="7D31C937" w:rsidRPr="00946B76">
        <w:rPr>
          <w:rFonts w:ascii="Arial" w:eastAsiaTheme="majorEastAsia" w:hAnsi="Arial" w:cs="Arial"/>
          <w:sz w:val="24"/>
          <w:szCs w:val="24"/>
        </w:rPr>
        <w:t xml:space="preserve">This initial phase of work does suggest that it is a promising technique for two reasons. Firstly it clearly represents an advance on frequency counts of terms chosen by the researchers (even though the patterns from some of those frequency counts are not without interest). Secondly it enables us to say something </w:t>
      </w:r>
      <w:r w:rsidR="41B912AB" w:rsidRPr="00946B76">
        <w:rPr>
          <w:rFonts w:ascii="Arial" w:eastAsiaTheme="majorEastAsia" w:hAnsi="Arial" w:cs="Arial"/>
          <w:sz w:val="24"/>
          <w:szCs w:val="24"/>
        </w:rPr>
        <w:t xml:space="preserve">not just </w:t>
      </w:r>
      <w:r w:rsidR="7D31C937" w:rsidRPr="00946B76">
        <w:rPr>
          <w:rFonts w:ascii="Arial" w:eastAsiaTheme="majorEastAsia" w:hAnsi="Arial" w:cs="Arial"/>
          <w:sz w:val="24"/>
          <w:szCs w:val="24"/>
        </w:rPr>
        <w:t xml:space="preserve">about </w:t>
      </w:r>
      <w:r w:rsidR="41B912AB" w:rsidRPr="00946B76">
        <w:rPr>
          <w:rFonts w:ascii="Arial" w:eastAsiaTheme="majorEastAsia" w:hAnsi="Arial" w:cs="Arial"/>
          <w:sz w:val="24"/>
          <w:szCs w:val="24"/>
        </w:rPr>
        <w:t xml:space="preserve">the orientation of respondents towards voluntary action, but also about the relative priority they accord to it. Judging by the initial responses </w:t>
      </w:r>
      <w:r w:rsidR="23C6CC65" w:rsidRPr="00946B76">
        <w:rPr>
          <w:rFonts w:ascii="Arial" w:eastAsiaTheme="majorEastAsia" w:hAnsi="Arial" w:cs="Arial"/>
          <w:sz w:val="24"/>
          <w:szCs w:val="24"/>
        </w:rPr>
        <w:t xml:space="preserve">we do end up with groupings of responses which indicate that family and friends are prioritised over the dimension of care for others. This is not unlike the pattern of responses to survey </w:t>
      </w:r>
      <w:r w:rsidR="23C6CC65" w:rsidRPr="00946B76">
        <w:rPr>
          <w:rFonts w:ascii="Arial" w:eastAsiaTheme="majorEastAsia" w:hAnsi="Arial" w:cs="Arial"/>
          <w:sz w:val="24"/>
          <w:szCs w:val="24"/>
        </w:rPr>
        <w:lastRenderedPageBreak/>
        <w:t xml:space="preserve">questions described earlier in this paper but </w:t>
      </w:r>
      <w:r w:rsidR="36765D6F" w:rsidRPr="00946B76">
        <w:rPr>
          <w:rFonts w:ascii="Arial" w:eastAsiaTheme="majorEastAsia" w:hAnsi="Arial" w:cs="Arial"/>
          <w:sz w:val="24"/>
          <w:szCs w:val="24"/>
        </w:rPr>
        <w:t>its advantage is that explore the content of individual responses in much more detail</w:t>
      </w:r>
      <w:r w:rsidR="23C6CC65" w:rsidRPr="00946B76">
        <w:rPr>
          <w:rFonts w:ascii="Arial" w:eastAsiaTheme="majorEastAsia" w:hAnsi="Arial" w:cs="Arial"/>
          <w:sz w:val="24"/>
          <w:szCs w:val="24"/>
        </w:rPr>
        <w:t xml:space="preserve">. </w:t>
      </w:r>
    </w:p>
    <w:p w14:paraId="731D1036" w14:textId="283D61FA" w:rsidR="4F068897" w:rsidRPr="00946B76" w:rsidRDefault="097FD562" w:rsidP="25F722A2">
      <w:pPr>
        <w:spacing w:line="360" w:lineRule="auto"/>
        <w:rPr>
          <w:rFonts w:ascii="Arial" w:eastAsiaTheme="majorEastAsia" w:hAnsi="Arial" w:cs="Arial"/>
          <w:sz w:val="24"/>
          <w:szCs w:val="24"/>
        </w:rPr>
      </w:pPr>
      <w:r w:rsidRPr="00946B76">
        <w:rPr>
          <w:rFonts w:ascii="Arial" w:eastAsiaTheme="majorEastAsia" w:hAnsi="Arial" w:cs="Arial"/>
          <w:sz w:val="24"/>
          <w:szCs w:val="24"/>
        </w:rPr>
        <w:t>Further work is necessary and a</w:t>
      </w:r>
      <w:r w:rsidR="2A74B3BD" w:rsidRPr="00946B76">
        <w:rPr>
          <w:rFonts w:ascii="Arial" w:eastAsiaTheme="majorEastAsia" w:hAnsi="Arial" w:cs="Arial"/>
          <w:sz w:val="24"/>
          <w:szCs w:val="24"/>
        </w:rPr>
        <w:t xml:space="preserve">n obvious question to ask is whether those </w:t>
      </w:r>
      <w:r w:rsidR="1EFC6B54" w:rsidRPr="00946B76">
        <w:rPr>
          <w:rFonts w:ascii="Arial" w:eastAsiaTheme="majorEastAsia" w:hAnsi="Arial" w:cs="Arial"/>
          <w:sz w:val="24"/>
          <w:szCs w:val="24"/>
        </w:rPr>
        <w:t>showing some interest in volunteering</w:t>
      </w:r>
      <w:r w:rsidR="2A74B3BD" w:rsidRPr="00946B76">
        <w:rPr>
          <w:rFonts w:ascii="Arial" w:eastAsiaTheme="majorEastAsia" w:hAnsi="Arial" w:cs="Arial"/>
          <w:sz w:val="24"/>
          <w:szCs w:val="24"/>
        </w:rPr>
        <w:t xml:space="preserve"> followed through on their intentions when aged 60. A further wave of the survey took place in 2013, so we can observe volunteering for the cohort at that point,</w:t>
      </w:r>
      <w:r w:rsidR="49EC8AA8" w:rsidRPr="00946B76">
        <w:rPr>
          <w:rFonts w:ascii="Arial" w:eastAsiaTheme="majorEastAsia" w:hAnsi="Arial" w:cs="Arial"/>
          <w:sz w:val="24"/>
          <w:szCs w:val="24"/>
        </w:rPr>
        <w:t xml:space="preserve"> and see whether there is a correspondence between the views people had aged 50 and their volunteering five years later. </w:t>
      </w:r>
      <w:r w:rsidR="0B70D6A3" w:rsidRPr="00946B76">
        <w:rPr>
          <w:rFonts w:ascii="Arial" w:eastAsiaTheme="majorEastAsia" w:hAnsi="Arial" w:cs="Arial"/>
          <w:sz w:val="24"/>
          <w:szCs w:val="24"/>
        </w:rPr>
        <w:t xml:space="preserve">In fact the level of volunteering reported in that wave was almost identical to that reported in 2008. We haven’t, as yet, </w:t>
      </w:r>
      <w:r w:rsidR="24B9C731" w:rsidRPr="00946B76">
        <w:rPr>
          <w:rFonts w:ascii="Arial" w:eastAsiaTheme="majorEastAsia" w:hAnsi="Arial" w:cs="Arial"/>
          <w:sz w:val="24"/>
          <w:szCs w:val="24"/>
        </w:rPr>
        <w:t>analysed the 2013 survey data to</w:t>
      </w:r>
      <w:r w:rsidR="0B70D6A3" w:rsidRPr="00946B76">
        <w:rPr>
          <w:rFonts w:ascii="Arial" w:eastAsiaTheme="majorEastAsia" w:hAnsi="Arial" w:cs="Arial"/>
          <w:sz w:val="24"/>
          <w:szCs w:val="24"/>
        </w:rPr>
        <w:t xml:space="preserve"> </w:t>
      </w:r>
      <w:proofErr w:type="spellStart"/>
      <w:r w:rsidR="0B70D6A3" w:rsidRPr="00946B76">
        <w:rPr>
          <w:rFonts w:ascii="Arial" w:eastAsiaTheme="majorEastAsia" w:hAnsi="Arial" w:cs="Arial"/>
          <w:sz w:val="24"/>
          <w:szCs w:val="24"/>
        </w:rPr>
        <w:t>to</w:t>
      </w:r>
      <w:proofErr w:type="spellEnd"/>
      <w:r w:rsidR="0B70D6A3" w:rsidRPr="00946B76">
        <w:rPr>
          <w:rFonts w:ascii="Arial" w:eastAsiaTheme="majorEastAsia" w:hAnsi="Arial" w:cs="Arial"/>
          <w:sz w:val="24"/>
          <w:szCs w:val="24"/>
        </w:rPr>
        <w:t xml:space="preserve"> see how the</w:t>
      </w:r>
      <w:r w:rsidR="3A46736E" w:rsidRPr="00946B76">
        <w:rPr>
          <w:rFonts w:ascii="Arial" w:eastAsiaTheme="majorEastAsia" w:hAnsi="Arial" w:cs="Arial"/>
          <w:sz w:val="24"/>
          <w:szCs w:val="24"/>
        </w:rPr>
        <w:t xml:space="preserve"> classification of responses in our work matches up to patterns of volunteering in 2013. For instance, </w:t>
      </w:r>
      <w:r w:rsidR="5062A8B5" w:rsidRPr="00946B76">
        <w:rPr>
          <w:rFonts w:ascii="Arial" w:eastAsiaTheme="majorEastAsia" w:hAnsi="Arial" w:cs="Arial"/>
          <w:sz w:val="24"/>
          <w:szCs w:val="24"/>
        </w:rPr>
        <w:t>did those in the “</w:t>
      </w:r>
      <w:proofErr w:type="spellStart"/>
      <w:r w:rsidR="5062A8B5" w:rsidRPr="00946B76">
        <w:rPr>
          <w:rFonts w:ascii="Arial" w:eastAsiaTheme="majorEastAsia" w:hAnsi="Arial" w:cs="Arial"/>
          <w:sz w:val="24"/>
          <w:szCs w:val="24"/>
        </w:rPr>
        <w:t>care_other</w:t>
      </w:r>
      <w:proofErr w:type="spellEnd"/>
      <w:r w:rsidR="5062A8B5" w:rsidRPr="00946B76">
        <w:rPr>
          <w:rFonts w:ascii="Arial" w:eastAsiaTheme="majorEastAsia" w:hAnsi="Arial" w:cs="Arial"/>
          <w:sz w:val="24"/>
          <w:szCs w:val="24"/>
        </w:rPr>
        <w:t xml:space="preserve">” category report unpaid voluntary work? </w:t>
      </w:r>
    </w:p>
    <w:p w14:paraId="6EDA1F46" w14:textId="7B67FACB" w:rsidR="4F068897" w:rsidRPr="00946B76" w:rsidRDefault="49EC8AA8" w:rsidP="25F722A2">
      <w:pPr>
        <w:spacing w:line="360" w:lineRule="auto"/>
        <w:rPr>
          <w:rFonts w:ascii="Arial" w:eastAsiaTheme="majorEastAsia" w:hAnsi="Arial" w:cs="Arial"/>
          <w:sz w:val="24"/>
          <w:szCs w:val="24"/>
        </w:rPr>
      </w:pPr>
      <w:r w:rsidRPr="00946B76">
        <w:rPr>
          <w:rFonts w:ascii="Arial" w:eastAsiaTheme="majorEastAsia" w:hAnsi="Arial" w:cs="Arial"/>
          <w:sz w:val="24"/>
          <w:szCs w:val="24"/>
        </w:rPr>
        <w:t xml:space="preserve">Unfortunately, </w:t>
      </w:r>
      <w:r w:rsidR="5E6A8B8C" w:rsidRPr="00946B76">
        <w:rPr>
          <w:rFonts w:ascii="Arial" w:eastAsiaTheme="majorEastAsia" w:hAnsi="Arial" w:cs="Arial"/>
          <w:sz w:val="24"/>
          <w:szCs w:val="24"/>
        </w:rPr>
        <w:t xml:space="preserve">plans to repeat the survey in 2018 </w:t>
      </w:r>
      <w:r w:rsidR="50AC22C4" w:rsidRPr="00946B76">
        <w:rPr>
          <w:rFonts w:ascii="Arial" w:eastAsiaTheme="majorEastAsia" w:hAnsi="Arial" w:cs="Arial"/>
          <w:sz w:val="24"/>
          <w:szCs w:val="24"/>
        </w:rPr>
        <w:t xml:space="preserve">(when the cohort became 60) </w:t>
      </w:r>
      <w:r w:rsidR="5E6A8B8C" w:rsidRPr="00946B76">
        <w:rPr>
          <w:rFonts w:ascii="Arial" w:eastAsiaTheme="majorEastAsia" w:hAnsi="Arial" w:cs="Arial"/>
          <w:sz w:val="24"/>
          <w:szCs w:val="24"/>
        </w:rPr>
        <w:t xml:space="preserve">were pushed back to 2020, and the survey was </w:t>
      </w:r>
      <w:r w:rsidR="3817B8D7" w:rsidRPr="00946B76">
        <w:rPr>
          <w:rFonts w:ascii="Arial" w:eastAsiaTheme="majorEastAsia" w:hAnsi="Arial" w:cs="Arial"/>
          <w:sz w:val="24"/>
          <w:szCs w:val="24"/>
        </w:rPr>
        <w:t xml:space="preserve">then </w:t>
      </w:r>
      <w:r w:rsidR="5E6A8B8C" w:rsidRPr="00946B76">
        <w:rPr>
          <w:rFonts w:ascii="Arial" w:eastAsiaTheme="majorEastAsia" w:hAnsi="Arial" w:cs="Arial"/>
          <w:sz w:val="24"/>
          <w:szCs w:val="24"/>
        </w:rPr>
        <w:t>modified to allow assessment of the impact of Covid. Therefore we don’t have a direct read-across to a wave of survey data captured in normal circumstances</w:t>
      </w:r>
      <w:r w:rsidR="546DB539" w:rsidRPr="00946B76">
        <w:rPr>
          <w:rFonts w:ascii="Arial" w:eastAsiaTheme="majorEastAsia" w:hAnsi="Arial" w:cs="Arial"/>
          <w:sz w:val="24"/>
          <w:szCs w:val="24"/>
        </w:rPr>
        <w:t xml:space="preserve"> at the point at which individuals were ten years older</w:t>
      </w:r>
      <w:r w:rsidR="5E6A8B8C" w:rsidRPr="00946B76">
        <w:rPr>
          <w:rFonts w:ascii="Arial" w:eastAsiaTheme="majorEastAsia" w:hAnsi="Arial" w:cs="Arial"/>
          <w:sz w:val="24"/>
          <w:szCs w:val="24"/>
        </w:rPr>
        <w:t xml:space="preserve">. </w:t>
      </w:r>
      <w:r w:rsidR="668E8734" w:rsidRPr="00946B76">
        <w:rPr>
          <w:rFonts w:ascii="Arial" w:eastAsiaTheme="majorEastAsia" w:hAnsi="Arial" w:cs="Arial"/>
          <w:sz w:val="24"/>
          <w:szCs w:val="24"/>
        </w:rPr>
        <w:t xml:space="preserve">Using other survey data we </w:t>
      </w:r>
      <w:r w:rsidR="3C14032D" w:rsidRPr="00946B76">
        <w:rPr>
          <w:rFonts w:ascii="Arial" w:eastAsiaTheme="majorEastAsia" w:hAnsi="Arial" w:cs="Arial"/>
          <w:sz w:val="24"/>
          <w:szCs w:val="24"/>
        </w:rPr>
        <w:t>can, however, say that volunteering levels for those aged 60 and over in the UK have remained more or less static, even when allowance is made for Covid-related perturbations (essentially there was a rise in informal volunteering because people were working from home and supporting co-residents in their communities, and con</w:t>
      </w:r>
      <w:r w:rsidR="13F8C2D7" w:rsidRPr="00946B76">
        <w:rPr>
          <w:rFonts w:ascii="Arial" w:eastAsiaTheme="majorEastAsia" w:hAnsi="Arial" w:cs="Arial"/>
          <w:sz w:val="24"/>
          <w:szCs w:val="24"/>
        </w:rPr>
        <w:t>ve</w:t>
      </w:r>
      <w:r w:rsidR="3C14032D" w:rsidRPr="00946B76">
        <w:rPr>
          <w:rFonts w:ascii="Arial" w:eastAsiaTheme="majorEastAsia" w:hAnsi="Arial" w:cs="Arial"/>
          <w:sz w:val="24"/>
          <w:szCs w:val="24"/>
        </w:rPr>
        <w:t>rsel</w:t>
      </w:r>
      <w:r w:rsidR="550E3C4E" w:rsidRPr="00946B76">
        <w:rPr>
          <w:rFonts w:ascii="Arial" w:eastAsiaTheme="majorEastAsia" w:hAnsi="Arial" w:cs="Arial"/>
          <w:sz w:val="24"/>
          <w:szCs w:val="24"/>
        </w:rPr>
        <w:t xml:space="preserve">y </w:t>
      </w:r>
      <w:r w:rsidR="13F8C2D7" w:rsidRPr="00946B76">
        <w:rPr>
          <w:rFonts w:ascii="Arial" w:eastAsiaTheme="majorEastAsia" w:hAnsi="Arial" w:cs="Arial"/>
          <w:sz w:val="24"/>
          <w:szCs w:val="24"/>
        </w:rPr>
        <w:t xml:space="preserve">Covid restrictions meant that people could not volunteer in formal, organisational settings (other than online) for much of 2020 and parts of 2021). </w:t>
      </w:r>
    </w:p>
    <w:p w14:paraId="06E90090" w14:textId="24E4081C" w:rsidR="4F068897" w:rsidRPr="00946B76" w:rsidRDefault="61385D0F" w:rsidP="25F722A2">
      <w:pPr>
        <w:spacing w:line="360" w:lineRule="auto"/>
        <w:rPr>
          <w:rFonts w:ascii="Arial" w:eastAsiaTheme="majorEastAsia" w:hAnsi="Arial" w:cs="Arial"/>
          <w:sz w:val="24"/>
          <w:szCs w:val="24"/>
        </w:rPr>
      </w:pPr>
      <w:r w:rsidRPr="00946B76">
        <w:rPr>
          <w:rFonts w:ascii="Arial" w:eastAsiaTheme="majorEastAsia" w:hAnsi="Arial" w:cs="Arial"/>
          <w:sz w:val="24"/>
          <w:szCs w:val="24"/>
        </w:rPr>
        <w:t xml:space="preserve">So </w:t>
      </w:r>
      <w:r w:rsidR="2D933FF8" w:rsidRPr="00946B76">
        <w:rPr>
          <w:rFonts w:ascii="Arial" w:eastAsiaTheme="majorEastAsia" w:hAnsi="Arial" w:cs="Arial"/>
          <w:sz w:val="24"/>
          <w:szCs w:val="24"/>
        </w:rPr>
        <w:t xml:space="preserve">if volunteering levels are stable what is this analysis really telling us? </w:t>
      </w:r>
      <w:r w:rsidR="09BF6C5A" w:rsidRPr="00946B76">
        <w:rPr>
          <w:rFonts w:ascii="Arial" w:eastAsiaTheme="majorEastAsia" w:hAnsi="Arial" w:cs="Arial"/>
          <w:sz w:val="24"/>
          <w:szCs w:val="24"/>
        </w:rPr>
        <w:t xml:space="preserve">We began the work thinking that the data would provide insights into attitudes to volunteering and how they translated into later behaviour. </w:t>
      </w:r>
      <w:r w:rsidR="63D561E2" w:rsidRPr="00946B76">
        <w:rPr>
          <w:rFonts w:ascii="Arial" w:eastAsiaTheme="majorEastAsia" w:hAnsi="Arial" w:cs="Arial"/>
          <w:sz w:val="24"/>
          <w:szCs w:val="24"/>
        </w:rPr>
        <w:t>Given the lack of change of volunteering rates, the</w:t>
      </w:r>
      <w:r w:rsidR="0DBA33D7" w:rsidRPr="00946B76">
        <w:rPr>
          <w:rFonts w:ascii="Arial" w:eastAsiaTheme="majorEastAsia" w:hAnsi="Arial" w:cs="Arial"/>
          <w:sz w:val="24"/>
          <w:szCs w:val="24"/>
        </w:rPr>
        <w:t xml:space="preserve">re doesn’t seem to be an obvious connection between the lack of interest expressed by individuals in volunteering when they were 50, and the behaviour of the same group of people some years later. </w:t>
      </w:r>
      <w:r w:rsidR="20653239" w:rsidRPr="00946B76">
        <w:rPr>
          <w:rFonts w:ascii="Arial" w:eastAsiaTheme="majorEastAsia" w:hAnsi="Arial" w:cs="Arial"/>
          <w:sz w:val="24"/>
          <w:szCs w:val="24"/>
        </w:rPr>
        <w:t xml:space="preserve">The position of volunteering in people’s priorities as something that comes after other commitments and activities is also unpromising. </w:t>
      </w:r>
      <w:r w:rsidR="0DBA33D7" w:rsidRPr="00946B76">
        <w:rPr>
          <w:rFonts w:ascii="Arial" w:eastAsiaTheme="majorEastAsia" w:hAnsi="Arial" w:cs="Arial"/>
          <w:sz w:val="24"/>
          <w:szCs w:val="24"/>
        </w:rPr>
        <w:t>However the tentative evidence</w:t>
      </w:r>
      <w:r w:rsidR="013502EF" w:rsidRPr="00946B76">
        <w:rPr>
          <w:rFonts w:ascii="Arial" w:eastAsiaTheme="majorEastAsia" w:hAnsi="Arial" w:cs="Arial"/>
          <w:sz w:val="24"/>
          <w:szCs w:val="24"/>
        </w:rPr>
        <w:t xml:space="preserve"> of gender divisions and an educational gradient could suggest some scope for action. </w:t>
      </w:r>
      <w:r w:rsidR="58A38106" w:rsidRPr="00946B76">
        <w:rPr>
          <w:rFonts w:ascii="Arial" w:eastAsiaTheme="majorEastAsia" w:hAnsi="Arial" w:cs="Arial"/>
          <w:sz w:val="24"/>
          <w:szCs w:val="24"/>
        </w:rPr>
        <w:t xml:space="preserve">Clearly it’s not going to be possible to </w:t>
      </w:r>
      <w:r w:rsidR="10B797C3" w:rsidRPr="00946B76">
        <w:rPr>
          <w:rFonts w:ascii="Arial" w:eastAsiaTheme="majorEastAsia" w:hAnsi="Arial" w:cs="Arial"/>
          <w:sz w:val="24"/>
          <w:szCs w:val="24"/>
        </w:rPr>
        <w:t xml:space="preserve">raise volunteering levels unless we raise awareness of </w:t>
      </w:r>
      <w:r w:rsidR="10B797C3" w:rsidRPr="00946B76">
        <w:rPr>
          <w:rFonts w:ascii="Arial" w:eastAsiaTheme="majorEastAsia" w:hAnsi="Arial" w:cs="Arial"/>
          <w:sz w:val="24"/>
          <w:szCs w:val="24"/>
        </w:rPr>
        <w:lastRenderedPageBreak/>
        <w:t>the need for volunteers</w:t>
      </w:r>
      <w:r w:rsidR="2647967B" w:rsidRPr="00946B76">
        <w:rPr>
          <w:rFonts w:ascii="Arial" w:eastAsiaTheme="majorEastAsia" w:hAnsi="Arial" w:cs="Arial"/>
          <w:sz w:val="24"/>
          <w:szCs w:val="24"/>
        </w:rPr>
        <w:t xml:space="preserve">, </w:t>
      </w:r>
      <w:r w:rsidR="30AE34F4" w:rsidRPr="00946B76">
        <w:rPr>
          <w:rFonts w:ascii="Arial" w:eastAsiaTheme="majorEastAsia" w:hAnsi="Arial" w:cs="Arial"/>
          <w:sz w:val="24"/>
          <w:szCs w:val="24"/>
        </w:rPr>
        <w:t xml:space="preserve">and </w:t>
      </w:r>
      <w:r w:rsidR="7DF83C4B" w:rsidRPr="00946B76">
        <w:rPr>
          <w:rFonts w:ascii="Arial" w:eastAsiaTheme="majorEastAsia" w:hAnsi="Arial" w:cs="Arial"/>
          <w:sz w:val="24"/>
          <w:szCs w:val="24"/>
        </w:rPr>
        <w:t xml:space="preserve">perhaps the differences revealed by analyses of this kind can be helpful here. </w:t>
      </w:r>
    </w:p>
    <w:p w14:paraId="7F3BA088" w14:textId="1C1B1252" w:rsidR="4F068897" w:rsidRPr="00946B76" w:rsidRDefault="6F4C223E" w:rsidP="26234BE2">
      <w:pPr>
        <w:spacing w:line="360" w:lineRule="auto"/>
        <w:rPr>
          <w:rFonts w:ascii="Arial" w:eastAsiaTheme="majorEastAsia" w:hAnsi="Arial" w:cs="Arial"/>
          <w:sz w:val="24"/>
          <w:szCs w:val="24"/>
        </w:rPr>
      </w:pPr>
      <w:r w:rsidRPr="00946B76">
        <w:rPr>
          <w:rFonts w:ascii="Arial" w:eastAsiaTheme="majorEastAsia" w:hAnsi="Arial" w:cs="Arial"/>
          <w:sz w:val="24"/>
          <w:szCs w:val="24"/>
        </w:rPr>
        <w:t xml:space="preserve">Moving forward, </w:t>
      </w:r>
      <w:r w:rsidR="66EA5B05" w:rsidRPr="00946B76">
        <w:rPr>
          <w:rFonts w:ascii="Arial" w:eastAsiaTheme="majorEastAsia" w:hAnsi="Arial" w:cs="Arial"/>
          <w:sz w:val="24"/>
          <w:szCs w:val="24"/>
        </w:rPr>
        <w:t xml:space="preserve">what would further analysis look like? We </w:t>
      </w:r>
      <w:r w:rsidRPr="00946B76">
        <w:rPr>
          <w:rFonts w:ascii="Arial" w:eastAsiaTheme="majorEastAsia" w:hAnsi="Arial" w:cs="Arial"/>
          <w:sz w:val="24"/>
          <w:szCs w:val="24"/>
        </w:rPr>
        <w:t>would like to examine and compare the outputs of all models qualitatively. We are curious to see whether topic 23 from the topic model approach might have some overlap with categories from the machine learning approaches. We are eager to find out to what extent the machine learning models understood the assignment we gave them or if they perhaps picked up things we had not yet considered.</w:t>
      </w:r>
    </w:p>
    <w:p w14:paraId="27D87F49" w14:textId="00F2586F" w:rsidR="78C2A8E5" w:rsidRPr="00946B76" w:rsidRDefault="78C2A8E5" w:rsidP="156658EE">
      <w:pPr>
        <w:spacing w:line="360" w:lineRule="auto"/>
        <w:ind w:firstLine="708"/>
        <w:rPr>
          <w:rFonts w:ascii="Arial" w:eastAsiaTheme="majorEastAsia" w:hAnsi="Arial" w:cs="Arial"/>
          <w:sz w:val="24"/>
          <w:szCs w:val="24"/>
        </w:rPr>
      </w:pPr>
      <w:r w:rsidRPr="00946B76">
        <w:rPr>
          <w:rFonts w:ascii="Arial" w:eastAsiaTheme="majorEastAsia" w:hAnsi="Arial" w:cs="Arial"/>
          <w:sz w:val="24"/>
          <w:szCs w:val="24"/>
        </w:rPr>
        <w:t>After this evaluation step, we might return to the drawing board for new label conceptualizations. When satisfied with conceptualization, but not with output, we shall dive deeper into the machine learning options. We are quite certain more advanced knowledge on the topic could lead us to fine-tune the model parameters to create a better ‘fishing net’.</w:t>
      </w:r>
    </w:p>
    <w:p w14:paraId="1A8C2001" w14:textId="349426E1" w:rsidR="78C2A8E5" w:rsidRPr="00946B76" w:rsidRDefault="6F4C223E" w:rsidP="156658EE">
      <w:pPr>
        <w:spacing w:line="360" w:lineRule="auto"/>
        <w:ind w:firstLine="708"/>
        <w:rPr>
          <w:rFonts w:ascii="Arial" w:eastAsiaTheme="majorEastAsia" w:hAnsi="Arial" w:cs="Arial"/>
          <w:sz w:val="24"/>
          <w:szCs w:val="24"/>
        </w:rPr>
      </w:pPr>
      <w:r w:rsidRPr="00946B76">
        <w:rPr>
          <w:rFonts w:ascii="Arial" w:eastAsiaTheme="majorEastAsia" w:hAnsi="Arial" w:cs="Arial"/>
          <w:sz w:val="24"/>
          <w:szCs w:val="24"/>
        </w:rPr>
        <w:t>Finally, when we are satisfied with the working of our model(s) of choice, we have the ambition of correlating its outputs with other survey data. F</w:t>
      </w:r>
      <w:r w:rsidR="0C6D78E2" w:rsidRPr="00946B76">
        <w:rPr>
          <w:rFonts w:ascii="Arial" w:eastAsiaTheme="majorEastAsia" w:hAnsi="Arial" w:cs="Arial"/>
          <w:sz w:val="24"/>
          <w:szCs w:val="24"/>
        </w:rPr>
        <w:t xml:space="preserve">or example, </w:t>
      </w:r>
      <w:r w:rsidRPr="00946B76">
        <w:rPr>
          <w:rFonts w:ascii="Arial" w:eastAsiaTheme="majorEastAsia" w:hAnsi="Arial" w:cs="Arial"/>
          <w:sz w:val="24"/>
          <w:szCs w:val="24"/>
        </w:rPr>
        <w:t>reported volunteering on a Likert scale (which is one of the earlier survey questions in the 2008 wave) could provide insights into the gap between qualitative and quantitative measurements.</w:t>
      </w:r>
    </w:p>
    <w:p w14:paraId="393E9342" w14:textId="06DC23AB" w:rsidR="26234BE2" w:rsidRPr="00946B76" w:rsidRDefault="26234BE2" w:rsidP="588AD3AF">
      <w:pPr>
        <w:spacing w:line="360" w:lineRule="auto"/>
        <w:rPr>
          <w:rFonts w:ascii="Arial" w:eastAsiaTheme="majorEastAsia" w:hAnsi="Arial" w:cs="Arial"/>
          <w:b/>
          <w:bCs/>
          <w:sz w:val="24"/>
          <w:szCs w:val="24"/>
        </w:rPr>
      </w:pPr>
    </w:p>
    <w:p w14:paraId="6E40B980" w14:textId="3B0E3ECD" w:rsidR="26234BE2" w:rsidRPr="00946B76" w:rsidRDefault="26234BE2" w:rsidP="588AD3AF">
      <w:pPr>
        <w:spacing w:line="360" w:lineRule="auto"/>
        <w:rPr>
          <w:rFonts w:ascii="Arial" w:eastAsiaTheme="majorEastAsia" w:hAnsi="Arial" w:cs="Arial"/>
          <w:sz w:val="24"/>
          <w:szCs w:val="24"/>
        </w:rPr>
      </w:pPr>
    </w:p>
    <w:p w14:paraId="1189AF03" w14:textId="6EB40784" w:rsidR="26234BE2" w:rsidRPr="00946B76" w:rsidRDefault="26234BE2" w:rsidP="588AD3AF">
      <w:pPr>
        <w:spacing w:line="360" w:lineRule="auto"/>
        <w:rPr>
          <w:rFonts w:ascii="Arial" w:eastAsiaTheme="majorEastAsia" w:hAnsi="Arial" w:cs="Arial"/>
          <w:b/>
          <w:bCs/>
          <w:sz w:val="24"/>
          <w:szCs w:val="24"/>
        </w:rPr>
      </w:pPr>
    </w:p>
    <w:p w14:paraId="6E9514C4" w14:textId="2133A05E" w:rsidR="26234BE2" w:rsidRPr="00946B76" w:rsidRDefault="26234BE2" w:rsidP="26234BE2">
      <w:pPr>
        <w:spacing w:line="360" w:lineRule="auto"/>
        <w:rPr>
          <w:rFonts w:ascii="Arial" w:eastAsiaTheme="majorEastAsia" w:hAnsi="Arial" w:cs="Arial"/>
          <w:b/>
          <w:bCs/>
          <w:sz w:val="24"/>
          <w:szCs w:val="24"/>
        </w:rPr>
      </w:pPr>
    </w:p>
    <w:p w14:paraId="7F7B3BD2" w14:textId="2DC3A411" w:rsidR="78C2A8E5" w:rsidRPr="00946B76" w:rsidRDefault="6F4C223E" w:rsidP="25F722A2">
      <w:pPr>
        <w:spacing w:line="360" w:lineRule="auto"/>
        <w:rPr>
          <w:rFonts w:ascii="Arial" w:eastAsiaTheme="majorEastAsia" w:hAnsi="Arial" w:cs="Arial"/>
          <w:sz w:val="24"/>
          <w:szCs w:val="24"/>
        </w:rPr>
      </w:pPr>
      <w:r w:rsidRPr="00946B76">
        <w:rPr>
          <w:rFonts w:ascii="Arial" w:eastAsiaTheme="majorEastAsia" w:hAnsi="Arial" w:cs="Arial"/>
          <w:sz w:val="24"/>
          <w:szCs w:val="24"/>
        </w:rPr>
        <w:t>7. Bibliography/References</w:t>
      </w:r>
    </w:p>
    <w:p w14:paraId="5B85DEE8" w14:textId="7F9D74DA" w:rsidR="78C2A8E5" w:rsidRPr="00946B76" w:rsidRDefault="6F4C223E" w:rsidP="26234BE2">
      <w:pPr>
        <w:ind w:left="720" w:hanging="720"/>
        <w:rPr>
          <w:rFonts w:ascii="Arial" w:eastAsiaTheme="majorEastAsia" w:hAnsi="Arial" w:cs="Arial"/>
          <w:sz w:val="24"/>
          <w:szCs w:val="24"/>
        </w:rPr>
      </w:pPr>
      <w:r w:rsidRPr="00946B76">
        <w:rPr>
          <w:rFonts w:ascii="Arial" w:eastAsiaTheme="majorEastAsia" w:hAnsi="Arial" w:cs="Arial"/>
          <w:color w:val="000000" w:themeColor="text1"/>
          <w:sz w:val="24"/>
          <w:szCs w:val="24"/>
        </w:rPr>
        <w:t xml:space="preserve">C. (n.d.). </w:t>
      </w:r>
      <w:r w:rsidRPr="00946B76">
        <w:rPr>
          <w:rFonts w:ascii="Arial" w:eastAsiaTheme="majorEastAsia" w:hAnsi="Arial" w:cs="Arial"/>
          <w:i/>
          <w:iCs/>
          <w:color w:val="000000" w:themeColor="text1"/>
          <w:sz w:val="24"/>
          <w:szCs w:val="24"/>
        </w:rPr>
        <w:t>r-course-material/machine_learning.md at master · ccs-</w:t>
      </w:r>
      <w:proofErr w:type="spellStart"/>
      <w:r w:rsidRPr="00946B76">
        <w:rPr>
          <w:rFonts w:ascii="Arial" w:eastAsiaTheme="majorEastAsia" w:hAnsi="Arial" w:cs="Arial"/>
          <w:i/>
          <w:iCs/>
          <w:color w:val="000000" w:themeColor="text1"/>
          <w:sz w:val="24"/>
          <w:szCs w:val="24"/>
        </w:rPr>
        <w:t>amsterdam</w:t>
      </w:r>
      <w:proofErr w:type="spellEnd"/>
      <w:r w:rsidRPr="00946B76">
        <w:rPr>
          <w:rFonts w:ascii="Arial" w:eastAsiaTheme="majorEastAsia" w:hAnsi="Arial" w:cs="Arial"/>
          <w:i/>
          <w:iCs/>
          <w:color w:val="000000" w:themeColor="text1"/>
          <w:sz w:val="24"/>
          <w:szCs w:val="24"/>
        </w:rPr>
        <w:t>/r-course-material</w:t>
      </w:r>
      <w:r w:rsidRPr="00946B76">
        <w:rPr>
          <w:rFonts w:ascii="Arial" w:eastAsiaTheme="majorEastAsia" w:hAnsi="Arial" w:cs="Arial"/>
          <w:color w:val="000000" w:themeColor="text1"/>
          <w:sz w:val="24"/>
          <w:szCs w:val="24"/>
        </w:rPr>
        <w:t xml:space="preserve">. GitHub. </w:t>
      </w:r>
      <w:hyperlink r:id="rId13">
        <w:r w:rsidRPr="00946B76">
          <w:rPr>
            <w:rStyle w:val="Hyperlink"/>
            <w:rFonts w:ascii="Arial" w:eastAsiaTheme="majorEastAsia" w:hAnsi="Arial" w:cs="Arial"/>
            <w:sz w:val="24"/>
            <w:szCs w:val="24"/>
          </w:rPr>
          <w:t>https://github.com/ccs-amsterdam/r-course-material/blob/master/tutorials/machine_learning.md</w:t>
        </w:r>
      </w:hyperlink>
    </w:p>
    <w:p w14:paraId="6424AF52" w14:textId="16F24AD9" w:rsidR="78C2A8E5" w:rsidRPr="00946B76" w:rsidRDefault="6F4C223E" w:rsidP="26234BE2">
      <w:pPr>
        <w:ind w:left="720" w:hanging="720"/>
        <w:rPr>
          <w:rFonts w:ascii="Arial" w:eastAsiaTheme="majorEastAsia" w:hAnsi="Arial" w:cs="Arial"/>
          <w:sz w:val="24"/>
          <w:szCs w:val="24"/>
        </w:rPr>
      </w:pPr>
      <w:r w:rsidRPr="00946B76">
        <w:rPr>
          <w:rFonts w:ascii="Arial" w:eastAsiaTheme="majorEastAsia" w:hAnsi="Arial" w:cs="Arial"/>
          <w:i/>
          <w:iCs/>
          <w:color w:val="000000" w:themeColor="text1"/>
          <w:sz w:val="24"/>
          <w:szCs w:val="24"/>
        </w:rPr>
        <w:t>CLS | 1958 National Child Development Study</w:t>
      </w:r>
      <w:r w:rsidRPr="00946B76">
        <w:rPr>
          <w:rFonts w:ascii="Arial" w:eastAsiaTheme="majorEastAsia" w:hAnsi="Arial" w:cs="Arial"/>
          <w:color w:val="000000" w:themeColor="text1"/>
          <w:sz w:val="24"/>
          <w:szCs w:val="24"/>
        </w:rPr>
        <w:t xml:space="preserve">. (n.d.). </w:t>
      </w:r>
      <w:hyperlink r:id="rId14">
        <w:r w:rsidRPr="00946B76">
          <w:rPr>
            <w:rStyle w:val="Hyperlink"/>
            <w:rFonts w:ascii="Arial" w:eastAsiaTheme="majorEastAsia" w:hAnsi="Arial" w:cs="Arial"/>
            <w:sz w:val="24"/>
            <w:szCs w:val="24"/>
          </w:rPr>
          <w:t>https://cls.ucl.ac.uk/cls-studies/1958-national-child-development-study/</w:t>
        </w:r>
      </w:hyperlink>
    </w:p>
    <w:p w14:paraId="5EA7CF90" w14:textId="598602E5" w:rsidR="78C2A8E5" w:rsidRPr="00946B76" w:rsidRDefault="78C2A8E5" w:rsidP="26234BE2">
      <w:pPr>
        <w:ind w:left="720" w:hanging="720"/>
        <w:rPr>
          <w:rFonts w:ascii="Arial" w:eastAsiaTheme="majorEastAsia" w:hAnsi="Arial" w:cs="Arial"/>
          <w:color w:val="222222"/>
          <w:sz w:val="24"/>
          <w:szCs w:val="24"/>
        </w:rPr>
      </w:pPr>
      <w:r w:rsidRPr="00946B76">
        <w:rPr>
          <w:rFonts w:ascii="Arial" w:eastAsiaTheme="majorEastAsia" w:hAnsi="Arial" w:cs="Arial"/>
          <w:color w:val="222222"/>
          <w:sz w:val="24"/>
          <w:szCs w:val="24"/>
        </w:rPr>
        <w:t xml:space="preserve">de Wit, A. (2020). ‘When I’m retired...’: Using topic </w:t>
      </w:r>
      <w:proofErr w:type="spellStart"/>
      <w:r w:rsidRPr="00946B76">
        <w:rPr>
          <w:rFonts w:ascii="Arial" w:eastAsiaTheme="majorEastAsia" w:hAnsi="Arial" w:cs="Arial"/>
          <w:color w:val="222222"/>
          <w:sz w:val="24"/>
          <w:szCs w:val="24"/>
        </w:rPr>
        <w:t>modeling</w:t>
      </w:r>
      <w:proofErr w:type="spellEnd"/>
      <w:r w:rsidRPr="00946B76">
        <w:rPr>
          <w:rFonts w:ascii="Arial" w:eastAsiaTheme="majorEastAsia" w:hAnsi="Arial" w:cs="Arial"/>
          <w:color w:val="222222"/>
          <w:sz w:val="24"/>
          <w:szCs w:val="24"/>
        </w:rPr>
        <w:t xml:space="preserve"> to </w:t>
      </w:r>
      <w:proofErr w:type="spellStart"/>
      <w:r w:rsidRPr="00946B76">
        <w:rPr>
          <w:rFonts w:ascii="Arial" w:eastAsiaTheme="majorEastAsia" w:hAnsi="Arial" w:cs="Arial"/>
          <w:color w:val="222222"/>
          <w:sz w:val="24"/>
          <w:szCs w:val="24"/>
        </w:rPr>
        <w:t>analyze</w:t>
      </w:r>
      <w:proofErr w:type="spellEnd"/>
      <w:r w:rsidRPr="00946B76">
        <w:rPr>
          <w:rFonts w:ascii="Arial" w:eastAsiaTheme="majorEastAsia" w:hAnsi="Arial" w:cs="Arial"/>
          <w:color w:val="222222"/>
          <w:sz w:val="24"/>
          <w:szCs w:val="24"/>
        </w:rPr>
        <w:t xml:space="preserve"> open-ended survey questions in the A Broader Mind Longitudinal Survey.</w:t>
      </w:r>
    </w:p>
    <w:p w14:paraId="600AB979" w14:textId="338074B2" w:rsidR="78C2A8E5" w:rsidRPr="00946B76" w:rsidRDefault="6F4C223E" w:rsidP="26234BE2">
      <w:pPr>
        <w:ind w:left="720" w:hanging="720"/>
        <w:rPr>
          <w:rFonts w:ascii="Arial" w:eastAsiaTheme="majorEastAsia" w:hAnsi="Arial" w:cs="Arial"/>
          <w:sz w:val="24"/>
          <w:szCs w:val="24"/>
        </w:rPr>
      </w:pPr>
      <w:r w:rsidRPr="00946B76">
        <w:rPr>
          <w:rFonts w:ascii="Arial" w:eastAsiaTheme="majorEastAsia" w:hAnsi="Arial" w:cs="Arial"/>
          <w:color w:val="222222"/>
          <w:sz w:val="24"/>
          <w:szCs w:val="24"/>
        </w:rPr>
        <w:lastRenderedPageBreak/>
        <w:t xml:space="preserve">DPG Media Privacy Gate. (n.d.). </w:t>
      </w:r>
      <w:hyperlink r:id="rId15">
        <w:r w:rsidRPr="00946B76">
          <w:rPr>
            <w:rStyle w:val="Hyperlink"/>
            <w:rFonts w:ascii="Arial" w:eastAsiaTheme="majorEastAsia" w:hAnsi="Arial" w:cs="Arial"/>
            <w:sz w:val="24"/>
            <w:szCs w:val="24"/>
          </w:rPr>
          <w:t>https://www.volkskrant.nl/nieuws-achtergrond/het-altruistisch-overschot~b1d7ff02/</w:t>
        </w:r>
      </w:hyperlink>
    </w:p>
    <w:p w14:paraId="5BC985B6" w14:textId="3169A872" w:rsidR="78C2A8E5" w:rsidRPr="00946B76" w:rsidRDefault="4870231B" w:rsidP="25F722A2">
      <w:pPr>
        <w:spacing w:after="0" w:line="276" w:lineRule="auto"/>
        <w:ind w:left="720" w:hanging="720"/>
        <w:rPr>
          <w:rFonts w:ascii="Arial" w:eastAsiaTheme="majorEastAsia" w:hAnsi="Arial" w:cs="Arial"/>
          <w:color w:val="000000" w:themeColor="text1"/>
          <w:sz w:val="24"/>
          <w:szCs w:val="24"/>
        </w:rPr>
      </w:pPr>
      <w:r w:rsidRPr="00946B76">
        <w:rPr>
          <w:rFonts w:ascii="Arial" w:eastAsiaTheme="majorEastAsia" w:hAnsi="Arial" w:cs="Arial"/>
          <w:color w:val="000000" w:themeColor="text1"/>
          <w:sz w:val="24"/>
          <w:szCs w:val="24"/>
          <w:lang w:val="en-US"/>
        </w:rPr>
        <w:t xml:space="preserve">Elliott, J. (2012). Imagine you are 60. Centre for Longitudinal Studies. </w:t>
      </w:r>
      <w:hyperlink r:id="rId16">
        <w:r w:rsidRPr="00946B76">
          <w:rPr>
            <w:rStyle w:val="Hyperlink"/>
            <w:rFonts w:ascii="Arial" w:eastAsiaTheme="majorEastAsia" w:hAnsi="Arial" w:cs="Arial"/>
            <w:sz w:val="24"/>
            <w:szCs w:val="24"/>
            <w:lang w:val="en-US"/>
          </w:rPr>
          <w:t>https://cls.ucl.ac.uk/wp</w:t>
        </w:r>
      </w:hyperlink>
      <w:r w:rsidRPr="00946B76">
        <w:rPr>
          <w:rFonts w:ascii="Arial" w:eastAsiaTheme="majorEastAsia" w:hAnsi="Arial" w:cs="Arial"/>
          <w:color w:val="000000" w:themeColor="text1"/>
          <w:sz w:val="24"/>
          <w:szCs w:val="24"/>
          <w:lang w:val="en-US"/>
        </w:rPr>
        <w:t xml:space="preserve">content/uploads/2017/07/FINAL-CLS-WP-20126.pd </w:t>
      </w:r>
    </w:p>
    <w:p w14:paraId="3BDC0448" w14:textId="2A195349" w:rsidR="78C2A8E5" w:rsidRPr="00946B76" w:rsidRDefault="78C2A8E5" w:rsidP="25F722A2">
      <w:pPr>
        <w:spacing w:line="276" w:lineRule="auto"/>
        <w:rPr>
          <w:rFonts w:ascii="Arial" w:eastAsiaTheme="majorEastAsia" w:hAnsi="Arial" w:cs="Arial"/>
          <w:color w:val="000000" w:themeColor="text1"/>
          <w:sz w:val="24"/>
          <w:szCs w:val="24"/>
        </w:rPr>
      </w:pPr>
    </w:p>
    <w:p w14:paraId="67DE1299" w14:textId="66D6C5E3" w:rsidR="78C2A8E5" w:rsidRPr="00946B76" w:rsidRDefault="6F4C223E" w:rsidP="25F722A2">
      <w:pPr>
        <w:ind w:left="720" w:hanging="720"/>
        <w:rPr>
          <w:rFonts w:ascii="Arial" w:eastAsiaTheme="majorEastAsia" w:hAnsi="Arial" w:cs="Arial"/>
          <w:color w:val="222222"/>
          <w:sz w:val="24"/>
          <w:szCs w:val="24"/>
        </w:rPr>
      </w:pPr>
      <w:r w:rsidRPr="00946B76">
        <w:rPr>
          <w:rFonts w:ascii="Arial" w:eastAsiaTheme="majorEastAsia" w:hAnsi="Arial" w:cs="Arial"/>
          <w:color w:val="222222"/>
          <w:sz w:val="24"/>
          <w:szCs w:val="24"/>
        </w:rPr>
        <w:t xml:space="preserve">Elliott, J. (2022). The Craft of Using NVivo12 to </w:t>
      </w:r>
      <w:proofErr w:type="spellStart"/>
      <w:r w:rsidRPr="00946B76">
        <w:rPr>
          <w:rFonts w:ascii="Arial" w:eastAsiaTheme="majorEastAsia" w:hAnsi="Arial" w:cs="Arial"/>
          <w:color w:val="222222"/>
          <w:sz w:val="24"/>
          <w:szCs w:val="24"/>
        </w:rPr>
        <w:t>Analyze</w:t>
      </w:r>
      <w:proofErr w:type="spellEnd"/>
      <w:r w:rsidRPr="00946B76">
        <w:rPr>
          <w:rFonts w:ascii="Arial" w:eastAsiaTheme="majorEastAsia" w:hAnsi="Arial" w:cs="Arial"/>
          <w:color w:val="222222"/>
          <w:sz w:val="24"/>
          <w:szCs w:val="24"/>
        </w:rPr>
        <w:t xml:space="preserve"> Open-Ended Questions: An Approach to Mixed-Methods Analysis. </w:t>
      </w:r>
      <w:r w:rsidRPr="00946B76">
        <w:rPr>
          <w:rFonts w:ascii="Arial" w:eastAsiaTheme="majorEastAsia" w:hAnsi="Arial" w:cs="Arial"/>
          <w:i/>
          <w:iCs/>
          <w:color w:val="222222"/>
          <w:sz w:val="24"/>
          <w:szCs w:val="24"/>
        </w:rPr>
        <w:t>The Qualitative Report</w:t>
      </w:r>
      <w:r w:rsidRPr="00946B76">
        <w:rPr>
          <w:rFonts w:ascii="Arial" w:eastAsiaTheme="majorEastAsia" w:hAnsi="Arial" w:cs="Arial"/>
          <w:color w:val="222222"/>
          <w:sz w:val="24"/>
          <w:szCs w:val="24"/>
        </w:rPr>
        <w:t xml:space="preserve">, </w:t>
      </w:r>
      <w:r w:rsidRPr="00946B76">
        <w:rPr>
          <w:rFonts w:ascii="Arial" w:eastAsiaTheme="majorEastAsia" w:hAnsi="Arial" w:cs="Arial"/>
          <w:i/>
          <w:iCs/>
          <w:color w:val="222222"/>
          <w:sz w:val="24"/>
          <w:szCs w:val="24"/>
        </w:rPr>
        <w:t>27</w:t>
      </w:r>
      <w:r w:rsidRPr="00946B76">
        <w:rPr>
          <w:rFonts w:ascii="Arial" w:eastAsiaTheme="majorEastAsia" w:hAnsi="Arial" w:cs="Arial"/>
          <w:color w:val="222222"/>
          <w:sz w:val="24"/>
          <w:szCs w:val="24"/>
        </w:rPr>
        <w:t>(6), 1673-1687.</w:t>
      </w:r>
    </w:p>
    <w:p w14:paraId="66675E18" w14:textId="4C4AC7D3" w:rsidR="78C2A8E5" w:rsidRPr="00946B76" w:rsidRDefault="78C2A8E5" w:rsidP="26234BE2">
      <w:pPr>
        <w:ind w:left="720" w:hanging="720"/>
        <w:rPr>
          <w:rFonts w:ascii="Arial" w:eastAsiaTheme="majorEastAsia" w:hAnsi="Arial" w:cs="Arial"/>
          <w:color w:val="000000" w:themeColor="text1"/>
          <w:sz w:val="24"/>
          <w:szCs w:val="24"/>
        </w:rPr>
      </w:pPr>
      <w:proofErr w:type="spellStart"/>
      <w:r w:rsidRPr="00946B76">
        <w:rPr>
          <w:rFonts w:ascii="Arial" w:eastAsiaTheme="majorEastAsia" w:hAnsi="Arial" w:cs="Arial"/>
          <w:color w:val="000000" w:themeColor="text1"/>
          <w:sz w:val="24"/>
          <w:szCs w:val="24"/>
        </w:rPr>
        <w:t>Hustinx</w:t>
      </w:r>
      <w:proofErr w:type="spellEnd"/>
      <w:r w:rsidRPr="00946B76">
        <w:rPr>
          <w:rFonts w:ascii="Arial" w:eastAsiaTheme="majorEastAsia" w:hAnsi="Arial" w:cs="Arial"/>
          <w:color w:val="000000" w:themeColor="text1"/>
          <w:sz w:val="24"/>
          <w:szCs w:val="24"/>
        </w:rPr>
        <w:t xml:space="preserve">, L., Grubb, A., </w:t>
      </w:r>
      <w:proofErr w:type="spellStart"/>
      <w:r w:rsidRPr="00946B76">
        <w:rPr>
          <w:rFonts w:ascii="Arial" w:eastAsiaTheme="majorEastAsia" w:hAnsi="Arial" w:cs="Arial"/>
          <w:color w:val="000000" w:themeColor="text1"/>
          <w:sz w:val="24"/>
          <w:szCs w:val="24"/>
        </w:rPr>
        <w:t>Rameder</w:t>
      </w:r>
      <w:proofErr w:type="spellEnd"/>
      <w:r w:rsidRPr="00946B76">
        <w:rPr>
          <w:rFonts w:ascii="Arial" w:eastAsiaTheme="majorEastAsia" w:hAnsi="Arial" w:cs="Arial"/>
          <w:color w:val="000000" w:themeColor="text1"/>
          <w:sz w:val="24"/>
          <w:szCs w:val="24"/>
        </w:rPr>
        <w:t xml:space="preserve">, P. et al. (2022). Inequality in Volunteering: Building a New Research Front. </w:t>
      </w:r>
      <w:r w:rsidRPr="00946B76">
        <w:rPr>
          <w:rFonts w:ascii="Arial" w:eastAsiaTheme="majorEastAsia" w:hAnsi="Arial" w:cs="Arial"/>
          <w:i/>
          <w:iCs/>
          <w:color w:val="000000" w:themeColor="text1"/>
          <w:sz w:val="24"/>
          <w:szCs w:val="24"/>
        </w:rPr>
        <w:t xml:space="preserve">VOLUNTAS: International Journal of Voluntary and </w:t>
      </w:r>
      <w:proofErr w:type="spellStart"/>
      <w:r w:rsidRPr="00946B76">
        <w:rPr>
          <w:rFonts w:ascii="Arial" w:eastAsiaTheme="majorEastAsia" w:hAnsi="Arial" w:cs="Arial"/>
          <w:i/>
          <w:iCs/>
          <w:color w:val="000000" w:themeColor="text1"/>
          <w:sz w:val="24"/>
          <w:szCs w:val="24"/>
        </w:rPr>
        <w:t>Nonprofit</w:t>
      </w:r>
      <w:proofErr w:type="spellEnd"/>
      <w:r w:rsidRPr="00946B76">
        <w:rPr>
          <w:rFonts w:ascii="Arial" w:eastAsiaTheme="majorEastAsia" w:hAnsi="Arial" w:cs="Arial"/>
          <w:i/>
          <w:iCs/>
          <w:color w:val="000000" w:themeColor="text1"/>
          <w:sz w:val="24"/>
          <w:szCs w:val="24"/>
        </w:rPr>
        <w:t xml:space="preserve"> Organizations</w:t>
      </w:r>
      <w:r w:rsidRPr="00946B76">
        <w:rPr>
          <w:rFonts w:ascii="Arial" w:eastAsiaTheme="majorEastAsia" w:hAnsi="Arial" w:cs="Arial"/>
          <w:color w:val="000000" w:themeColor="text1"/>
          <w:sz w:val="24"/>
          <w:szCs w:val="24"/>
        </w:rPr>
        <w:t xml:space="preserve"> 33, 1–17.</w:t>
      </w:r>
    </w:p>
    <w:p w14:paraId="48AE860B" w14:textId="2FD0F342" w:rsidR="78C2A8E5" w:rsidRPr="00946B76" w:rsidRDefault="78C2A8E5" w:rsidP="26234BE2">
      <w:pPr>
        <w:ind w:left="720" w:hanging="720"/>
        <w:rPr>
          <w:rFonts w:ascii="Arial" w:eastAsiaTheme="majorEastAsia" w:hAnsi="Arial" w:cs="Arial"/>
          <w:color w:val="222222"/>
          <w:sz w:val="24"/>
          <w:szCs w:val="24"/>
        </w:rPr>
      </w:pPr>
      <w:r w:rsidRPr="00946B76">
        <w:rPr>
          <w:rFonts w:ascii="Arial" w:eastAsiaTheme="majorEastAsia" w:hAnsi="Arial" w:cs="Arial"/>
          <w:color w:val="222222"/>
          <w:sz w:val="24"/>
          <w:szCs w:val="24"/>
        </w:rPr>
        <w:t xml:space="preserve">Jacobi, C., Van </w:t>
      </w:r>
      <w:proofErr w:type="spellStart"/>
      <w:r w:rsidRPr="00946B76">
        <w:rPr>
          <w:rFonts w:ascii="Arial" w:eastAsiaTheme="majorEastAsia" w:hAnsi="Arial" w:cs="Arial"/>
          <w:color w:val="222222"/>
          <w:sz w:val="24"/>
          <w:szCs w:val="24"/>
        </w:rPr>
        <w:t>Atteveldt</w:t>
      </w:r>
      <w:proofErr w:type="spellEnd"/>
      <w:r w:rsidRPr="00946B76">
        <w:rPr>
          <w:rFonts w:ascii="Arial" w:eastAsiaTheme="majorEastAsia" w:hAnsi="Arial" w:cs="Arial"/>
          <w:color w:val="222222"/>
          <w:sz w:val="24"/>
          <w:szCs w:val="24"/>
        </w:rPr>
        <w:t xml:space="preserve">, W., &amp; </w:t>
      </w:r>
      <w:proofErr w:type="spellStart"/>
      <w:r w:rsidRPr="00946B76">
        <w:rPr>
          <w:rFonts w:ascii="Arial" w:eastAsiaTheme="majorEastAsia" w:hAnsi="Arial" w:cs="Arial"/>
          <w:color w:val="222222"/>
          <w:sz w:val="24"/>
          <w:szCs w:val="24"/>
        </w:rPr>
        <w:t>Welbers</w:t>
      </w:r>
      <w:proofErr w:type="spellEnd"/>
      <w:r w:rsidRPr="00946B76">
        <w:rPr>
          <w:rFonts w:ascii="Arial" w:eastAsiaTheme="majorEastAsia" w:hAnsi="Arial" w:cs="Arial"/>
          <w:color w:val="222222"/>
          <w:sz w:val="24"/>
          <w:szCs w:val="24"/>
        </w:rPr>
        <w:t xml:space="preserve">, K. (2018). Quantitative analysis of large amounts of journalistic texts using topic modelling. In </w:t>
      </w:r>
      <w:r w:rsidRPr="00946B76">
        <w:rPr>
          <w:rFonts w:ascii="Arial" w:eastAsiaTheme="majorEastAsia" w:hAnsi="Arial" w:cs="Arial"/>
          <w:i/>
          <w:iCs/>
          <w:color w:val="222222"/>
          <w:sz w:val="24"/>
          <w:szCs w:val="24"/>
        </w:rPr>
        <w:t>Rethinking Research Methods in an Age of Digital Journalism</w:t>
      </w:r>
      <w:r w:rsidRPr="00946B76">
        <w:rPr>
          <w:rFonts w:ascii="Arial" w:eastAsiaTheme="majorEastAsia" w:hAnsi="Arial" w:cs="Arial"/>
          <w:color w:val="222222"/>
          <w:sz w:val="24"/>
          <w:szCs w:val="24"/>
        </w:rPr>
        <w:t xml:space="preserve"> (pp. 89-106). Routledge.</w:t>
      </w:r>
    </w:p>
    <w:p w14:paraId="019375D6" w14:textId="7BE6339A" w:rsidR="78C2A8E5" w:rsidRPr="00946B76" w:rsidRDefault="78C2A8E5" w:rsidP="26234BE2">
      <w:pPr>
        <w:ind w:left="720" w:hanging="720"/>
        <w:rPr>
          <w:rFonts w:ascii="Arial" w:eastAsiaTheme="majorEastAsia" w:hAnsi="Arial" w:cs="Arial"/>
          <w:color w:val="222222"/>
          <w:sz w:val="24"/>
          <w:szCs w:val="24"/>
        </w:rPr>
      </w:pPr>
      <w:proofErr w:type="spellStart"/>
      <w:r w:rsidRPr="00946B76">
        <w:rPr>
          <w:rFonts w:ascii="Arial" w:eastAsiaTheme="majorEastAsia" w:hAnsi="Arial" w:cs="Arial"/>
          <w:color w:val="222222"/>
          <w:sz w:val="24"/>
          <w:szCs w:val="24"/>
        </w:rPr>
        <w:t>Jelodar</w:t>
      </w:r>
      <w:proofErr w:type="spellEnd"/>
      <w:r w:rsidRPr="00946B76">
        <w:rPr>
          <w:rFonts w:ascii="Arial" w:eastAsiaTheme="majorEastAsia" w:hAnsi="Arial" w:cs="Arial"/>
          <w:color w:val="222222"/>
          <w:sz w:val="24"/>
          <w:szCs w:val="24"/>
        </w:rPr>
        <w:t xml:space="preserve">, H., Wang, Y., Yuan, C., Feng, X., Jiang, X., Li, Y., &amp; Zhao, L. (2019). Latent Dirichlet allocation (LDA) and topic </w:t>
      </w:r>
      <w:proofErr w:type="spellStart"/>
      <w:r w:rsidRPr="00946B76">
        <w:rPr>
          <w:rFonts w:ascii="Arial" w:eastAsiaTheme="majorEastAsia" w:hAnsi="Arial" w:cs="Arial"/>
          <w:color w:val="222222"/>
          <w:sz w:val="24"/>
          <w:szCs w:val="24"/>
        </w:rPr>
        <w:t>modeling</w:t>
      </w:r>
      <w:proofErr w:type="spellEnd"/>
      <w:r w:rsidRPr="00946B76">
        <w:rPr>
          <w:rFonts w:ascii="Arial" w:eastAsiaTheme="majorEastAsia" w:hAnsi="Arial" w:cs="Arial"/>
          <w:color w:val="222222"/>
          <w:sz w:val="24"/>
          <w:szCs w:val="24"/>
        </w:rPr>
        <w:t xml:space="preserve">: models, applications, a survey. </w:t>
      </w:r>
      <w:r w:rsidRPr="00946B76">
        <w:rPr>
          <w:rFonts w:ascii="Arial" w:eastAsiaTheme="majorEastAsia" w:hAnsi="Arial" w:cs="Arial"/>
          <w:i/>
          <w:iCs/>
          <w:color w:val="222222"/>
          <w:sz w:val="24"/>
          <w:szCs w:val="24"/>
        </w:rPr>
        <w:t>Multimedia Tools and Applications</w:t>
      </w:r>
      <w:r w:rsidRPr="00946B76">
        <w:rPr>
          <w:rFonts w:ascii="Arial" w:eastAsiaTheme="majorEastAsia" w:hAnsi="Arial" w:cs="Arial"/>
          <w:color w:val="222222"/>
          <w:sz w:val="24"/>
          <w:szCs w:val="24"/>
        </w:rPr>
        <w:t xml:space="preserve">, </w:t>
      </w:r>
      <w:r w:rsidRPr="00946B76">
        <w:rPr>
          <w:rFonts w:ascii="Arial" w:eastAsiaTheme="majorEastAsia" w:hAnsi="Arial" w:cs="Arial"/>
          <w:i/>
          <w:iCs/>
          <w:color w:val="222222"/>
          <w:sz w:val="24"/>
          <w:szCs w:val="24"/>
        </w:rPr>
        <w:t>78</w:t>
      </w:r>
      <w:r w:rsidRPr="00946B76">
        <w:rPr>
          <w:rFonts w:ascii="Arial" w:eastAsiaTheme="majorEastAsia" w:hAnsi="Arial" w:cs="Arial"/>
          <w:color w:val="222222"/>
          <w:sz w:val="24"/>
          <w:szCs w:val="24"/>
        </w:rPr>
        <w:t>, 15169-15211.</w:t>
      </w:r>
    </w:p>
    <w:p w14:paraId="13D56B67" w14:textId="049FF1DE" w:rsidR="78C2A8E5" w:rsidRPr="00946B76" w:rsidRDefault="78C2A8E5" w:rsidP="26234BE2">
      <w:pPr>
        <w:ind w:left="720" w:hanging="720"/>
        <w:rPr>
          <w:rFonts w:ascii="Arial" w:eastAsiaTheme="majorEastAsia" w:hAnsi="Arial" w:cs="Arial"/>
          <w:color w:val="000000" w:themeColor="text1"/>
          <w:sz w:val="24"/>
          <w:szCs w:val="24"/>
        </w:rPr>
      </w:pPr>
      <w:r w:rsidRPr="00946B76">
        <w:rPr>
          <w:rFonts w:ascii="Arial" w:eastAsiaTheme="majorEastAsia" w:hAnsi="Arial" w:cs="Arial"/>
          <w:color w:val="000000" w:themeColor="text1"/>
          <w:sz w:val="24"/>
          <w:szCs w:val="24"/>
        </w:rPr>
        <w:t xml:space="preserve">Kendall, J., Mohan, J., Brookes, N., &amp; Yoon, Y. (2018). The English voluntary sector: How volunteering and policy climate perceptions matter. </w:t>
      </w:r>
      <w:r w:rsidRPr="00946B76">
        <w:rPr>
          <w:rFonts w:ascii="Arial" w:eastAsiaTheme="majorEastAsia" w:hAnsi="Arial" w:cs="Arial"/>
          <w:i/>
          <w:iCs/>
          <w:color w:val="000000" w:themeColor="text1"/>
          <w:sz w:val="24"/>
          <w:szCs w:val="24"/>
        </w:rPr>
        <w:t>Journal of Social Policy</w:t>
      </w:r>
      <w:r w:rsidRPr="00946B76">
        <w:rPr>
          <w:rFonts w:ascii="Arial" w:eastAsiaTheme="majorEastAsia" w:hAnsi="Arial" w:cs="Arial"/>
          <w:color w:val="000000" w:themeColor="text1"/>
          <w:sz w:val="24"/>
          <w:szCs w:val="24"/>
        </w:rPr>
        <w:t>, 47(4), 759-782.</w:t>
      </w:r>
    </w:p>
    <w:p w14:paraId="76AEF067" w14:textId="7C0ADBE8" w:rsidR="78C2A8E5" w:rsidRPr="00946B76" w:rsidRDefault="0DA0432C" w:rsidP="25F722A2">
      <w:pPr>
        <w:ind w:left="567" w:hanging="567"/>
        <w:rPr>
          <w:rFonts w:ascii="Arial" w:eastAsiaTheme="majorEastAsia" w:hAnsi="Arial" w:cs="Arial"/>
          <w:color w:val="000000" w:themeColor="text1"/>
          <w:sz w:val="24"/>
          <w:szCs w:val="24"/>
        </w:rPr>
      </w:pPr>
      <w:r w:rsidRPr="00946B76">
        <w:rPr>
          <w:rFonts w:ascii="Arial" w:eastAsiaTheme="majorEastAsia" w:hAnsi="Arial" w:cs="Arial"/>
          <w:color w:val="000000" w:themeColor="text1"/>
          <w:sz w:val="24"/>
          <w:szCs w:val="24"/>
        </w:rPr>
        <w:t xml:space="preserve">Letwin, O. (2003) </w:t>
      </w:r>
      <w:r w:rsidRPr="00946B76">
        <w:rPr>
          <w:rFonts w:ascii="Arial" w:eastAsia="Segoe UI" w:hAnsi="Arial" w:cs="Arial"/>
          <w:color w:val="333333"/>
          <w:sz w:val="24"/>
          <w:szCs w:val="24"/>
        </w:rPr>
        <w:t xml:space="preserve">The neighbourly society: collected speeches 2001-3. London: Centre for Policy Studies. available at https://cps.org.uk/research/the-neighbourly-society-collected-speeches-2001-2003/ </w:t>
      </w:r>
      <w:r w:rsidRPr="00946B76">
        <w:rPr>
          <w:rFonts w:ascii="Arial" w:eastAsia="Calibri Light" w:hAnsi="Arial" w:cs="Arial"/>
          <w:sz w:val="24"/>
          <w:szCs w:val="24"/>
        </w:rPr>
        <w:t xml:space="preserve"> </w:t>
      </w:r>
    </w:p>
    <w:p w14:paraId="24A068B0" w14:textId="6A395F6D" w:rsidR="78C2A8E5" w:rsidRPr="00946B76" w:rsidRDefault="6F4C223E" w:rsidP="25F722A2">
      <w:pPr>
        <w:ind w:left="567" w:hanging="567"/>
        <w:rPr>
          <w:rFonts w:ascii="Arial" w:eastAsiaTheme="majorEastAsia" w:hAnsi="Arial" w:cs="Arial"/>
          <w:color w:val="000000" w:themeColor="text1"/>
          <w:sz w:val="24"/>
          <w:szCs w:val="24"/>
        </w:rPr>
      </w:pPr>
      <w:proofErr w:type="spellStart"/>
      <w:r w:rsidRPr="00946B76">
        <w:rPr>
          <w:rFonts w:ascii="Arial" w:eastAsiaTheme="majorEastAsia" w:hAnsi="Arial" w:cs="Arial"/>
          <w:color w:val="000000" w:themeColor="text1"/>
          <w:sz w:val="24"/>
          <w:szCs w:val="24"/>
        </w:rPr>
        <w:t>Musick</w:t>
      </w:r>
      <w:proofErr w:type="spellEnd"/>
      <w:r w:rsidRPr="00946B76">
        <w:rPr>
          <w:rFonts w:ascii="Arial" w:eastAsiaTheme="majorEastAsia" w:hAnsi="Arial" w:cs="Arial"/>
          <w:color w:val="000000" w:themeColor="text1"/>
          <w:sz w:val="24"/>
          <w:szCs w:val="24"/>
        </w:rPr>
        <w:t xml:space="preserve">, M.A., &amp; Wilson, J. (2008) </w:t>
      </w:r>
      <w:r w:rsidRPr="00946B76">
        <w:rPr>
          <w:rFonts w:ascii="Arial" w:eastAsiaTheme="majorEastAsia" w:hAnsi="Arial" w:cs="Arial"/>
          <w:i/>
          <w:iCs/>
          <w:color w:val="000000" w:themeColor="text1"/>
          <w:sz w:val="24"/>
          <w:szCs w:val="24"/>
        </w:rPr>
        <w:t>Volunteers: A social profile</w:t>
      </w:r>
      <w:r w:rsidRPr="00946B76">
        <w:rPr>
          <w:rFonts w:ascii="Arial" w:eastAsiaTheme="majorEastAsia" w:hAnsi="Arial" w:cs="Arial"/>
          <w:color w:val="000000" w:themeColor="text1"/>
          <w:sz w:val="24"/>
          <w:szCs w:val="24"/>
        </w:rPr>
        <w:t>. Bloomington: Indiana University Press.</w:t>
      </w:r>
    </w:p>
    <w:p w14:paraId="194B2103" w14:textId="47595514" w:rsidR="78C2A8E5" w:rsidRPr="00946B76" w:rsidRDefault="37CC07C1" w:rsidP="25F722A2">
      <w:pPr>
        <w:ind w:left="720" w:hanging="720"/>
        <w:rPr>
          <w:rFonts w:ascii="Arial" w:eastAsiaTheme="majorEastAsia" w:hAnsi="Arial" w:cs="Arial"/>
          <w:color w:val="000000" w:themeColor="text1"/>
          <w:sz w:val="24"/>
          <w:szCs w:val="24"/>
        </w:rPr>
      </w:pPr>
      <w:r w:rsidRPr="00946B76">
        <w:rPr>
          <w:rFonts w:ascii="Arial" w:eastAsiaTheme="majorEastAsia" w:hAnsi="Arial" w:cs="Arial"/>
          <w:color w:val="000000" w:themeColor="text1"/>
          <w:sz w:val="24"/>
          <w:szCs w:val="24"/>
        </w:rPr>
        <w:t xml:space="preserve">Pro Bono Economics (2023) Hands in the air like you just do care. Available from </w:t>
      </w:r>
      <w:hyperlink r:id="rId17">
        <w:r w:rsidRPr="00946B76">
          <w:rPr>
            <w:rStyle w:val="Hyperlink"/>
            <w:rFonts w:ascii="Arial" w:eastAsiaTheme="majorEastAsia" w:hAnsi="Arial" w:cs="Arial"/>
            <w:sz w:val="24"/>
            <w:szCs w:val="24"/>
          </w:rPr>
          <w:t>https://www.probonoeconomics.com/hands-in-the-air-like-you-just-do-care</w:t>
        </w:r>
      </w:hyperlink>
      <w:r w:rsidRPr="00946B76">
        <w:rPr>
          <w:rFonts w:ascii="Arial" w:eastAsiaTheme="majorEastAsia" w:hAnsi="Arial" w:cs="Arial"/>
          <w:color w:val="000000" w:themeColor="text1"/>
          <w:sz w:val="24"/>
          <w:szCs w:val="24"/>
        </w:rPr>
        <w:t xml:space="preserve"> </w:t>
      </w:r>
    </w:p>
    <w:p w14:paraId="6804B454" w14:textId="585C0D72" w:rsidR="78C2A8E5" w:rsidRPr="00946B76" w:rsidRDefault="74657742" w:rsidP="25F722A2">
      <w:pPr>
        <w:spacing w:after="0" w:line="276" w:lineRule="auto"/>
        <w:ind w:left="720" w:hanging="720"/>
        <w:rPr>
          <w:rFonts w:ascii="Arial" w:eastAsiaTheme="majorEastAsia" w:hAnsi="Arial" w:cs="Arial"/>
          <w:color w:val="000000" w:themeColor="text1"/>
          <w:sz w:val="24"/>
          <w:szCs w:val="24"/>
        </w:rPr>
      </w:pPr>
      <w:r w:rsidRPr="00946B76">
        <w:rPr>
          <w:rFonts w:ascii="Arial" w:eastAsiaTheme="majorEastAsia" w:hAnsi="Arial" w:cs="Arial"/>
          <w:color w:val="000000" w:themeColor="text1"/>
          <w:sz w:val="24"/>
          <w:szCs w:val="24"/>
          <w:lang w:val="en-US"/>
        </w:rPr>
        <w:t xml:space="preserve">Rooney, P. M., Steinberg, K., &amp; </w:t>
      </w:r>
      <w:proofErr w:type="spellStart"/>
      <w:r w:rsidRPr="00946B76">
        <w:rPr>
          <w:rFonts w:ascii="Arial" w:eastAsiaTheme="majorEastAsia" w:hAnsi="Arial" w:cs="Arial"/>
          <w:color w:val="000000" w:themeColor="text1"/>
          <w:sz w:val="24"/>
          <w:szCs w:val="24"/>
          <w:lang w:val="en-US"/>
        </w:rPr>
        <w:t>Schervish</w:t>
      </w:r>
      <w:proofErr w:type="spellEnd"/>
      <w:r w:rsidRPr="00946B76">
        <w:rPr>
          <w:rFonts w:ascii="Arial" w:eastAsiaTheme="majorEastAsia" w:hAnsi="Arial" w:cs="Arial"/>
          <w:color w:val="000000" w:themeColor="text1"/>
          <w:sz w:val="24"/>
          <w:szCs w:val="24"/>
          <w:lang w:val="en-US"/>
        </w:rPr>
        <w:t xml:space="preserve">, P. G. (2004). Methodology Is Destiny: The Effect of Survey Prompts on Reported Levels of Giving and Volunteering. </w:t>
      </w:r>
      <w:r w:rsidRPr="00946B76">
        <w:rPr>
          <w:rFonts w:ascii="Arial" w:eastAsiaTheme="majorEastAsia" w:hAnsi="Arial" w:cs="Arial"/>
          <w:i/>
          <w:iCs/>
          <w:color w:val="000000" w:themeColor="text1"/>
          <w:sz w:val="24"/>
          <w:szCs w:val="24"/>
          <w:lang w:val="en-US"/>
        </w:rPr>
        <w:t>Nonprofit And Voluntary Sector Quarterly</w:t>
      </w:r>
      <w:r w:rsidRPr="00946B76">
        <w:rPr>
          <w:rFonts w:ascii="Arial" w:eastAsiaTheme="majorEastAsia" w:hAnsi="Arial" w:cs="Arial"/>
          <w:color w:val="000000" w:themeColor="text1"/>
          <w:sz w:val="24"/>
          <w:szCs w:val="24"/>
          <w:lang w:val="en-US"/>
        </w:rPr>
        <w:t xml:space="preserve">, </w:t>
      </w:r>
      <w:r w:rsidRPr="00946B76">
        <w:rPr>
          <w:rFonts w:ascii="Arial" w:eastAsiaTheme="majorEastAsia" w:hAnsi="Arial" w:cs="Arial"/>
          <w:i/>
          <w:iCs/>
          <w:color w:val="000000" w:themeColor="text1"/>
          <w:sz w:val="24"/>
          <w:szCs w:val="24"/>
          <w:lang w:val="en-US"/>
        </w:rPr>
        <w:t>33</w:t>
      </w:r>
      <w:r w:rsidRPr="00946B76">
        <w:rPr>
          <w:rFonts w:ascii="Arial" w:eastAsiaTheme="majorEastAsia" w:hAnsi="Arial" w:cs="Arial"/>
          <w:color w:val="000000" w:themeColor="text1"/>
          <w:sz w:val="24"/>
          <w:szCs w:val="24"/>
          <w:lang w:val="en-US"/>
        </w:rPr>
        <w:t>(4), 628–654.</w:t>
      </w:r>
      <w:r w:rsidRPr="00946B76">
        <w:rPr>
          <w:rFonts w:ascii="Arial" w:eastAsiaTheme="majorEastAsia" w:hAnsi="Arial" w:cs="Arial"/>
          <w:color w:val="000000" w:themeColor="text1"/>
          <w:sz w:val="24"/>
          <w:szCs w:val="24"/>
        </w:rPr>
        <w:t xml:space="preserve"> </w:t>
      </w:r>
    </w:p>
    <w:p w14:paraId="3787EB82" w14:textId="10554684" w:rsidR="78C2A8E5" w:rsidRPr="00946B76" w:rsidRDefault="74657742" w:rsidP="25F722A2">
      <w:pPr>
        <w:spacing w:after="0" w:line="276" w:lineRule="auto"/>
        <w:ind w:left="720" w:hanging="720"/>
        <w:rPr>
          <w:rFonts w:ascii="Arial" w:eastAsiaTheme="majorEastAsia" w:hAnsi="Arial" w:cs="Arial"/>
          <w:color w:val="000000" w:themeColor="text1"/>
          <w:sz w:val="24"/>
          <w:szCs w:val="24"/>
        </w:rPr>
      </w:pPr>
      <w:r w:rsidRPr="00946B76">
        <w:rPr>
          <w:rFonts w:ascii="Arial" w:eastAsiaTheme="majorEastAsia" w:hAnsi="Arial" w:cs="Arial"/>
          <w:color w:val="000000" w:themeColor="text1"/>
          <w:sz w:val="24"/>
          <w:szCs w:val="24"/>
          <w:lang w:val="en-US"/>
        </w:rPr>
        <w:t xml:space="preserve">Santelli, F., </w:t>
      </w:r>
      <w:proofErr w:type="spellStart"/>
      <w:r w:rsidRPr="00946B76">
        <w:rPr>
          <w:rFonts w:ascii="Arial" w:eastAsiaTheme="majorEastAsia" w:hAnsi="Arial" w:cs="Arial"/>
          <w:color w:val="000000" w:themeColor="text1"/>
          <w:sz w:val="24"/>
          <w:szCs w:val="24"/>
          <w:lang w:val="en-US"/>
        </w:rPr>
        <w:t>Ragozini</w:t>
      </w:r>
      <w:proofErr w:type="spellEnd"/>
      <w:r w:rsidRPr="00946B76">
        <w:rPr>
          <w:rFonts w:ascii="Arial" w:eastAsiaTheme="majorEastAsia" w:hAnsi="Arial" w:cs="Arial"/>
          <w:color w:val="000000" w:themeColor="text1"/>
          <w:sz w:val="24"/>
          <w:szCs w:val="24"/>
          <w:lang w:val="en-US"/>
        </w:rPr>
        <w:t xml:space="preserve">, G., &amp; </w:t>
      </w:r>
      <w:proofErr w:type="spellStart"/>
      <w:r w:rsidRPr="00946B76">
        <w:rPr>
          <w:rFonts w:ascii="Arial" w:eastAsiaTheme="majorEastAsia" w:hAnsi="Arial" w:cs="Arial"/>
          <w:color w:val="000000" w:themeColor="text1"/>
          <w:sz w:val="24"/>
          <w:szCs w:val="24"/>
          <w:lang w:val="en-US"/>
        </w:rPr>
        <w:t>Musella</w:t>
      </w:r>
      <w:proofErr w:type="spellEnd"/>
      <w:r w:rsidRPr="00946B76">
        <w:rPr>
          <w:rFonts w:ascii="Arial" w:eastAsiaTheme="majorEastAsia" w:hAnsi="Arial" w:cs="Arial"/>
          <w:color w:val="000000" w:themeColor="text1"/>
          <w:sz w:val="24"/>
          <w:szCs w:val="24"/>
          <w:lang w:val="en-US"/>
        </w:rPr>
        <w:t xml:space="preserve">, M. (2020). What Volunteers Do? A Textual Analysis of Voluntary Activities in the Italian Context. In D. F. </w:t>
      </w:r>
      <w:proofErr w:type="spellStart"/>
      <w:r w:rsidRPr="00946B76">
        <w:rPr>
          <w:rFonts w:ascii="Arial" w:eastAsiaTheme="majorEastAsia" w:hAnsi="Arial" w:cs="Arial"/>
          <w:color w:val="000000" w:themeColor="text1"/>
          <w:sz w:val="24"/>
          <w:szCs w:val="24"/>
          <w:lang w:val="en-US"/>
        </w:rPr>
        <w:t>Iezzi</w:t>
      </w:r>
      <w:proofErr w:type="spellEnd"/>
      <w:r w:rsidRPr="00946B76">
        <w:rPr>
          <w:rFonts w:ascii="Arial" w:eastAsiaTheme="majorEastAsia" w:hAnsi="Arial" w:cs="Arial"/>
          <w:color w:val="000000" w:themeColor="text1"/>
          <w:sz w:val="24"/>
          <w:szCs w:val="24"/>
          <w:lang w:val="en-US"/>
        </w:rPr>
        <w:t xml:space="preserve">, D. </w:t>
      </w:r>
      <w:proofErr w:type="spellStart"/>
      <w:r w:rsidRPr="00946B76">
        <w:rPr>
          <w:rFonts w:ascii="Arial" w:eastAsiaTheme="majorEastAsia" w:hAnsi="Arial" w:cs="Arial"/>
          <w:color w:val="000000" w:themeColor="text1"/>
          <w:sz w:val="24"/>
          <w:szCs w:val="24"/>
          <w:lang w:val="en-US"/>
        </w:rPr>
        <w:t>Mayaffre</w:t>
      </w:r>
      <w:proofErr w:type="spellEnd"/>
      <w:r w:rsidRPr="00946B76">
        <w:rPr>
          <w:rFonts w:ascii="Arial" w:eastAsiaTheme="majorEastAsia" w:hAnsi="Arial" w:cs="Arial"/>
          <w:color w:val="000000" w:themeColor="text1"/>
          <w:sz w:val="24"/>
          <w:szCs w:val="24"/>
          <w:lang w:val="en-US"/>
        </w:rPr>
        <w:t xml:space="preserve">, &amp; M. </w:t>
      </w:r>
      <w:proofErr w:type="spellStart"/>
      <w:r w:rsidRPr="00946B76">
        <w:rPr>
          <w:rFonts w:ascii="Arial" w:eastAsiaTheme="majorEastAsia" w:hAnsi="Arial" w:cs="Arial"/>
          <w:color w:val="000000" w:themeColor="text1"/>
          <w:sz w:val="24"/>
          <w:szCs w:val="24"/>
          <w:lang w:val="en-US"/>
        </w:rPr>
        <w:t>Misuraca</w:t>
      </w:r>
      <w:proofErr w:type="spellEnd"/>
      <w:r w:rsidRPr="00946B76">
        <w:rPr>
          <w:rFonts w:ascii="Arial" w:eastAsiaTheme="majorEastAsia" w:hAnsi="Arial" w:cs="Arial"/>
          <w:color w:val="000000" w:themeColor="text1"/>
          <w:sz w:val="24"/>
          <w:szCs w:val="24"/>
          <w:lang w:val="en-US"/>
        </w:rPr>
        <w:t xml:space="preserve"> (Eds.), </w:t>
      </w:r>
      <w:r w:rsidRPr="00946B76">
        <w:rPr>
          <w:rFonts w:ascii="Arial" w:eastAsiaTheme="majorEastAsia" w:hAnsi="Arial" w:cs="Arial"/>
          <w:i/>
          <w:iCs/>
          <w:color w:val="000000" w:themeColor="text1"/>
          <w:sz w:val="24"/>
          <w:szCs w:val="24"/>
          <w:lang w:val="en-US"/>
        </w:rPr>
        <w:t>Text Analytics</w:t>
      </w:r>
      <w:r w:rsidRPr="00946B76">
        <w:rPr>
          <w:rFonts w:ascii="Arial" w:eastAsiaTheme="majorEastAsia" w:hAnsi="Arial" w:cs="Arial"/>
          <w:color w:val="000000" w:themeColor="text1"/>
          <w:sz w:val="24"/>
          <w:szCs w:val="24"/>
          <w:lang w:val="en-US"/>
        </w:rPr>
        <w:t xml:space="preserve"> (pp. 265–276). Springer International Publishing. </w:t>
      </w:r>
      <w:hyperlink r:id="rId18">
        <w:r w:rsidRPr="00946B76">
          <w:rPr>
            <w:rStyle w:val="Hyperlink"/>
            <w:rFonts w:ascii="Arial" w:eastAsiaTheme="majorEastAsia" w:hAnsi="Arial" w:cs="Arial"/>
            <w:sz w:val="24"/>
            <w:szCs w:val="24"/>
            <w:lang w:val="en-US"/>
          </w:rPr>
          <w:t>https://doi.org/10.1007/978-3-030-52680-1_21</w:t>
        </w:r>
      </w:hyperlink>
    </w:p>
    <w:p w14:paraId="1CEB07A4" w14:textId="521034DD" w:rsidR="78C2A8E5" w:rsidRPr="00946B76" w:rsidRDefault="6F4C223E" w:rsidP="25F722A2">
      <w:pPr>
        <w:ind w:left="720" w:hanging="720"/>
        <w:rPr>
          <w:rFonts w:ascii="Arial" w:eastAsiaTheme="majorEastAsia" w:hAnsi="Arial" w:cs="Arial"/>
          <w:color w:val="000000" w:themeColor="text1"/>
          <w:sz w:val="24"/>
          <w:szCs w:val="24"/>
        </w:rPr>
      </w:pPr>
      <w:proofErr w:type="spellStart"/>
      <w:r w:rsidRPr="00946B76">
        <w:rPr>
          <w:rFonts w:ascii="Arial" w:eastAsiaTheme="majorEastAsia" w:hAnsi="Arial" w:cs="Arial"/>
          <w:color w:val="000000" w:themeColor="text1"/>
          <w:sz w:val="24"/>
          <w:szCs w:val="24"/>
        </w:rPr>
        <w:t>Shachar</w:t>
      </w:r>
      <w:proofErr w:type="spellEnd"/>
      <w:r w:rsidRPr="00946B76">
        <w:rPr>
          <w:rFonts w:ascii="Arial" w:eastAsiaTheme="majorEastAsia" w:hAnsi="Arial" w:cs="Arial"/>
          <w:color w:val="000000" w:themeColor="text1"/>
          <w:sz w:val="24"/>
          <w:szCs w:val="24"/>
        </w:rPr>
        <w:t xml:space="preserve">, I.Y., Von Essen, J., &amp; </w:t>
      </w:r>
      <w:proofErr w:type="spellStart"/>
      <w:r w:rsidRPr="00946B76">
        <w:rPr>
          <w:rFonts w:ascii="Arial" w:eastAsiaTheme="majorEastAsia" w:hAnsi="Arial" w:cs="Arial"/>
          <w:color w:val="000000" w:themeColor="text1"/>
          <w:sz w:val="24"/>
          <w:szCs w:val="24"/>
        </w:rPr>
        <w:t>Hustinx</w:t>
      </w:r>
      <w:proofErr w:type="spellEnd"/>
      <w:r w:rsidRPr="00946B76">
        <w:rPr>
          <w:rFonts w:ascii="Arial" w:eastAsiaTheme="majorEastAsia" w:hAnsi="Arial" w:cs="Arial"/>
          <w:color w:val="000000" w:themeColor="text1"/>
          <w:sz w:val="24"/>
          <w:szCs w:val="24"/>
        </w:rPr>
        <w:t xml:space="preserve">, L. (2019). Opening Up the “Black Box” of “Volunteering”: On Hybridization and Purification in Volunteering Research and Promotion. </w:t>
      </w:r>
      <w:r w:rsidRPr="00946B76">
        <w:rPr>
          <w:rFonts w:ascii="Arial" w:eastAsiaTheme="majorEastAsia" w:hAnsi="Arial" w:cs="Arial"/>
          <w:i/>
          <w:iCs/>
          <w:color w:val="000000" w:themeColor="text1"/>
          <w:sz w:val="24"/>
          <w:szCs w:val="24"/>
        </w:rPr>
        <w:t>Administrative Theory &amp; Praxis</w:t>
      </w:r>
      <w:r w:rsidRPr="00946B76">
        <w:rPr>
          <w:rFonts w:ascii="Arial" w:eastAsiaTheme="majorEastAsia" w:hAnsi="Arial" w:cs="Arial"/>
          <w:color w:val="000000" w:themeColor="text1"/>
          <w:sz w:val="24"/>
          <w:szCs w:val="24"/>
        </w:rPr>
        <w:t>, 41:3, 245-265.</w:t>
      </w:r>
    </w:p>
    <w:p w14:paraId="48A223A3" w14:textId="23CA1ABB" w:rsidR="78C2A8E5" w:rsidRPr="00946B76" w:rsidRDefault="78C2A8E5" w:rsidP="26234BE2">
      <w:pPr>
        <w:ind w:left="720" w:hanging="720"/>
        <w:rPr>
          <w:rFonts w:ascii="Arial" w:eastAsiaTheme="majorEastAsia" w:hAnsi="Arial" w:cs="Arial"/>
          <w:color w:val="222222"/>
          <w:sz w:val="24"/>
          <w:szCs w:val="24"/>
        </w:rPr>
      </w:pPr>
      <w:r w:rsidRPr="00946B76">
        <w:rPr>
          <w:rFonts w:ascii="Arial" w:eastAsiaTheme="majorEastAsia" w:hAnsi="Arial" w:cs="Arial"/>
          <w:color w:val="222222"/>
          <w:sz w:val="24"/>
          <w:szCs w:val="24"/>
        </w:rPr>
        <w:t xml:space="preserve">Steinberg, K. S., Rooney, P. M., &amp; Chin, W. (2016). Measurement of volunteering: A methodological study using Indiana as a test case. </w:t>
      </w:r>
      <w:proofErr w:type="spellStart"/>
      <w:r w:rsidRPr="00946B76">
        <w:rPr>
          <w:rFonts w:ascii="Arial" w:eastAsiaTheme="majorEastAsia" w:hAnsi="Arial" w:cs="Arial"/>
          <w:i/>
          <w:iCs/>
          <w:color w:val="222222"/>
          <w:sz w:val="24"/>
          <w:szCs w:val="24"/>
        </w:rPr>
        <w:t>Nonprofit</w:t>
      </w:r>
      <w:proofErr w:type="spellEnd"/>
      <w:r w:rsidRPr="00946B76">
        <w:rPr>
          <w:rFonts w:ascii="Arial" w:eastAsiaTheme="majorEastAsia" w:hAnsi="Arial" w:cs="Arial"/>
          <w:i/>
          <w:iCs/>
          <w:color w:val="222222"/>
          <w:sz w:val="24"/>
          <w:szCs w:val="24"/>
        </w:rPr>
        <w:t xml:space="preserve"> and Voluntary Sector Quarterly</w:t>
      </w:r>
      <w:r w:rsidRPr="00946B76">
        <w:rPr>
          <w:rFonts w:ascii="Arial" w:eastAsiaTheme="majorEastAsia" w:hAnsi="Arial" w:cs="Arial"/>
          <w:color w:val="222222"/>
          <w:sz w:val="24"/>
          <w:szCs w:val="24"/>
        </w:rPr>
        <w:t xml:space="preserve">, </w:t>
      </w:r>
      <w:r w:rsidRPr="00946B76">
        <w:rPr>
          <w:rFonts w:ascii="Arial" w:eastAsiaTheme="majorEastAsia" w:hAnsi="Arial" w:cs="Arial"/>
          <w:i/>
          <w:iCs/>
          <w:color w:val="222222"/>
          <w:sz w:val="24"/>
          <w:szCs w:val="24"/>
        </w:rPr>
        <w:t>31</w:t>
      </w:r>
      <w:r w:rsidRPr="00946B76">
        <w:rPr>
          <w:rFonts w:ascii="Arial" w:eastAsiaTheme="majorEastAsia" w:hAnsi="Arial" w:cs="Arial"/>
          <w:color w:val="222222"/>
          <w:sz w:val="24"/>
          <w:szCs w:val="24"/>
        </w:rPr>
        <w:t>(4), 484-501.</w:t>
      </w:r>
    </w:p>
    <w:p w14:paraId="73F95DD7" w14:textId="3077637D" w:rsidR="78C2A8E5" w:rsidRPr="00946B76" w:rsidRDefault="61A82F27" w:rsidP="25F722A2">
      <w:pPr>
        <w:ind w:left="720" w:hanging="720"/>
        <w:rPr>
          <w:rFonts w:ascii="Arial" w:eastAsiaTheme="majorEastAsia" w:hAnsi="Arial" w:cs="Arial"/>
          <w:color w:val="222222"/>
          <w:sz w:val="24"/>
          <w:szCs w:val="24"/>
        </w:rPr>
      </w:pPr>
      <w:r w:rsidRPr="00946B76">
        <w:rPr>
          <w:rFonts w:ascii="Arial" w:eastAsiaTheme="majorEastAsia" w:hAnsi="Arial" w:cs="Arial"/>
          <w:color w:val="222222"/>
          <w:sz w:val="24"/>
          <w:szCs w:val="24"/>
        </w:rPr>
        <w:lastRenderedPageBreak/>
        <w:t xml:space="preserve">Thatcher, M. (1981) </w:t>
      </w:r>
      <w:r w:rsidRPr="00946B76">
        <w:rPr>
          <w:rFonts w:ascii="Arial" w:eastAsia="Segoe UI" w:hAnsi="Arial" w:cs="Arial"/>
          <w:color w:val="333333"/>
          <w:sz w:val="24"/>
          <w:szCs w:val="24"/>
        </w:rPr>
        <w:t xml:space="preserve">Speech to Women's Royal Voluntary Service National Conference ("Facing the new Challenge") | Margaret Thatcher Foundation, available online at https://www.margaretthatcher.org/document/104551  </w:t>
      </w:r>
      <w:r w:rsidRPr="00946B76">
        <w:rPr>
          <w:rFonts w:ascii="Arial" w:eastAsia="Calibri Light" w:hAnsi="Arial" w:cs="Arial"/>
          <w:sz w:val="24"/>
          <w:szCs w:val="24"/>
        </w:rPr>
        <w:t xml:space="preserve"> </w:t>
      </w:r>
    </w:p>
    <w:p w14:paraId="67FB7609" w14:textId="70CD021F" w:rsidR="78C2A8E5" w:rsidRPr="00946B76" w:rsidRDefault="1E219791" w:rsidP="25F722A2">
      <w:pPr>
        <w:spacing w:after="0" w:line="276" w:lineRule="auto"/>
        <w:ind w:left="720" w:hanging="720"/>
        <w:rPr>
          <w:rFonts w:ascii="Arial" w:eastAsiaTheme="majorEastAsia" w:hAnsi="Arial" w:cs="Arial"/>
          <w:color w:val="000000" w:themeColor="text1"/>
          <w:sz w:val="24"/>
          <w:szCs w:val="24"/>
        </w:rPr>
      </w:pPr>
      <w:r w:rsidRPr="00946B76">
        <w:rPr>
          <w:rFonts w:ascii="Arial" w:eastAsiaTheme="majorEastAsia" w:hAnsi="Arial" w:cs="Arial"/>
          <w:color w:val="000000" w:themeColor="text1"/>
          <w:sz w:val="24"/>
          <w:szCs w:val="24"/>
          <w:lang w:val="en-US"/>
        </w:rPr>
        <w:t xml:space="preserve">Weber, M. (2021). How Do 50-Year-Olds Imagine Their Future: Social Class and Gender Disparities. </w:t>
      </w:r>
      <w:r w:rsidRPr="00946B76">
        <w:rPr>
          <w:rFonts w:ascii="Arial" w:eastAsiaTheme="majorEastAsia" w:hAnsi="Arial" w:cs="Arial"/>
          <w:i/>
          <w:iCs/>
          <w:color w:val="000000" w:themeColor="text1"/>
          <w:sz w:val="24"/>
          <w:szCs w:val="24"/>
          <w:lang w:val="en-US"/>
        </w:rPr>
        <w:t>SAGE Open</w:t>
      </w:r>
      <w:r w:rsidRPr="00946B76">
        <w:rPr>
          <w:rFonts w:ascii="Arial" w:eastAsiaTheme="majorEastAsia" w:hAnsi="Arial" w:cs="Arial"/>
          <w:color w:val="000000" w:themeColor="text1"/>
          <w:sz w:val="24"/>
          <w:szCs w:val="24"/>
          <w:lang w:val="en-US"/>
        </w:rPr>
        <w:t xml:space="preserve">, </w:t>
      </w:r>
      <w:r w:rsidRPr="00946B76">
        <w:rPr>
          <w:rFonts w:ascii="Arial" w:eastAsiaTheme="majorEastAsia" w:hAnsi="Arial" w:cs="Arial"/>
          <w:i/>
          <w:iCs/>
          <w:color w:val="000000" w:themeColor="text1"/>
          <w:sz w:val="24"/>
          <w:szCs w:val="24"/>
          <w:lang w:val="en-US"/>
        </w:rPr>
        <w:t>11</w:t>
      </w:r>
      <w:r w:rsidRPr="00946B76">
        <w:rPr>
          <w:rFonts w:ascii="Arial" w:eastAsiaTheme="majorEastAsia" w:hAnsi="Arial" w:cs="Arial"/>
          <w:color w:val="000000" w:themeColor="text1"/>
          <w:sz w:val="24"/>
          <w:szCs w:val="24"/>
          <w:lang w:val="en-US"/>
        </w:rPr>
        <w:t xml:space="preserve">(4), 215824402110615. </w:t>
      </w:r>
      <w:hyperlink r:id="rId19">
        <w:r w:rsidRPr="00946B76">
          <w:rPr>
            <w:rStyle w:val="Hyperlink"/>
            <w:rFonts w:ascii="Arial" w:eastAsiaTheme="majorEastAsia" w:hAnsi="Arial" w:cs="Arial"/>
            <w:sz w:val="24"/>
            <w:szCs w:val="24"/>
            <w:lang w:val="en-US"/>
          </w:rPr>
          <w:t>https://doi.org/10.1177/21582440211061567</w:t>
        </w:r>
      </w:hyperlink>
    </w:p>
    <w:p w14:paraId="51B7C5E9" w14:textId="2DEA903B" w:rsidR="78C2A8E5" w:rsidRPr="00946B76" w:rsidRDefault="1E219791" w:rsidP="25F722A2">
      <w:pPr>
        <w:spacing w:after="0" w:line="276" w:lineRule="auto"/>
        <w:ind w:left="720" w:hanging="720"/>
        <w:rPr>
          <w:rFonts w:ascii="Arial" w:eastAsiaTheme="majorEastAsia" w:hAnsi="Arial" w:cs="Arial"/>
          <w:color w:val="000000" w:themeColor="text1"/>
          <w:sz w:val="24"/>
          <w:szCs w:val="24"/>
        </w:rPr>
      </w:pPr>
      <w:proofErr w:type="spellStart"/>
      <w:r w:rsidRPr="00946B76">
        <w:rPr>
          <w:rFonts w:ascii="Arial" w:eastAsiaTheme="majorEastAsia" w:hAnsi="Arial" w:cs="Arial"/>
          <w:color w:val="000000" w:themeColor="text1"/>
          <w:sz w:val="24"/>
          <w:szCs w:val="24"/>
          <w:lang w:val="en-US"/>
        </w:rPr>
        <w:t>Wiepking</w:t>
      </w:r>
      <w:proofErr w:type="spellEnd"/>
      <w:r w:rsidRPr="00946B76">
        <w:rPr>
          <w:rFonts w:ascii="Arial" w:eastAsiaTheme="majorEastAsia" w:hAnsi="Arial" w:cs="Arial"/>
          <w:color w:val="000000" w:themeColor="text1"/>
          <w:sz w:val="24"/>
          <w:szCs w:val="24"/>
          <w:lang w:val="en-US"/>
        </w:rPr>
        <w:t xml:space="preserve">, P. (2021). The Global Study of Philanthropic Behavior. </w:t>
      </w:r>
      <w:r w:rsidRPr="00946B76">
        <w:rPr>
          <w:rFonts w:ascii="Arial" w:eastAsiaTheme="majorEastAsia" w:hAnsi="Arial" w:cs="Arial"/>
          <w:i/>
          <w:iCs/>
          <w:color w:val="000000" w:themeColor="text1"/>
          <w:sz w:val="24"/>
          <w:szCs w:val="24"/>
          <w:lang w:val="en-US"/>
        </w:rPr>
        <w:t>VOLUNTAS: International Journal of Voluntary and Nonprofit Organizations</w:t>
      </w:r>
      <w:r w:rsidRPr="00946B76">
        <w:rPr>
          <w:rFonts w:ascii="Arial" w:eastAsiaTheme="majorEastAsia" w:hAnsi="Arial" w:cs="Arial"/>
          <w:color w:val="000000" w:themeColor="text1"/>
          <w:sz w:val="24"/>
          <w:szCs w:val="24"/>
          <w:lang w:val="en-US"/>
        </w:rPr>
        <w:t xml:space="preserve">, </w:t>
      </w:r>
      <w:r w:rsidRPr="00946B76">
        <w:rPr>
          <w:rFonts w:ascii="Arial" w:eastAsiaTheme="majorEastAsia" w:hAnsi="Arial" w:cs="Arial"/>
          <w:i/>
          <w:iCs/>
          <w:color w:val="000000" w:themeColor="text1"/>
          <w:sz w:val="24"/>
          <w:szCs w:val="24"/>
          <w:lang w:val="en-US"/>
        </w:rPr>
        <w:t>32</w:t>
      </w:r>
      <w:r w:rsidRPr="00946B76">
        <w:rPr>
          <w:rFonts w:ascii="Arial" w:eastAsiaTheme="majorEastAsia" w:hAnsi="Arial" w:cs="Arial"/>
          <w:color w:val="000000" w:themeColor="text1"/>
          <w:sz w:val="24"/>
          <w:szCs w:val="24"/>
          <w:lang w:val="en-US"/>
        </w:rPr>
        <w:t xml:space="preserve">(2), 194–203. </w:t>
      </w:r>
      <w:hyperlink r:id="rId20">
        <w:r w:rsidRPr="00946B76">
          <w:rPr>
            <w:rStyle w:val="Hyperlink"/>
            <w:rFonts w:ascii="Arial" w:eastAsiaTheme="majorEastAsia" w:hAnsi="Arial" w:cs="Arial"/>
            <w:sz w:val="24"/>
            <w:szCs w:val="24"/>
            <w:lang w:val="en-US"/>
          </w:rPr>
          <w:t>https://doi.org/10.1007/s11266-020-00279-6</w:t>
        </w:r>
      </w:hyperlink>
      <w:r w:rsidRPr="00946B76">
        <w:rPr>
          <w:rFonts w:ascii="Arial" w:eastAsiaTheme="majorEastAsia" w:hAnsi="Arial" w:cs="Arial"/>
          <w:sz w:val="24"/>
          <w:szCs w:val="24"/>
          <w:lang w:val="en-US"/>
        </w:rPr>
        <w:t xml:space="preserve"> </w:t>
      </w:r>
    </w:p>
    <w:p w14:paraId="60ACF6A7" w14:textId="167ED0F2" w:rsidR="78C2A8E5" w:rsidRPr="00946B76" w:rsidRDefault="78C2A8E5" w:rsidP="25F722A2">
      <w:pPr>
        <w:ind w:left="720" w:hanging="720"/>
        <w:rPr>
          <w:rFonts w:ascii="Arial" w:eastAsiaTheme="majorEastAsia" w:hAnsi="Arial" w:cs="Arial"/>
          <w:color w:val="222222"/>
          <w:sz w:val="24"/>
          <w:szCs w:val="24"/>
        </w:rPr>
      </w:pPr>
    </w:p>
    <w:sectPr w:rsidR="78C2A8E5" w:rsidRPr="00946B76">
      <w:head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E908A" w14:textId="77777777" w:rsidR="00A1573B" w:rsidRDefault="00A1573B" w:rsidP="00023F97">
      <w:pPr>
        <w:spacing w:after="0" w:line="240" w:lineRule="auto"/>
      </w:pPr>
      <w:r>
        <w:separator/>
      </w:r>
    </w:p>
  </w:endnote>
  <w:endnote w:type="continuationSeparator" w:id="0">
    <w:p w14:paraId="74723802" w14:textId="77777777" w:rsidR="00A1573B" w:rsidRDefault="00A1573B" w:rsidP="00023F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FB000" w14:textId="77777777" w:rsidR="00A1573B" w:rsidRDefault="00A1573B" w:rsidP="00023F97">
      <w:pPr>
        <w:spacing w:after="0" w:line="240" w:lineRule="auto"/>
      </w:pPr>
      <w:r>
        <w:separator/>
      </w:r>
    </w:p>
  </w:footnote>
  <w:footnote w:type="continuationSeparator" w:id="0">
    <w:p w14:paraId="5A02B17E" w14:textId="77777777" w:rsidR="00A1573B" w:rsidRDefault="00A1573B" w:rsidP="00023F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F4585" w14:textId="55802694" w:rsidR="00023F97" w:rsidRPr="00AD07B1" w:rsidRDefault="00023F97" w:rsidP="00023F97">
    <w:pPr>
      <w:pStyle w:val="NormalWeb"/>
      <w:spacing w:before="0" w:beforeAutospacing="0" w:after="240" w:afterAutospacing="0"/>
      <w:jc w:val="center"/>
      <w:rPr>
        <w:lang w:val="en-US"/>
      </w:rPr>
    </w:pPr>
    <w:r w:rsidRPr="00AD07B1">
      <w:rPr>
        <w:rFonts w:ascii="Cambria" w:hAnsi="Cambria"/>
        <w:color w:val="000000"/>
        <w:lang w:val="en-US"/>
      </w:rPr>
      <w:t>European Research Network On Philanthropy 11th International Conference Zagreb, 29-30 June 2023</w:t>
    </w:r>
  </w:p>
  <w:p w14:paraId="31998150" w14:textId="5FB8F447" w:rsidR="00023F97" w:rsidRPr="00023F97" w:rsidRDefault="00023F97">
    <w:pPr>
      <w:pStyle w:val="Header"/>
      <w:rPr>
        <w:lang w:val="en-US"/>
      </w:rPr>
    </w:pPr>
  </w:p>
  <w:p w14:paraId="04DCE467" w14:textId="77777777" w:rsidR="00023F97" w:rsidRDefault="00023F97">
    <w:pPr>
      <w:pStyle w:val="Header"/>
    </w:pPr>
  </w:p>
</w:hdr>
</file>

<file path=word/intelligence2.xml><?xml version="1.0" encoding="utf-8"?>
<int2:intelligence xmlns:int2="http://schemas.microsoft.com/office/intelligence/2020/intelligence" xmlns:oel="http://schemas.microsoft.com/office/2019/extlst">
  <int2:observations>
    <int2:textHash int2:hashCode="WojmEM883zVMCt" int2:id="u1Rjeu52">
      <int2:state int2:value="Rejected" int2:type="AugLoop_Text_Critique"/>
    </int2:textHash>
    <int2:textHash int2:hashCode="vrXgVN13uedMf9" int2:id="riFx8Gje">
      <int2:state int2:value="Rejected" int2:type="AugLoop_Text_Critique"/>
    </int2:textHash>
    <int2:textHash int2:hashCode="d2b0OU/iAsUxFp" int2:id="S4whzQCn">
      <int2:state int2:value="Rejected" int2:type="AugLoop_Text_Critique"/>
    </int2:textHash>
    <int2:textHash int2:hashCode="BHljbeRQgE3V9f" int2:id="Ke712wZe">
      <int2:state int2:value="Rejected" int2:type="AugLoop_Text_Critique"/>
    </int2:textHash>
    <int2:textHash int2:hashCode="YymbhVbhdncf93" int2:id="pPVxS6UG">
      <int2:state int2:value="Rejected" int2:type="AugLoop_Text_Critique"/>
    </int2:textHash>
    <int2:textHash int2:hashCode="qgI5Ux3hLFfUPd" int2:id="TNSeNGvz">
      <int2:state int2:value="Rejected" int2:type="AugLoop_Text_Critique"/>
    </int2:textHash>
    <int2:textHash int2:hashCode="GmqqP80lptLM2o" int2:id="PMHf8adI">
      <int2:state int2:value="Rejected" int2:type="AugLoop_Text_Critique"/>
    </int2:textHash>
    <int2:bookmark int2:bookmarkName="_Int_tSRcSEnA" int2:invalidationBookmarkName="" int2:hashCode="jXv1vxNugfk4jB" int2:id="5beRCo1m">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5D1FC"/>
    <w:multiLevelType w:val="hybridMultilevel"/>
    <w:tmpl w:val="FEC0AE9E"/>
    <w:lvl w:ilvl="0" w:tplc="7A06D886">
      <w:start w:val="1"/>
      <w:numFmt w:val="decimal"/>
      <w:lvlText w:val="%1."/>
      <w:lvlJc w:val="left"/>
      <w:pPr>
        <w:ind w:left="720" w:hanging="360"/>
      </w:pPr>
    </w:lvl>
    <w:lvl w:ilvl="1" w:tplc="2690DFFA">
      <w:start w:val="1"/>
      <w:numFmt w:val="lowerLetter"/>
      <w:lvlText w:val="%2."/>
      <w:lvlJc w:val="left"/>
      <w:pPr>
        <w:ind w:left="1440" w:hanging="360"/>
      </w:pPr>
    </w:lvl>
    <w:lvl w:ilvl="2" w:tplc="03A0763C">
      <w:start w:val="1"/>
      <w:numFmt w:val="lowerRoman"/>
      <w:lvlText w:val="%3."/>
      <w:lvlJc w:val="right"/>
      <w:pPr>
        <w:ind w:left="2160" w:hanging="180"/>
      </w:pPr>
    </w:lvl>
    <w:lvl w:ilvl="3" w:tplc="546A008C">
      <w:start w:val="1"/>
      <w:numFmt w:val="decimal"/>
      <w:lvlText w:val="%4."/>
      <w:lvlJc w:val="left"/>
      <w:pPr>
        <w:ind w:left="2880" w:hanging="360"/>
      </w:pPr>
    </w:lvl>
    <w:lvl w:ilvl="4" w:tplc="53E60FB6">
      <w:start w:val="1"/>
      <w:numFmt w:val="lowerLetter"/>
      <w:lvlText w:val="%5."/>
      <w:lvlJc w:val="left"/>
      <w:pPr>
        <w:ind w:left="3600" w:hanging="360"/>
      </w:pPr>
    </w:lvl>
    <w:lvl w:ilvl="5" w:tplc="1FCE76D0">
      <w:start w:val="1"/>
      <w:numFmt w:val="lowerRoman"/>
      <w:lvlText w:val="%6."/>
      <w:lvlJc w:val="right"/>
      <w:pPr>
        <w:ind w:left="4320" w:hanging="180"/>
      </w:pPr>
    </w:lvl>
    <w:lvl w:ilvl="6" w:tplc="75A0E25A">
      <w:start w:val="1"/>
      <w:numFmt w:val="decimal"/>
      <w:lvlText w:val="%7."/>
      <w:lvlJc w:val="left"/>
      <w:pPr>
        <w:ind w:left="5040" w:hanging="360"/>
      </w:pPr>
    </w:lvl>
    <w:lvl w:ilvl="7" w:tplc="44527FE0">
      <w:start w:val="1"/>
      <w:numFmt w:val="lowerLetter"/>
      <w:lvlText w:val="%8."/>
      <w:lvlJc w:val="left"/>
      <w:pPr>
        <w:ind w:left="5760" w:hanging="360"/>
      </w:pPr>
    </w:lvl>
    <w:lvl w:ilvl="8" w:tplc="42D07626">
      <w:start w:val="1"/>
      <w:numFmt w:val="lowerRoman"/>
      <w:lvlText w:val="%9."/>
      <w:lvlJc w:val="right"/>
      <w:pPr>
        <w:ind w:left="6480" w:hanging="180"/>
      </w:pPr>
    </w:lvl>
  </w:abstractNum>
  <w:abstractNum w:abstractNumId="1" w15:restartNumberingAfterBreak="0">
    <w:nsid w:val="20A89BBF"/>
    <w:multiLevelType w:val="hybridMultilevel"/>
    <w:tmpl w:val="3000DCEE"/>
    <w:lvl w:ilvl="0" w:tplc="0F0A5EFE">
      <w:start w:val="1"/>
      <w:numFmt w:val="decimal"/>
      <w:lvlText w:val="%1."/>
      <w:lvlJc w:val="left"/>
      <w:pPr>
        <w:ind w:left="720" w:hanging="360"/>
      </w:pPr>
    </w:lvl>
    <w:lvl w:ilvl="1" w:tplc="9E1E5130">
      <w:start w:val="1"/>
      <w:numFmt w:val="lowerLetter"/>
      <w:lvlText w:val="%2."/>
      <w:lvlJc w:val="left"/>
      <w:pPr>
        <w:ind w:left="1440" w:hanging="360"/>
      </w:pPr>
    </w:lvl>
    <w:lvl w:ilvl="2" w:tplc="1642487A">
      <w:start w:val="1"/>
      <w:numFmt w:val="lowerRoman"/>
      <w:lvlText w:val="%3."/>
      <w:lvlJc w:val="right"/>
      <w:pPr>
        <w:ind w:left="2160" w:hanging="180"/>
      </w:pPr>
    </w:lvl>
    <w:lvl w:ilvl="3" w:tplc="F8FEF510">
      <w:start w:val="1"/>
      <w:numFmt w:val="decimal"/>
      <w:lvlText w:val="%4."/>
      <w:lvlJc w:val="left"/>
      <w:pPr>
        <w:ind w:left="2880" w:hanging="360"/>
      </w:pPr>
    </w:lvl>
    <w:lvl w:ilvl="4" w:tplc="14183426">
      <w:start w:val="1"/>
      <w:numFmt w:val="lowerLetter"/>
      <w:lvlText w:val="%5."/>
      <w:lvlJc w:val="left"/>
      <w:pPr>
        <w:ind w:left="3600" w:hanging="360"/>
      </w:pPr>
    </w:lvl>
    <w:lvl w:ilvl="5" w:tplc="09A68B92">
      <w:start w:val="1"/>
      <w:numFmt w:val="lowerRoman"/>
      <w:lvlText w:val="%6."/>
      <w:lvlJc w:val="right"/>
      <w:pPr>
        <w:ind w:left="4320" w:hanging="180"/>
      </w:pPr>
    </w:lvl>
    <w:lvl w:ilvl="6" w:tplc="EB8CEA82">
      <w:start w:val="1"/>
      <w:numFmt w:val="decimal"/>
      <w:lvlText w:val="%7."/>
      <w:lvlJc w:val="left"/>
      <w:pPr>
        <w:ind w:left="5040" w:hanging="360"/>
      </w:pPr>
    </w:lvl>
    <w:lvl w:ilvl="7" w:tplc="42CAC9E0">
      <w:start w:val="1"/>
      <w:numFmt w:val="lowerLetter"/>
      <w:lvlText w:val="%8."/>
      <w:lvlJc w:val="left"/>
      <w:pPr>
        <w:ind w:left="5760" w:hanging="360"/>
      </w:pPr>
    </w:lvl>
    <w:lvl w:ilvl="8" w:tplc="53B472D4">
      <w:start w:val="1"/>
      <w:numFmt w:val="lowerRoman"/>
      <w:lvlText w:val="%9."/>
      <w:lvlJc w:val="right"/>
      <w:pPr>
        <w:ind w:left="6480" w:hanging="180"/>
      </w:pPr>
    </w:lvl>
  </w:abstractNum>
  <w:abstractNum w:abstractNumId="2" w15:restartNumberingAfterBreak="0">
    <w:nsid w:val="2402A0E8"/>
    <w:multiLevelType w:val="hybridMultilevel"/>
    <w:tmpl w:val="7A7C8C38"/>
    <w:lvl w:ilvl="0" w:tplc="D3B0A994">
      <w:start w:val="1"/>
      <w:numFmt w:val="decimal"/>
      <w:lvlText w:val="%1."/>
      <w:lvlJc w:val="left"/>
      <w:pPr>
        <w:ind w:left="720" w:hanging="360"/>
      </w:pPr>
    </w:lvl>
    <w:lvl w:ilvl="1" w:tplc="0F3852AA">
      <w:start w:val="1"/>
      <w:numFmt w:val="lowerLetter"/>
      <w:lvlText w:val="%2."/>
      <w:lvlJc w:val="left"/>
      <w:pPr>
        <w:ind w:left="1440" w:hanging="360"/>
      </w:pPr>
    </w:lvl>
    <w:lvl w:ilvl="2" w:tplc="B0EE17F2">
      <w:start w:val="1"/>
      <w:numFmt w:val="lowerRoman"/>
      <w:lvlText w:val="%3."/>
      <w:lvlJc w:val="right"/>
      <w:pPr>
        <w:ind w:left="2160" w:hanging="180"/>
      </w:pPr>
    </w:lvl>
    <w:lvl w:ilvl="3" w:tplc="F8C4FB1E">
      <w:start w:val="1"/>
      <w:numFmt w:val="decimal"/>
      <w:lvlText w:val="%4."/>
      <w:lvlJc w:val="left"/>
      <w:pPr>
        <w:ind w:left="2880" w:hanging="360"/>
      </w:pPr>
    </w:lvl>
    <w:lvl w:ilvl="4" w:tplc="53D699B2">
      <w:start w:val="1"/>
      <w:numFmt w:val="lowerLetter"/>
      <w:lvlText w:val="%5."/>
      <w:lvlJc w:val="left"/>
      <w:pPr>
        <w:ind w:left="3600" w:hanging="360"/>
      </w:pPr>
    </w:lvl>
    <w:lvl w:ilvl="5" w:tplc="ECD69536">
      <w:start w:val="1"/>
      <w:numFmt w:val="lowerRoman"/>
      <w:lvlText w:val="%6."/>
      <w:lvlJc w:val="right"/>
      <w:pPr>
        <w:ind w:left="4320" w:hanging="180"/>
      </w:pPr>
    </w:lvl>
    <w:lvl w:ilvl="6" w:tplc="B5E6C82E">
      <w:start w:val="1"/>
      <w:numFmt w:val="decimal"/>
      <w:lvlText w:val="%7."/>
      <w:lvlJc w:val="left"/>
      <w:pPr>
        <w:ind w:left="5040" w:hanging="360"/>
      </w:pPr>
    </w:lvl>
    <w:lvl w:ilvl="7" w:tplc="26F87F16">
      <w:start w:val="1"/>
      <w:numFmt w:val="lowerLetter"/>
      <w:lvlText w:val="%8."/>
      <w:lvlJc w:val="left"/>
      <w:pPr>
        <w:ind w:left="5760" w:hanging="360"/>
      </w:pPr>
    </w:lvl>
    <w:lvl w:ilvl="8" w:tplc="CDFE27E2">
      <w:start w:val="1"/>
      <w:numFmt w:val="lowerRoman"/>
      <w:lvlText w:val="%9."/>
      <w:lvlJc w:val="right"/>
      <w:pPr>
        <w:ind w:left="6480" w:hanging="180"/>
      </w:pPr>
    </w:lvl>
  </w:abstractNum>
  <w:abstractNum w:abstractNumId="3" w15:restartNumberingAfterBreak="0">
    <w:nsid w:val="5E86741A"/>
    <w:multiLevelType w:val="hybridMultilevel"/>
    <w:tmpl w:val="F54AC978"/>
    <w:lvl w:ilvl="0" w:tplc="A03A4CC4">
      <w:start w:val="1"/>
      <w:numFmt w:val="decimal"/>
      <w:lvlText w:val="%1."/>
      <w:lvlJc w:val="left"/>
      <w:pPr>
        <w:ind w:left="720" w:hanging="360"/>
      </w:pPr>
    </w:lvl>
    <w:lvl w:ilvl="1" w:tplc="5BB20DFE">
      <w:start w:val="1"/>
      <w:numFmt w:val="lowerLetter"/>
      <w:lvlText w:val="%2."/>
      <w:lvlJc w:val="left"/>
      <w:pPr>
        <w:ind w:left="1440" w:hanging="360"/>
      </w:pPr>
    </w:lvl>
    <w:lvl w:ilvl="2" w:tplc="372AC622">
      <w:start w:val="1"/>
      <w:numFmt w:val="lowerRoman"/>
      <w:lvlText w:val="%3."/>
      <w:lvlJc w:val="right"/>
      <w:pPr>
        <w:ind w:left="2160" w:hanging="180"/>
      </w:pPr>
    </w:lvl>
    <w:lvl w:ilvl="3" w:tplc="A59A8B7E">
      <w:start w:val="1"/>
      <w:numFmt w:val="decimal"/>
      <w:lvlText w:val="%4."/>
      <w:lvlJc w:val="left"/>
      <w:pPr>
        <w:ind w:left="2880" w:hanging="360"/>
      </w:pPr>
    </w:lvl>
    <w:lvl w:ilvl="4" w:tplc="EDBA8B84">
      <w:start w:val="1"/>
      <w:numFmt w:val="lowerLetter"/>
      <w:lvlText w:val="%5."/>
      <w:lvlJc w:val="left"/>
      <w:pPr>
        <w:ind w:left="3600" w:hanging="360"/>
      </w:pPr>
    </w:lvl>
    <w:lvl w:ilvl="5" w:tplc="C0E47F8E">
      <w:start w:val="1"/>
      <w:numFmt w:val="lowerRoman"/>
      <w:lvlText w:val="%6."/>
      <w:lvlJc w:val="right"/>
      <w:pPr>
        <w:ind w:left="4320" w:hanging="180"/>
      </w:pPr>
    </w:lvl>
    <w:lvl w:ilvl="6" w:tplc="D3D87B60">
      <w:start w:val="1"/>
      <w:numFmt w:val="decimal"/>
      <w:lvlText w:val="%7."/>
      <w:lvlJc w:val="left"/>
      <w:pPr>
        <w:ind w:left="5040" w:hanging="360"/>
      </w:pPr>
    </w:lvl>
    <w:lvl w:ilvl="7" w:tplc="9D24E6C8">
      <w:start w:val="1"/>
      <w:numFmt w:val="lowerLetter"/>
      <w:lvlText w:val="%8."/>
      <w:lvlJc w:val="left"/>
      <w:pPr>
        <w:ind w:left="5760" w:hanging="360"/>
      </w:pPr>
    </w:lvl>
    <w:lvl w:ilvl="8" w:tplc="32DEEF38">
      <w:start w:val="1"/>
      <w:numFmt w:val="lowerRoman"/>
      <w:lvlText w:val="%9."/>
      <w:lvlJc w:val="right"/>
      <w:pPr>
        <w:ind w:left="6480" w:hanging="180"/>
      </w:pPr>
    </w:lvl>
  </w:abstractNum>
  <w:num w:numId="1" w16cid:durableId="2113085491">
    <w:abstractNumId w:val="0"/>
  </w:num>
  <w:num w:numId="2" w16cid:durableId="720903643">
    <w:abstractNumId w:val="2"/>
  </w:num>
  <w:num w:numId="3" w16cid:durableId="803884611">
    <w:abstractNumId w:val="3"/>
  </w:num>
  <w:num w:numId="4" w16cid:durableId="13349919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A1NjQzMzQ1NDQ3MbRQ0lEKTi0uzszPAykwrAUAE4gZtiwAAAA="/>
  </w:docVars>
  <w:rsids>
    <w:rsidRoot w:val="072D307C"/>
    <w:rsid w:val="00023F97"/>
    <w:rsid w:val="000D32AD"/>
    <w:rsid w:val="001BF3C9"/>
    <w:rsid w:val="0024EDD6"/>
    <w:rsid w:val="003EAE2A"/>
    <w:rsid w:val="00436240"/>
    <w:rsid w:val="004CCAA9"/>
    <w:rsid w:val="004F0489"/>
    <w:rsid w:val="00583171"/>
    <w:rsid w:val="00677B4D"/>
    <w:rsid w:val="006847F9"/>
    <w:rsid w:val="008978E3"/>
    <w:rsid w:val="00946B76"/>
    <w:rsid w:val="00A1573B"/>
    <w:rsid w:val="00ABE832"/>
    <w:rsid w:val="011D9794"/>
    <w:rsid w:val="0120D1DF"/>
    <w:rsid w:val="013502EF"/>
    <w:rsid w:val="01500F66"/>
    <w:rsid w:val="01827A70"/>
    <w:rsid w:val="01B7C42A"/>
    <w:rsid w:val="01C3C9AF"/>
    <w:rsid w:val="01C47E97"/>
    <w:rsid w:val="01DA7E8B"/>
    <w:rsid w:val="01F62F54"/>
    <w:rsid w:val="029C614B"/>
    <w:rsid w:val="02C3926C"/>
    <w:rsid w:val="02F04116"/>
    <w:rsid w:val="03344C00"/>
    <w:rsid w:val="0344D36F"/>
    <w:rsid w:val="03589CD9"/>
    <w:rsid w:val="045ED2B0"/>
    <w:rsid w:val="047CB1DD"/>
    <w:rsid w:val="048BB984"/>
    <w:rsid w:val="04FC1F59"/>
    <w:rsid w:val="0586B848"/>
    <w:rsid w:val="058C98D4"/>
    <w:rsid w:val="0599C6F2"/>
    <w:rsid w:val="05A1B478"/>
    <w:rsid w:val="05A82C40"/>
    <w:rsid w:val="05E539E8"/>
    <w:rsid w:val="05F108B7"/>
    <w:rsid w:val="0646B5E2"/>
    <w:rsid w:val="0662EA43"/>
    <w:rsid w:val="06838C7A"/>
    <w:rsid w:val="068A183F"/>
    <w:rsid w:val="06ADEFAE"/>
    <w:rsid w:val="06D3DC2D"/>
    <w:rsid w:val="070C2F5F"/>
    <w:rsid w:val="072D307C"/>
    <w:rsid w:val="07A23393"/>
    <w:rsid w:val="07C07F68"/>
    <w:rsid w:val="07C6CB3F"/>
    <w:rsid w:val="07FACE6C"/>
    <w:rsid w:val="08074862"/>
    <w:rsid w:val="0833C01B"/>
    <w:rsid w:val="08A68D74"/>
    <w:rsid w:val="097FD562"/>
    <w:rsid w:val="09BF6C5A"/>
    <w:rsid w:val="09C3B19B"/>
    <w:rsid w:val="09C812F0"/>
    <w:rsid w:val="09DE291C"/>
    <w:rsid w:val="0A4784F7"/>
    <w:rsid w:val="0ABF1359"/>
    <w:rsid w:val="0AE9A9C2"/>
    <w:rsid w:val="0AECDE8D"/>
    <w:rsid w:val="0B4918DF"/>
    <w:rsid w:val="0B4CD36A"/>
    <w:rsid w:val="0B513F46"/>
    <w:rsid w:val="0B5D8962"/>
    <w:rsid w:val="0B70D6A3"/>
    <w:rsid w:val="0B8B26DE"/>
    <w:rsid w:val="0BC79DB6"/>
    <w:rsid w:val="0BF75144"/>
    <w:rsid w:val="0C4DEE68"/>
    <w:rsid w:val="0C4F544B"/>
    <w:rsid w:val="0C6D78E2"/>
    <w:rsid w:val="0CE62FE4"/>
    <w:rsid w:val="0CE78CB6"/>
    <w:rsid w:val="0CF3F97B"/>
    <w:rsid w:val="0CFFB3B2"/>
    <w:rsid w:val="0DA0432C"/>
    <w:rsid w:val="0DACC65D"/>
    <w:rsid w:val="0DBA33D7"/>
    <w:rsid w:val="0E0CD16D"/>
    <w:rsid w:val="0E2CA4EE"/>
    <w:rsid w:val="0EB2C836"/>
    <w:rsid w:val="0EB90193"/>
    <w:rsid w:val="0ED066EF"/>
    <w:rsid w:val="0EEC75E4"/>
    <w:rsid w:val="0F0AF2F7"/>
    <w:rsid w:val="0F2F6E61"/>
    <w:rsid w:val="0F939C29"/>
    <w:rsid w:val="10A117A7"/>
    <w:rsid w:val="10A8E39F"/>
    <w:rsid w:val="10B797C3"/>
    <w:rsid w:val="10DAF086"/>
    <w:rsid w:val="1112E967"/>
    <w:rsid w:val="1121BCDE"/>
    <w:rsid w:val="114894E7"/>
    <w:rsid w:val="114A3316"/>
    <w:rsid w:val="117735DA"/>
    <w:rsid w:val="1184A3F3"/>
    <w:rsid w:val="11DF677E"/>
    <w:rsid w:val="11E1383F"/>
    <w:rsid w:val="11F0A255"/>
    <w:rsid w:val="1204E810"/>
    <w:rsid w:val="1253F61F"/>
    <w:rsid w:val="1271CC44"/>
    <w:rsid w:val="128F182B"/>
    <w:rsid w:val="130D5456"/>
    <w:rsid w:val="135EA8E9"/>
    <w:rsid w:val="136F0AA4"/>
    <w:rsid w:val="13736B68"/>
    <w:rsid w:val="13986226"/>
    <w:rsid w:val="13B417F6"/>
    <w:rsid w:val="13F8C2D7"/>
    <w:rsid w:val="141DB0AD"/>
    <w:rsid w:val="14D73BB1"/>
    <w:rsid w:val="14D95174"/>
    <w:rsid w:val="156658EE"/>
    <w:rsid w:val="156E9382"/>
    <w:rsid w:val="15F243D6"/>
    <w:rsid w:val="15F82E9B"/>
    <w:rsid w:val="160544BF"/>
    <w:rsid w:val="161D1E15"/>
    <w:rsid w:val="164DA866"/>
    <w:rsid w:val="173EE1EF"/>
    <w:rsid w:val="174424AE"/>
    <w:rsid w:val="17F735A6"/>
    <w:rsid w:val="18BB7A5C"/>
    <w:rsid w:val="190FAAA7"/>
    <w:rsid w:val="19205A4F"/>
    <w:rsid w:val="193FAC7E"/>
    <w:rsid w:val="1946BAC9"/>
    <w:rsid w:val="196D0B97"/>
    <w:rsid w:val="197ED69C"/>
    <w:rsid w:val="19A87677"/>
    <w:rsid w:val="19ABA9D2"/>
    <w:rsid w:val="19D22643"/>
    <w:rsid w:val="19E276F2"/>
    <w:rsid w:val="1A4D1175"/>
    <w:rsid w:val="1A555BBC"/>
    <w:rsid w:val="1A722108"/>
    <w:rsid w:val="1A75AA68"/>
    <w:rsid w:val="1A7A65EC"/>
    <w:rsid w:val="1A944BE4"/>
    <w:rsid w:val="1ADF761E"/>
    <w:rsid w:val="1AE6A52F"/>
    <w:rsid w:val="1B1AA6FD"/>
    <w:rsid w:val="1B31E682"/>
    <w:rsid w:val="1B477A33"/>
    <w:rsid w:val="1B8AA2BF"/>
    <w:rsid w:val="1C5C1F3D"/>
    <w:rsid w:val="1C6BDB23"/>
    <w:rsid w:val="1D10DF4E"/>
    <w:rsid w:val="1D38EDA6"/>
    <w:rsid w:val="1D5B3312"/>
    <w:rsid w:val="1D9BCC70"/>
    <w:rsid w:val="1DC2EA27"/>
    <w:rsid w:val="1DF3CB72"/>
    <w:rsid w:val="1DFA32E3"/>
    <w:rsid w:val="1E219791"/>
    <w:rsid w:val="1E5247BF"/>
    <w:rsid w:val="1E5D81AE"/>
    <w:rsid w:val="1EAF0C94"/>
    <w:rsid w:val="1EFC6B54"/>
    <w:rsid w:val="1F45922B"/>
    <w:rsid w:val="1FA56AD0"/>
    <w:rsid w:val="1FC570BC"/>
    <w:rsid w:val="1FE4271F"/>
    <w:rsid w:val="1FE932CF"/>
    <w:rsid w:val="20068D58"/>
    <w:rsid w:val="2045F918"/>
    <w:rsid w:val="20653239"/>
    <w:rsid w:val="2097E215"/>
    <w:rsid w:val="2115D560"/>
    <w:rsid w:val="2123B17F"/>
    <w:rsid w:val="212812D4"/>
    <w:rsid w:val="21358F45"/>
    <w:rsid w:val="214FDABF"/>
    <w:rsid w:val="21AB6B46"/>
    <w:rsid w:val="21D2871D"/>
    <w:rsid w:val="222479BE"/>
    <w:rsid w:val="2262D203"/>
    <w:rsid w:val="2267322B"/>
    <w:rsid w:val="22D15FA6"/>
    <w:rsid w:val="2331650E"/>
    <w:rsid w:val="23AF5B22"/>
    <w:rsid w:val="23C6CC65"/>
    <w:rsid w:val="23D523A8"/>
    <w:rsid w:val="23F08C84"/>
    <w:rsid w:val="23FF1543"/>
    <w:rsid w:val="242E3F73"/>
    <w:rsid w:val="24B9C731"/>
    <w:rsid w:val="250CC641"/>
    <w:rsid w:val="25F722A2"/>
    <w:rsid w:val="26234BE2"/>
    <w:rsid w:val="2647967B"/>
    <w:rsid w:val="2663A900"/>
    <w:rsid w:val="266722DB"/>
    <w:rsid w:val="269753D1"/>
    <w:rsid w:val="26FE7879"/>
    <w:rsid w:val="2701696C"/>
    <w:rsid w:val="27228884"/>
    <w:rsid w:val="2750A410"/>
    <w:rsid w:val="27786ADB"/>
    <w:rsid w:val="27813ACD"/>
    <w:rsid w:val="278B43E1"/>
    <w:rsid w:val="279441B5"/>
    <w:rsid w:val="27962459"/>
    <w:rsid w:val="27ADCB8A"/>
    <w:rsid w:val="27D785EA"/>
    <w:rsid w:val="27F1E85A"/>
    <w:rsid w:val="2808E383"/>
    <w:rsid w:val="283E3593"/>
    <w:rsid w:val="284384F8"/>
    <w:rsid w:val="287458A6"/>
    <w:rsid w:val="2883C1FC"/>
    <w:rsid w:val="289C05B8"/>
    <w:rsid w:val="28F461F7"/>
    <w:rsid w:val="2911DD5C"/>
    <w:rsid w:val="293324B9"/>
    <w:rsid w:val="294D4C70"/>
    <w:rsid w:val="2962DA2A"/>
    <w:rsid w:val="298730B2"/>
    <w:rsid w:val="29D108A7"/>
    <w:rsid w:val="2A28CDBB"/>
    <w:rsid w:val="2A74B3BD"/>
    <w:rsid w:val="2A92272F"/>
    <w:rsid w:val="2AA32688"/>
    <w:rsid w:val="2AA72523"/>
    <w:rsid w:val="2AEEC459"/>
    <w:rsid w:val="2AFEAA8B"/>
    <w:rsid w:val="2B0F5980"/>
    <w:rsid w:val="2B3D9259"/>
    <w:rsid w:val="2B648E85"/>
    <w:rsid w:val="2C760C61"/>
    <w:rsid w:val="2C770824"/>
    <w:rsid w:val="2C9A7AEC"/>
    <w:rsid w:val="2CA086E0"/>
    <w:rsid w:val="2CFE1127"/>
    <w:rsid w:val="2D38FFE3"/>
    <w:rsid w:val="2D933FF8"/>
    <w:rsid w:val="2DD3FCC7"/>
    <w:rsid w:val="2DDE2B42"/>
    <w:rsid w:val="2E121804"/>
    <w:rsid w:val="2E2BFAAF"/>
    <w:rsid w:val="2E364B4D"/>
    <w:rsid w:val="2F386399"/>
    <w:rsid w:val="2F669195"/>
    <w:rsid w:val="2F8ED28D"/>
    <w:rsid w:val="2FA3F18E"/>
    <w:rsid w:val="2FADAD23"/>
    <w:rsid w:val="2FD554E1"/>
    <w:rsid w:val="2FD5EDC2"/>
    <w:rsid w:val="3009E58B"/>
    <w:rsid w:val="30830F7D"/>
    <w:rsid w:val="30AE34F4"/>
    <w:rsid w:val="30BD2ABF"/>
    <w:rsid w:val="30BDF11B"/>
    <w:rsid w:val="30F811D1"/>
    <w:rsid w:val="30FF73DC"/>
    <w:rsid w:val="321FFCFC"/>
    <w:rsid w:val="329B443D"/>
    <w:rsid w:val="32DCB7A4"/>
    <w:rsid w:val="32EE372E"/>
    <w:rsid w:val="3309BC70"/>
    <w:rsid w:val="330FC864"/>
    <w:rsid w:val="336555E3"/>
    <w:rsid w:val="33EC80FA"/>
    <w:rsid w:val="3405D349"/>
    <w:rsid w:val="3440171D"/>
    <w:rsid w:val="346C1A15"/>
    <w:rsid w:val="34788805"/>
    <w:rsid w:val="34796391"/>
    <w:rsid w:val="34A58CD1"/>
    <w:rsid w:val="34B07E55"/>
    <w:rsid w:val="34DF9A93"/>
    <w:rsid w:val="3553CB56"/>
    <w:rsid w:val="357716C4"/>
    <w:rsid w:val="357839E1"/>
    <w:rsid w:val="35B796D2"/>
    <w:rsid w:val="35E6D8D3"/>
    <w:rsid w:val="36204FD3"/>
    <w:rsid w:val="36765D6F"/>
    <w:rsid w:val="36A8D725"/>
    <w:rsid w:val="36C50222"/>
    <w:rsid w:val="373308B1"/>
    <w:rsid w:val="376EB560"/>
    <w:rsid w:val="3783F185"/>
    <w:rsid w:val="37A87FF4"/>
    <w:rsid w:val="37C1A851"/>
    <w:rsid w:val="37CC07C1"/>
    <w:rsid w:val="37CD4D56"/>
    <w:rsid w:val="38048584"/>
    <w:rsid w:val="3817B8D7"/>
    <w:rsid w:val="3822F658"/>
    <w:rsid w:val="3829FF14"/>
    <w:rsid w:val="388F9044"/>
    <w:rsid w:val="3890FA9B"/>
    <w:rsid w:val="38B599F4"/>
    <w:rsid w:val="38C363C3"/>
    <w:rsid w:val="39329BB8"/>
    <w:rsid w:val="3956D56A"/>
    <w:rsid w:val="3978FDF4"/>
    <w:rsid w:val="39A9A98A"/>
    <w:rsid w:val="39D5C567"/>
    <w:rsid w:val="39ED39E5"/>
    <w:rsid w:val="39F65B2E"/>
    <w:rsid w:val="3A46736E"/>
    <w:rsid w:val="3A900459"/>
    <w:rsid w:val="3A991A9B"/>
    <w:rsid w:val="3A9D01B0"/>
    <w:rsid w:val="3AA05EA3"/>
    <w:rsid w:val="3AE6AC7B"/>
    <w:rsid w:val="3B0A83EA"/>
    <w:rsid w:val="3B40DCD3"/>
    <w:rsid w:val="3B5E9595"/>
    <w:rsid w:val="3B65FC2D"/>
    <w:rsid w:val="3BB42FC7"/>
    <w:rsid w:val="3BCC1DE0"/>
    <w:rsid w:val="3BEF379F"/>
    <w:rsid w:val="3C13BF73"/>
    <w:rsid w:val="3C14032D"/>
    <w:rsid w:val="3C56F78D"/>
    <w:rsid w:val="3C7BF117"/>
    <w:rsid w:val="3C827CDC"/>
    <w:rsid w:val="3C896E0C"/>
    <w:rsid w:val="3D33CDEF"/>
    <w:rsid w:val="3DAA28B7"/>
    <w:rsid w:val="3DB5A8EA"/>
    <w:rsid w:val="3DF46A66"/>
    <w:rsid w:val="3E30E9D5"/>
    <w:rsid w:val="3E3718CE"/>
    <w:rsid w:val="3E7900A8"/>
    <w:rsid w:val="3E7BB48E"/>
    <w:rsid w:val="3E973422"/>
    <w:rsid w:val="3EEB43C5"/>
    <w:rsid w:val="3F0D2D2A"/>
    <w:rsid w:val="3F2D15A1"/>
    <w:rsid w:val="3FA641C7"/>
    <w:rsid w:val="3FB391D9"/>
    <w:rsid w:val="3FD02F3A"/>
    <w:rsid w:val="3FD2E92F"/>
    <w:rsid w:val="401784EF"/>
    <w:rsid w:val="405461DB"/>
    <w:rsid w:val="4057D764"/>
    <w:rsid w:val="406D65C5"/>
    <w:rsid w:val="40C8BA7D"/>
    <w:rsid w:val="40E2E2B1"/>
    <w:rsid w:val="40E40482"/>
    <w:rsid w:val="40F908FD"/>
    <w:rsid w:val="41B5BB61"/>
    <w:rsid w:val="41B912AB"/>
    <w:rsid w:val="41FD80DB"/>
    <w:rsid w:val="42BB4FA9"/>
    <w:rsid w:val="42FBCCCC"/>
    <w:rsid w:val="43247779"/>
    <w:rsid w:val="433BE04E"/>
    <w:rsid w:val="434F25B1"/>
    <w:rsid w:val="43560B07"/>
    <w:rsid w:val="4368F81D"/>
    <w:rsid w:val="4369A77A"/>
    <w:rsid w:val="438C029D"/>
    <w:rsid w:val="43B160D4"/>
    <w:rsid w:val="43BEB4E8"/>
    <w:rsid w:val="43C568CA"/>
    <w:rsid w:val="43FE960C"/>
    <w:rsid w:val="44742B39"/>
    <w:rsid w:val="448702FC"/>
    <w:rsid w:val="44C1C532"/>
    <w:rsid w:val="44FC931C"/>
    <w:rsid w:val="452A86B4"/>
    <w:rsid w:val="4533FCAB"/>
    <w:rsid w:val="45454E63"/>
    <w:rsid w:val="45608FA0"/>
    <w:rsid w:val="458151B4"/>
    <w:rsid w:val="459510BC"/>
    <w:rsid w:val="45BAA1B9"/>
    <w:rsid w:val="45D058F3"/>
    <w:rsid w:val="45F1FD4B"/>
    <w:rsid w:val="4622D35D"/>
    <w:rsid w:val="47026621"/>
    <w:rsid w:val="470EA8CA"/>
    <w:rsid w:val="474941C4"/>
    <w:rsid w:val="47AD6927"/>
    <w:rsid w:val="47CA5843"/>
    <w:rsid w:val="47D7CC1B"/>
    <w:rsid w:val="47FCF0EB"/>
    <w:rsid w:val="4870231B"/>
    <w:rsid w:val="48B4C396"/>
    <w:rsid w:val="48DD4335"/>
    <w:rsid w:val="48E976D1"/>
    <w:rsid w:val="48F543E4"/>
    <w:rsid w:val="49541A4D"/>
    <w:rsid w:val="49594E05"/>
    <w:rsid w:val="498651B7"/>
    <w:rsid w:val="49EC8AA8"/>
    <w:rsid w:val="49F10303"/>
    <w:rsid w:val="4A24240F"/>
    <w:rsid w:val="4A454615"/>
    <w:rsid w:val="4AA3CA16"/>
    <w:rsid w:val="4AD28762"/>
    <w:rsid w:val="4AE0041B"/>
    <w:rsid w:val="4AE6511A"/>
    <w:rsid w:val="4B2FBF92"/>
    <w:rsid w:val="4B5B9DB5"/>
    <w:rsid w:val="4BAD5971"/>
    <w:rsid w:val="4BCBC935"/>
    <w:rsid w:val="4BEC6458"/>
    <w:rsid w:val="4C16F313"/>
    <w:rsid w:val="4C2CE4A6"/>
    <w:rsid w:val="4C318B93"/>
    <w:rsid w:val="4C524852"/>
    <w:rsid w:val="4C53B954"/>
    <w:rsid w:val="4CB959BD"/>
    <w:rsid w:val="4CBB34A1"/>
    <w:rsid w:val="4CF76163"/>
    <w:rsid w:val="4D3995CB"/>
    <w:rsid w:val="4D5BA458"/>
    <w:rsid w:val="4D8E6A22"/>
    <w:rsid w:val="4E879346"/>
    <w:rsid w:val="4EA31B58"/>
    <w:rsid w:val="4ECEB544"/>
    <w:rsid w:val="4F068897"/>
    <w:rsid w:val="4F1008F7"/>
    <w:rsid w:val="4F43396B"/>
    <w:rsid w:val="4F4E93D5"/>
    <w:rsid w:val="502363A7"/>
    <w:rsid w:val="5062A8B5"/>
    <w:rsid w:val="50ABD958"/>
    <w:rsid w:val="50AC22C4"/>
    <w:rsid w:val="50B58B10"/>
    <w:rsid w:val="50F8DB50"/>
    <w:rsid w:val="5196C072"/>
    <w:rsid w:val="5196EE11"/>
    <w:rsid w:val="51F3F453"/>
    <w:rsid w:val="51F81027"/>
    <w:rsid w:val="5229FBCD"/>
    <w:rsid w:val="524499D8"/>
    <w:rsid w:val="5247A9B9"/>
    <w:rsid w:val="525A82BF"/>
    <w:rsid w:val="5264BC4C"/>
    <w:rsid w:val="52A11247"/>
    <w:rsid w:val="52C79FED"/>
    <w:rsid w:val="52E3AC0B"/>
    <w:rsid w:val="52F6BD93"/>
    <w:rsid w:val="533633F9"/>
    <w:rsid w:val="53A833A8"/>
    <w:rsid w:val="53BE37E0"/>
    <w:rsid w:val="53DBF0FB"/>
    <w:rsid w:val="53E37A1A"/>
    <w:rsid w:val="53FF67FF"/>
    <w:rsid w:val="540269AD"/>
    <w:rsid w:val="543430E8"/>
    <w:rsid w:val="544BED2E"/>
    <w:rsid w:val="546DB539"/>
    <w:rsid w:val="54B2559E"/>
    <w:rsid w:val="550E3C4E"/>
    <w:rsid w:val="553A0D05"/>
    <w:rsid w:val="555332ED"/>
    <w:rsid w:val="55635FB3"/>
    <w:rsid w:val="556641D2"/>
    <w:rsid w:val="557F4A7B"/>
    <w:rsid w:val="5590E9B9"/>
    <w:rsid w:val="5592197F"/>
    <w:rsid w:val="55ADD428"/>
    <w:rsid w:val="55D8B309"/>
    <w:rsid w:val="571A1D82"/>
    <w:rsid w:val="5741FD90"/>
    <w:rsid w:val="57684AA2"/>
    <w:rsid w:val="58481B1E"/>
    <w:rsid w:val="588AD3AF"/>
    <w:rsid w:val="589B0075"/>
    <w:rsid w:val="58A38106"/>
    <w:rsid w:val="58DCA943"/>
    <w:rsid w:val="58F13DFE"/>
    <w:rsid w:val="5903CEB7"/>
    <w:rsid w:val="5924D8C3"/>
    <w:rsid w:val="59911FF1"/>
    <w:rsid w:val="59B12405"/>
    <w:rsid w:val="59D611DB"/>
    <w:rsid w:val="59F8D2CE"/>
    <w:rsid w:val="5A1DD303"/>
    <w:rsid w:val="5A93150C"/>
    <w:rsid w:val="5AA7EC68"/>
    <w:rsid w:val="5AAF2595"/>
    <w:rsid w:val="5AB07F01"/>
    <w:rsid w:val="5B1098B2"/>
    <w:rsid w:val="5B3D91C0"/>
    <w:rsid w:val="5B75C928"/>
    <w:rsid w:val="5BF83DB7"/>
    <w:rsid w:val="5C0A75A8"/>
    <w:rsid w:val="5C8AB074"/>
    <w:rsid w:val="5CFB770F"/>
    <w:rsid w:val="5D0484F4"/>
    <w:rsid w:val="5D2A22C3"/>
    <w:rsid w:val="5D5E44D2"/>
    <w:rsid w:val="5D79978A"/>
    <w:rsid w:val="5D8FB8F5"/>
    <w:rsid w:val="5D940E18"/>
    <w:rsid w:val="5D95E224"/>
    <w:rsid w:val="5DF6A59B"/>
    <w:rsid w:val="5E6A8B8C"/>
    <w:rsid w:val="5EC186B2"/>
    <w:rsid w:val="5EDE7FF4"/>
    <w:rsid w:val="5EE0ECD6"/>
    <w:rsid w:val="5EF849F6"/>
    <w:rsid w:val="5F42166A"/>
    <w:rsid w:val="5F8296B8"/>
    <w:rsid w:val="5FD84877"/>
    <w:rsid w:val="5FD89C01"/>
    <w:rsid w:val="600EA602"/>
    <w:rsid w:val="602D54FD"/>
    <w:rsid w:val="6079DFCC"/>
    <w:rsid w:val="6092FC3C"/>
    <w:rsid w:val="60C759B7"/>
    <w:rsid w:val="61385D0F"/>
    <w:rsid w:val="61500256"/>
    <w:rsid w:val="6155ACBF"/>
    <w:rsid w:val="61A82F27"/>
    <w:rsid w:val="6244FDA0"/>
    <w:rsid w:val="625E2EF0"/>
    <w:rsid w:val="626F6CC1"/>
    <w:rsid w:val="635AEB0F"/>
    <w:rsid w:val="636B988D"/>
    <w:rsid w:val="63D561E2"/>
    <w:rsid w:val="640568E9"/>
    <w:rsid w:val="643CDD2F"/>
    <w:rsid w:val="64576147"/>
    <w:rsid w:val="64F7128F"/>
    <w:rsid w:val="64FA9ED8"/>
    <w:rsid w:val="65197E65"/>
    <w:rsid w:val="653C0B35"/>
    <w:rsid w:val="65AC2201"/>
    <w:rsid w:val="65B365B8"/>
    <w:rsid w:val="65B4711F"/>
    <w:rsid w:val="65E45452"/>
    <w:rsid w:val="668E8734"/>
    <w:rsid w:val="669753E9"/>
    <w:rsid w:val="66AB0CFA"/>
    <w:rsid w:val="66CB5504"/>
    <w:rsid w:val="66EA5B05"/>
    <w:rsid w:val="6731A30D"/>
    <w:rsid w:val="674F3619"/>
    <w:rsid w:val="675C36C2"/>
    <w:rsid w:val="67C5F51E"/>
    <w:rsid w:val="67CFB402"/>
    <w:rsid w:val="68AD32C8"/>
    <w:rsid w:val="68B3DA7D"/>
    <w:rsid w:val="68CE5540"/>
    <w:rsid w:val="68EB067A"/>
    <w:rsid w:val="697B38D1"/>
    <w:rsid w:val="699B5B61"/>
    <w:rsid w:val="69E6347B"/>
    <w:rsid w:val="6A227A8B"/>
    <w:rsid w:val="6B029ED2"/>
    <w:rsid w:val="6B3DFBF7"/>
    <w:rsid w:val="6BBE4AEC"/>
    <w:rsid w:val="6C0EBBD3"/>
    <w:rsid w:val="6C3AF970"/>
    <w:rsid w:val="6CF50526"/>
    <w:rsid w:val="6D632DC5"/>
    <w:rsid w:val="6DDEE9B0"/>
    <w:rsid w:val="6DF3C288"/>
    <w:rsid w:val="6E0947AD"/>
    <w:rsid w:val="6E697CFC"/>
    <w:rsid w:val="6E6D8897"/>
    <w:rsid w:val="6EC7FE3A"/>
    <w:rsid w:val="6F3CB4F2"/>
    <w:rsid w:val="6F4C223E"/>
    <w:rsid w:val="6F4DEFC9"/>
    <w:rsid w:val="6F9355F7"/>
    <w:rsid w:val="6F986AC6"/>
    <w:rsid w:val="6FDA5BE9"/>
    <w:rsid w:val="7016EB21"/>
    <w:rsid w:val="7039C536"/>
    <w:rsid w:val="70636C5D"/>
    <w:rsid w:val="7063CE9B"/>
    <w:rsid w:val="708AC15E"/>
    <w:rsid w:val="708C7D75"/>
    <w:rsid w:val="70F51E19"/>
    <w:rsid w:val="7109B0BA"/>
    <w:rsid w:val="713DD1D5"/>
    <w:rsid w:val="716F7B30"/>
    <w:rsid w:val="71BA4868"/>
    <w:rsid w:val="720AE6CE"/>
    <w:rsid w:val="720C2410"/>
    <w:rsid w:val="7242E554"/>
    <w:rsid w:val="7293AD0A"/>
    <w:rsid w:val="72A5811B"/>
    <w:rsid w:val="72CB298A"/>
    <w:rsid w:val="72EB0D25"/>
    <w:rsid w:val="72FBD353"/>
    <w:rsid w:val="734F710A"/>
    <w:rsid w:val="7363F7DB"/>
    <w:rsid w:val="73A2B5A0"/>
    <w:rsid w:val="73BD1B7D"/>
    <w:rsid w:val="745C9E54"/>
    <w:rsid w:val="74657742"/>
    <w:rsid w:val="747DB77C"/>
    <w:rsid w:val="7485B635"/>
    <w:rsid w:val="74901568"/>
    <w:rsid w:val="74BF56F8"/>
    <w:rsid w:val="74DB704A"/>
    <w:rsid w:val="74DE0E08"/>
    <w:rsid w:val="7543C4D2"/>
    <w:rsid w:val="75A5CE03"/>
    <w:rsid w:val="75E79A6C"/>
    <w:rsid w:val="7607970C"/>
    <w:rsid w:val="765637DC"/>
    <w:rsid w:val="7677352D"/>
    <w:rsid w:val="76DA9538"/>
    <w:rsid w:val="76DF9533"/>
    <w:rsid w:val="76E4861D"/>
    <w:rsid w:val="772F73B7"/>
    <w:rsid w:val="7744DD4D"/>
    <w:rsid w:val="78092D23"/>
    <w:rsid w:val="7827599B"/>
    <w:rsid w:val="78C2A8E5"/>
    <w:rsid w:val="790971BD"/>
    <w:rsid w:val="7916BB39"/>
    <w:rsid w:val="7934E98A"/>
    <w:rsid w:val="7947C995"/>
    <w:rsid w:val="79BA52BB"/>
    <w:rsid w:val="79D8DB8D"/>
    <w:rsid w:val="79F884BA"/>
    <w:rsid w:val="7A07F06B"/>
    <w:rsid w:val="7A2A3078"/>
    <w:rsid w:val="7AA1BE7B"/>
    <w:rsid w:val="7AC58C7D"/>
    <w:rsid w:val="7B7B9365"/>
    <w:rsid w:val="7B8D39EE"/>
    <w:rsid w:val="7BA12C7F"/>
    <w:rsid w:val="7BEB1F27"/>
    <w:rsid w:val="7C722F87"/>
    <w:rsid w:val="7C85384C"/>
    <w:rsid w:val="7C994F97"/>
    <w:rsid w:val="7CBE9FC6"/>
    <w:rsid w:val="7CE23613"/>
    <w:rsid w:val="7CF10D73"/>
    <w:rsid w:val="7D201804"/>
    <w:rsid w:val="7D2432EB"/>
    <w:rsid w:val="7D2E5243"/>
    <w:rsid w:val="7D31C937"/>
    <w:rsid w:val="7D3C1953"/>
    <w:rsid w:val="7DEF635D"/>
    <w:rsid w:val="7DF83C4B"/>
    <w:rsid w:val="7E60DADC"/>
    <w:rsid w:val="7E65544C"/>
    <w:rsid w:val="7E7D72C2"/>
    <w:rsid w:val="7ECC5C84"/>
    <w:rsid w:val="7F4D204A"/>
    <w:rsid w:val="7F632519"/>
    <w:rsid w:val="7FDD772C"/>
    <w:rsid w:val="7FFCAB3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334"/>
  <w15:chartTrackingRefBased/>
  <w15:docId w15:val="{B2906294-BE9C-4732-BD0E-6684FC789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26234BE2"/>
    <w:rPr>
      <w:lang w:val="en-GB"/>
    </w:rPr>
  </w:style>
  <w:style w:type="paragraph" w:styleId="Heading1">
    <w:name w:val="heading 1"/>
    <w:basedOn w:val="Normal"/>
    <w:next w:val="Normal"/>
    <w:link w:val="Heading1Char"/>
    <w:uiPriority w:val="9"/>
    <w:qFormat/>
    <w:rsid w:val="26234BE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26234BE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26234BE2"/>
    <w:pPr>
      <w:keepNext/>
      <w:keepLines/>
      <w:spacing w:before="40" w:after="0"/>
      <w:outlineLvl w:val="2"/>
    </w:pPr>
    <w:rPr>
      <w:rFonts w:asciiTheme="majorHAnsi" w:eastAsiaTheme="majorEastAsia" w:hAnsiTheme="majorHAnsi" w:cstheme="majorBidi"/>
      <w:color w:val="1F3763"/>
      <w:sz w:val="24"/>
      <w:szCs w:val="24"/>
    </w:rPr>
  </w:style>
  <w:style w:type="paragraph" w:styleId="Heading4">
    <w:name w:val="heading 4"/>
    <w:basedOn w:val="Normal"/>
    <w:next w:val="Normal"/>
    <w:link w:val="Heading4Char"/>
    <w:uiPriority w:val="9"/>
    <w:unhideWhenUsed/>
    <w:qFormat/>
    <w:rsid w:val="26234BE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26234BE2"/>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26234BE2"/>
    <w:pPr>
      <w:keepNext/>
      <w:keepLines/>
      <w:spacing w:before="40" w:after="0"/>
      <w:outlineLvl w:val="5"/>
    </w:pPr>
    <w:rPr>
      <w:rFonts w:asciiTheme="majorHAnsi" w:eastAsiaTheme="majorEastAsia" w:hAnsiTheme="majorHAnsi" w:cstheme="majorBidi"/>
      <w:color w:val="1F3763"/>
    </w:rPr>
  </w:style>
  <w:style w:type="paragraph" w:styleId="Heading7">
    <w:name w:val="heading 7"/>
    <w:basedOn w:val="Normal"/>
    <w:next w:val="Normal"/>
    <w:link w:val="Heading7Char"/>
    <w:uiPriority w:val="9"/>
    <w:unhideWhenUsed/>
    <w:qFormat/>
    <w:rsid w:val="26234BE2"/>
    <w:pPr>
      <w:keepNext/>
      <w:keepLines/>
      <w:spacing w:before="40" w:after="0"/>
      <w:outlineLvl w:val="6"/>
    </w:pPr>
    <w:rPr>
      <w:rFonts w:asciiTheme="majorHAnsi" w:eastAsiaTheme="majorEastAsia" w:hAnsiTheme="majorHAnsi" w:cstheme="majorBidi"/>
      <w:i/>
      <w:iCs/>
      <w:color w:val="1F3763"/>
    </w:rPr>
  </w:style>
  <w:style w:type="paragraph" w:styleId="Heading8">
    <w:name w:val="heading 8"/>
    <w:basedOn w:val="Normal"/>
    <w:next w:val="Normal"/>
    <w:link w:val="Heading8Char"/>
    <w:uiPriority w:val="9"/>
    <w:unhideWhenUsed/>
    <w:qFormat/>
    <w:rsid w:val="26234BE2"/>
    <w:pPr>
      <w:keepNext/>
      <w:keepLines/>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26234BE2"/>
    <w:pPr>
      <w:keepNext/>
      <w:keepLines/>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26234BE2"/>
    <w:pPr>
      <w:spacing w:after="0"/>
      <w:contextualSpacing/>
    </w:pPr>
    <w:rPr>
      <w:rFonts w:asciiTheme="majorHAnsi" w:eastAsiaTheme="majorEastAsia" w:hAnsiTheme="majorHAnsi" w:cstheme="majorBidi"/>
      <w:sz w:val="56"/>
      <w:szCs w:val="56"/>
    </w:rPr>
  </w:style>
  <w:style w:type="paragraph" w:styleId="Subtitle">
    <w:name w:val="Subtitle"/>
    <w:basedOn w:val="Normal"/>
    <w:next w:val="Normal"/>
    <w:link w:val="SubtitleChar"/>
    <w:uiPriority w:val="11"/>
    <w:qFormat/>
    <w:rsid w:val="26234BE2"/>
    <w:rPr>
      <w:rFonts w:eastAsiaTheme="minorEastAsia"/>
      <w:color w:val="5A5A5A"/>
    </w:rPr>
  </w:style>
  <w:style w:type="paragraph" w:styleId="Quote">
    <w:name w:val="Quote"/>
    <w:basedOn w:val="Normal"/>
    <w:next w:val="Normal"/>
    <w:link w:val="QuoteChar"/>
    <w:uiPriority w:val="29"/>
    <w:qFormat/>
    <w:rsid w:val="26234BE2"/>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26234BE2"/>
    <w:pPr>
      <w:spacing w:before="360" w:after="360"/>
      <w:ind w:left="864" w:right="864"/>
      <w:jc w:val="center"/>
    </w:pPr>
    <w:rPr>
      <w:i/>
      <w:iCs/>
      <w:color w:val="4472C4" w:themeColor="accent1"/>
    </w:rPr>
  </w:style>
  <w:style w:type="paragraph" w:styleId="ListParagraph">
    <w:name w:val="List Paragraph"/>
    <w:basedOn w:val="Normal"/>
    <w:uiPriority w:val="34"/>
    <w:qFormat/>
    <w:rsid w:val="26234BE2"/>
    <w:pPr>
      <w:ind w:left="720"/>
      <w:contextualSpacing/>
    </w:pPr>
  </w:style>
  <w:style w:type="character" w:customStyle="1" w:styleId="Heading1Char">
    <w:name w:val="Heading 1 Char"/>
    <w:basedOn w:val="DefaultParagraphFont"/>
    <w:link w:val="Heading1"/>
    <w:uiPriority w:val="9"/>
    <w:rsid w:val="26234BE2"/>
    <w:rPr>
      <w:rFonts w:asciiTheme="majorHAnsi" w:eastAsiaTheme="majorEastAsia" w:hAnsiTheme="majorHAnsi" w:cstheme="majorBidi"/>
      <w:noProof w:val="0"/>
      <w:color w:val="2F5496" w:themeColor="accent1" w:themeShade="BF"/>
      <w:sz w:val="32"/>
      <w:szCs w:val="32"/>
      <w:lang w:val="en-GB"/>
    </w:rPr>
  </w:style>
  <w:style w:type="character" w:customStyle="1" w:styleId="Heading2Char">
    <w:name w:val="Heading 2 Char"/>
    <w:basedOn w:val="DefaultParagraphFont"/>
    <w:link w:val="Heading2"/>
    <w:uiPriority w:val="9"/>
    <w:rsid w:val="26234BE2"/>
    <w:rPr>
      <w:rFonts w:asciiTheme="majorHAnsi" w:eastAsiaTheme="majorEastAsia" w:hAnsiTheme="majorHAnsi" w:cstheme="majorBidi"/>
      <w:noProof w:val="0"/>
      <w:color w:val="2F5496" w:themeColor="accent1" w:themeShade="BF"/>
      <w:sz w:val="26"/>
      <w:szCs w:val="26"/>
      <w:lang w:val="en-GB"/>
    </w:rPr>
  </w:style>
  <w:style w:type="character" w:customStyle="1" w:styleId="Heading3Char">
    <w:name w:val="Heading 3 Char"/>
    <w:basedOn w:val="DefaultParagraphFont"/>
    <w:link w:val="Heading3"/>
    <w:uiPriority w:val="9"/>
    <w:rsid w:val="26234BE2"/>
    <w:rPr>
      <w:rFonts w:asciiTheme="majorHAnsi" w:eastAsiaTheme="majorEastAsia" w:hAnsiTheme="majorHAnsi" w:cstheme="majorBidi"/>
      <w:noProof w:val="0"/>
      <w:color w:val="1F3763"/>
      <w:sz w:val="24"/>
      <w:szCs w:val="24"/>
      <w:lang w:val="en-GB"/>
    </w:rPr>
  </w:style>
  <w:style w:type="character" w:customStyle="1" w:styleId="Heading4Char">
    <w:name w:val="Heading 4 Char"/>
    <w:basedOn w:val="DefaultParagraphFont"/>
    <w:link w:val="Heading4"/>
    <w:uiPriority w:val="9"/>
    <w:rsid w:val="26234BE2"/>
    <w:rPr>
      <w:rFonts w:asciiTheme="majorHAnsi" w:eastAsiaTheme="majorEastAsia" w:hAnsiTheme="majorHAnsi" w:cstheme="majorBidi"/>
      <w:i/>
      <w:iCs/>
      <w:noProof w:val="0"/>
      <w:color w:val="2F5496" w:themeColor="accent1" w:themeShade="BF"/>
      <w:lang w:val="en-GB"/>
    </w:rPr>
  </w:style>
  <w:style w:type="character" w:customStyle="1" w:styleId="Heading5Char">
    <w:name w:val="Heading 5 Char"/>
    <w:basedOn w:val="DefaultParagraphFont"/>
    <w:link w:val="Heading5"/>
    <w:uiPriority w:val="9"/>
    <w:rsid w:val="26234BE2"/>
    <w:rPr>
      <w:rFonts w:asciiTheme="majorHAnsi" w:eastAsiaTheme="majorEastAsia" w:hAnsiTheme="majorHAnsi" w:cstheme="majorBidi"/>
      <w:noProof w:val="0"/>
      <w:color w:val="2F5496" w:themeColor="accent1" w:themeShade="BF"/>
      <w:lang w:val="en-GB"/>
    </w:rPr>
  </w:style>
  <w:style w:type="character" w:customStyle="1" w:styleId="Heading6Char">
    <w:name w:val="Heading 6 Char"/>
    <w:basedOn w:val="DefaultParagraphFont"/>
    <w:link w:val="Heading6"/>
    <w:uiPriority w:val="9"/>
    <w:rsid w:val="26234BE2"/>
    <w:rPr>
      <w:rFonts w:asciiTheme="majorHAnsi" w:eastAsiaTheme="majorEastAsia" w:hAnsiTheme="majorHAnsi" w:cstheme="majorBidi"/>
      <w:noProof w:val="0"/>
      <w:color w:val="1F3763"/>
      <w:lang w:val="en-GB"/>
    </w:rPr>
  </w:style>
  <w:style w:type="character" w:customStyle="1" w:styleId="Heading7Char">
    <w:name w:val="Heading 7 Char"/>
    <w:basedOn w:val="DefaultParagraphFont"/>
    <w:link w:val="Heading7"/>
    <w:uiPriority w:val="9"/>
    <w:rsid w:val="26234BE2"/>
    <w:rPr>
      <w:rFonts w:asciiTheme="majorHAnsi" w:eastAsiaTheme="majorEastAsia" w:hAnsiTheme="majorHAnsi" w:cstheme="majorBidi"/>
      <w:i/>
      <w:iCs/>
      <w:noProof w:val="0"/>
      <w:color w:val="1F3763"/>
      <w:lang w:val="en-GB"/>
    </w:rPr>
  </w:style>
  <w:style w:type="character" w:customStyle="1" w:styleId="Heading8Char">
    <w:name w:val="Heading 8 Char"/>
    <w:basedOn w:val="DefaultParagraphFont"/>
    <w:link w:val="Heading8"/>
    <w:uiPriority w:val="9"/>
    <w:rsid w:val="26234BE2"/>
    <w:rPr>
      <w:rFonts w:asciiTheme="majorHAnsi" w:eastAsiaTheme="majorEastAsia" w:hAnsiTheme="majorHAnsi" w:cstheme="majorBidi"/>
      <w:noProof w:val="0"/>
      <w:color w:val="272727"/>
      <w:sz w:val="21"/>
      <w:szCs w:val="21"/>
      <w:lang w:val="en-GB"/>
    </w:rPr>
  </w:style>
  <w:style w:type="character" w:customStyle="1" w:styleId="Heading9Char">
    <w:name w:val="Heading 9 Char"/>
    <w:basedOn w:val="DefaultParagraphFont"/>
    <w:link w:val="Heading9"/>
    <w:uiPriority w:val="9"/>
    <w:rsid w:val="26234BE2"/>
    <w:rPr>
      <w:rFonts w:asciiTheme="majorHAnsi" w:eastAsiaTheme="majorEastAsia" w:hAnsiTheme="majorHAnsi" w:cstheme="majorBidi"/>
      <w:i/>
      <w:iCs/>
      <w:noProof w:val="0"/>
      <w:color w:val="272727"/>
      <w:sz w:val="21"/>
      <w:szCs w:val="21"/>
      <w:lang w:val="en-GB"/>
    </w:rPr>
  </w:style>
  <w:style w:type="character" w:customStyle="1" w:styleId="TitleChar">
    <w:name w:val="Title Char"/>
    <w:basedOn w:val="DefaultParagraphFont"/>
    <w:link w:val="Title"/>
    <w:uiPriority w:val="10"/>
    <w:rsid w:val="26234BE2"/>
    <w:rPr>
      <w:rFonts w:asciiTheme="majorHAnsi" w:eastAsiaTheme="majorEastAsia" w:hAnsiTheme="majorHAnsi" w:cstheme="majorBidi"/>
      <w:noProof w:val="0"/>
      <w:sz w:val="56"/>
      <w:szCs w:val="56"/>
      <w:lang w:val="en-GB"/>
    </w:rPr>
  </w:style>
  <w:style w:type="character" w:customStyle="1" w:styleId="SubtitleChar">
    <w:name w:val="Subtitle Char"/>
    <w:basedOn w:val="DefaultParagraphFont"/>
    <w:link w:val="Subtitle"/>
    <w:uiPriority w:val="11"/>
    <w:rsid w:val="26234BE2"/>
    <w:rPr>
      <w:rFonts w:asciiTheme="minorHAnsi" w:eastAsiaTheme="minorEastAsia" w:hAnsiTheme="minorHAnsi" w:cstheme="minorBidi"/>
      <w:noProof w:val="0"/>
      <w:color w:val="5A5A5A"/>
      <w:lang w:val="en-GB"/>
    </w:rPr>
  </w:style>
  <w:style w:type="character" w:customStyle="1" w:styleId="QuoteChar">
    <w:name w:val="Quote Char"/>
    <w:basedOn w:val="DefaultParagraphFont"/>
    <w:link w:val="Quote"/>
    <w:uiPriority w:val="29"/>
    <w:rsid w:val="26234BE2"/>
    <w:rPr>
      <w:i/>
      <w:iCs/>
      <w:noProof w:val="0"/>
      <w:color w:val="404040" w:themeColor="text1" w:themeTint="BF"/>
      <w:lang w:val="en-GB"/>
    </w:rPr>
  </w:style>
  <w:style w:type="character" w:customStyle="1" w:styleId="IntenseQuoteChar">
    <w:name w:val="Intense Quote Char"/>
    <w:basedOn w:val="DefaultParagraphFont"/>
    <w:link w:val="IntenseQuote"/>
    <w:uiPriority w:val="30"/>
    <w:rsid w:val="26234BE2"/>
    <w:rPr>
      <w:i/>
      <w:iCs/>
      <w:noProof w:val="0"/>
      <w:color w:val="4472C4" w:themeColor="accent1"/>
      <w:lang w:val="en-GB"/>
    </w:rPr>
  </w:style>
  <w:style w:type="paragraph" w:styleId="TOC1">
    <w:name w:val="toc 1"/>
    <w:basedOn w:val="Normal"/>
    <w:next w:val="Normal"/>
    <w:uiPriority w:val="39"/>
    <w:unhideWhenUsed/>
    <w:rsid w:val="26234BE2"/>
    <w:pPr>
      <w:spacing w:after="100"/>
    </w:pPr>
  </w:style>
  <w:style w:type="paragraph" w:styleId="TOC2">
    <w:name w:val="toc 2"/>
    <w:basedOn w:val="Normal"/>
    <w:next w:val="Normal"/>
    <w:uiPriority w:val="39"/>
    <w:unhideWhenUsed/>
    <w:rsid w:val="26234BE2"/>
    <w:pPr>
      <w:spacing w:after="100"/>
      <w:ind w:left="220"/>
    </w:pPr>
  </w:style>
  <w:style w:type="paragraph" w:styleId="TOC3">
    <w:name w:val="toc 3"/>
    <w:basedOn w:val="Normal"/>
    <w:next w:val="Normal"/>
    <w:uiPriority w:val="39"/>
    <w:unhideWhenUsed/>
    <w:rsid w:val="26234BE2"/>
    <w:pPr>
      <w:spacing w:after="100"/>
      <w:ind w:left="440"/>
    </w:pPr>
  </w:style>
  <w:style w:type="paragraph" w:styleId="TOC4">
    <w:name w:val="toc 4"/>
    <w:basedOn w:val="Normal"/>
    <w:next w:val="Normal"/>
    <w:uiPriority w:val="39"/>
    <w:unhideWhenUsed/>
    <w:rsid w:val="26234BE2"/>
    <w:pPr>
      <w:spacing w:after="100"/>
      <w:ind w:left="660"/>
    </w:pPr>
  </w:style>
  <w:style w:type="paragraph" w:styleId="TOC5">
    <w:name w:val="toc 5"/>
    <w:basedOn w:val="Normal"/>
    <w:next w:val="Normal"/>
    <w:uiPriority w:val="39"/>
    <w:unhideWhenUsed/>
    <w:rsid w:val="26234BE2"/>
    <w:pPr>
      <w:spacing w:after="100"/>
      <w:ind w:left="880"/>
    </w:pPr>
  </w:style>
  <w:style w:type="paragraph" w:styleId="TOC6">
    <w:name w:val="toc 6"/>
    <w:basedOn w:val="Normal"/>
    <w:next w:val="Normal"/>
    <w:uiPriority w:val="39"/>
    <w:unhideWhenUsed/>
    <w:rsid w:val="26234BE2"/>
    <w:pPr>
      <w:spacing w:after="100"/>
      <w:ind w:left="1100"/>
    </w:pPr>
  </w:style>
  <w:style w:type="paragraph" w:styleId="TOC7">
    <w:name w:val="toc 7"/>
    <w:basedOn w:val="Normal"/>
    <w:next w:val="Normal"/>
    <w:uiPriority w:val="39"/>
    <w:unhideWhenUsed/>
    <w:rsid w:val="26234BE2"/>
    <w:pPr>
      <w:spacing w:after="100"/>
      <w:ind w:left="1320"/>
    </w:pPr>
  </w:style>
  <w:style w:type="paragraph" w:styleId="TOC8">
    <w:name w:val="toc 8"/>
    <w:basedOn w:val="Normal"/>
    <w:next w:val="Normal"/>
    <w:uiPriority w:val="39"/>
    <w:unhideWhenUsed/>
    <w:rsid w:val="26234BE2"/>
    <w:pPr>
      <w:spacing w:after="100"/>
      <w:ind w:left="1540"/>
    </w:pPr>
  </w:style>
  <w:style w:type="paragraph" w:styleId="TOC9">
    <w:name w:val="toc 9"/>
    <w:basedOn w:val="Normal"/>
    <w:next w:val="Normal"/>
    <w:uiPriority w:val="39"/>
    <w:unhideWhenUsed/>
    <w:rsid w:val="26234BE2"/>
    <w:pPr>
      <w:spacing w:after="100"/>
      <w:ind w:left="1760"/>
    </w:pPr>
  </w:style>
  <w:style w:type="paragraph" w:styleId="EndnoteText">
    <w:name w:val="endnote text"/>
    <w:basedOn w:val="Normal"/>
    <w:link w:val="EndnoteTextChar"/>
    <w:uiPriority w:val="99"/>
    <w:semiHidden/>
    <w:unhideWhenUsed/>
    <w:rsid w:val="26234BE2"/>
    <w:pPr>
      <w:spacing w:after="0"/>
    </w:pPr>
    <w:rPr>
      <w:sz w:val="20"/>
      <w:szCs w:val="20"/>
    </w:rPr>
  </w:style>
  <w:style w:type="character" w:customStyle="1" w:styleId="EndnoteTextChar">
    <w:name w:val="Endnote Text Char"/>
    <w:basedOn w:val="DefaultParagraphFont"/>
    <w:link w:val="EndnoteText"/>
    <w:uiPriority w:val="99"/>
    <w:semiHidden/>
    <w:rsid w:val="26234BE2"/>
    <w:rPr>
      <w:noProof w:val="0"/>
      <w:sz w:val="20"/>
      <w:szCs w:val="20"/>
      <w:lang w:val="en-GB"/>
    </w:rPr>
  </w:style>
  <w:style w:type="paragraph" w:styleId="Footer">
    <w:name w:val="footer"/>
    <w:basedOn w:val="Normal"/>
    <w:link w:val="FooterChar"/>
    <w:uiPriority w:val="99"/>
    <w:unhideWhenUsed/>
    <w:rsid w:val="26234BE2"/>
    <w:pPr>
      <w:tabs>
        <w:tab w:val="center" w:pos="4680"/>
        <w:tab w:val="right" w:pos="9360"/>
      </w:tabs>
      <w:spacing w:after="0"/>
    </w:pPr>
  </w:style>
  <w:style w:type="character" w:customStyle="1" w:styleId="FooterChar">
    <w:name w:val="Footer Char"/>
    <w:basedOn w:val="DefaultParagraphFont"/>
    <w:link w:val="Footer"/>
    <w:uiPriority w:val="99"/>
    <w:rsid w:val="26234BE2"/>
    <w:rPr>
      <w:noProof w:val="0"/>
      <w:lang w:val="en-GB"/>
    </w:rPr>
  </w:style>
  <w:style w:type="paragraph" w:styleId="FootnoteText">
    <w:name w:val="footnote text"/>
    <w:basedOn w:val="Normal"/>
    <w:link w:val="FootnoteTextChar"/>
    <w:uiPriority w:val="99"/>
    <w:semiHidden/>
    <w:unhideWhenUsed/>
    <w:rsid w:val="26234BE2"/>
    <w:pPr>
      <w:spacing w:after="0"/>
    </w:pPr>
    <w:rPr>
      <w:sz w:val="20"/>
      <w:szCs w:val="20"/>
    </w:rPr>
  </w:style>
  <w:style w:type="character" w:customStyle="1" w:styleId="FootnoteTextChar">
    <w:name w:val="Footnote Text Char"/>
    <w:basedOn w:val="DefaultParagraphFont"/>
    <w:link w:val="FootnoteText"/>
    <w:uiPriority w:val="99"/>
    <w:semiHidden/>
    <w:rsid w:val="26234BE2"/>
    <w:rPr>
      <w:noProof w:val="0"/>
      <w:sz w:val="20"/>
      <w:szCs w:val="20"/>
      <w:lang w:val="en-GB"/>
    </w:rPr>
  </w:style>
  <w:style w:type="paragraph" w:styleId="Header">
    <w:name w:val="header"/>
    <w:basedOn w:val="Normal"/>
    <w:link w:val="HeaderChar"/>
    <w:uiPriority w:val="99"/>
    <w:unhideWhenUsed/>
    <w:rsid w:val="26234BE2"/>
    <w:pPr>
      <w:tabs>
        <w:tab w:val="center" w:pos="4680"/>
        <w:tab w:val="right" w:pos="9360"/>
      </w:tabs>
      <w:spacing w:after="0"/>
    </w:pPr>
  </w:style>
  <w:style w:type="character" w:customStyle="1" w:styleId="HeaderChar">
    <w:name w:val="Header Char"/>
    <w:basedOn w:val="DefaultParagraphFont"/>
    <w:link w:val="Header"/>
    <w:uiPriority w:val="99"/>
    <w:rsid w:val="26234BE2"/>
    <w:rPr>
      <w:noProof w:val="0"/>
      <w:lang w:val="en-GB"/>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lang w:val="en-GB"/>
    </w:rPr>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946B76"/>
    <w:rPr>
      <w:color w:val="605E5C"/>
      <w:shd w:val="clear" w:color="auto" w:fill="E1DFDD"/>
    </w:rPr>
  </w:style>
  <w:style w:type="paragraph" w:styleId="NormalWeb">
    <w:name w:val="Normal (Web)"/>
    <w:basedOn w:val="Normal"/>
    <w:uiPriority w:val="99"/>
    <w:semiHidden/>
    <w:unhideWhenUsed/>
    <w:rsid w:val="00023F97"/>
    <w:pPr>
      <w:spacing w:before="100" w:beforeAutospacing="1" w:after="100" w:afterAutospacing="1" w:line="240" w:lineRule="auto"/>
    </w:pPr>
    <w:rPr>
      <w:rFonts w:ascii="Times New Roman" w:eastAsia="Times New Roman" w:hAnsi="Times New Roman" w:cs="Times New Roman"/>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loser.ac.uk" TargetMode="External"/><Relationship Id="rId13" Type="http://schemas.openxmlformats.org/officeDocument/2006/relationships/hyperlink" Target="https://github.com/ccs-amsterdam/r-course-material/blob/master/tutorials/machine_learning.md" TargetMode="External"/><Relationship Id="rId18" Type="http://schemas.openxmlformats.org/officeDocument/2006/relationships/hyperlink" Target="https://doi.org/10.1007/978-3-030-52680-1_21"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mailto:j.mohan@bham.ac.uk" TargetMode="External"/><Relationship Id="rId12" Type="http://schemas.openxmlformats.org/officeDocument/2006/relationships/image" Target="media/image4.png"/><Relationship Id="rId17" Type="http://schemas.openxmlformats.org/officeDocument/2006/relationships/hyperlink" Target="https://www.probonoeconomics.com/hands-in-the-air-like-you-just-do-care" TargetMode="External"/><Relationship Id="rId2" Type="http://schemas.openxmlformats.org/officeDocument/2006/relationships/styles" Target="styles.xml"/><Relationship Id="rId16" Type="http://schemas.openxmlformats.org/officeDocument/2006/relationships/hyperlink" Target="https://cls.ucl.ac.uk/wp" TargetMode="External"/><Relationship Id="rId20" Type="http://schemas.openxmlformats.org/officeDocument/2006/relationships/hyperlink" Target="https://doi.org/10.1007/s11266-020-00279-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microsoft.com/office/2020/10/relationships/intelligence" Target="intelligence2.xml"/><Relationship Id="rId5" Type="http://schemas.openxmlformats.org/officeDocument/2006/relationships/footnotes" Target="footnotes.xml"/><Relationship Id="rId15" Type="http://schemas.openxmlformats.org/officeDocument/2006/relationships/hyperlink" Target="https://www.volkskrant.nl/nieuws-achtergrond/het-altruistisch-overschot~b1d7ff02/"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doi.org/10.1177/21582440211061567"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cls.ucl.ac.uk/cls-studies/1958-national-child-development-study/"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27</Pages>
  <Words>8109</Words>
  <Characters>46222</Characters>
  <Application>Microsoft Office Word</Application>
  <DocSecurity>0</DocSecurity>
  <Lines>385</Lines>
  <Paragraphs>108</Paragraphs>
  <ScaleCrop>false</ScaleCrop>
  <Company/>
  <LinksUpToDate>false</LinksUpToDate>
  <CharactersWithSpaces>54223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Doodeman, E.G.M. (Elisabet)</dc:creator>
  <cp:keywords/>
  <dc:description/>
  <cp:lastModifiedBy>Mats Heemskerk</cp:lastModifiedBy>
  <cp:revision>3</cp:revision>
  <dcterms:created xsi:type="dcterms:W3CDTF">2023-06-04T19:33:00Z</dcterms:created>
  <dcterms:modified xsi:type="dcterms:W3CDTF">2023-06-06T13:27:00Z</dcterms:modified>
</cp:coreProperties>
</file>