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30FC9" w14:textId="77777777" w:rsidR="00144C0C" w:rsidRPr="00144C0C" w:rsidRDefault="00144C0C" w:rsidP="00144C0C">
      <w:pPr>
        <w:rPr>
          <w:lang w:val="en-US"/>
        </w:rPr>
      </w:pPr>
    </w:p>
    <w:p w14:paraId="6523E3B5" w14:textId="2C1C2649" w:rsidR="00EC464D" w:rsidRPr="002C4483" w:rsidRDefault="008C2F0B" w:rsidP="008C2F0B">
      <w:pPr>
        <w:pStyle w:val="Heading1"/>
        <w:jc w:val="center"/>
        <w:rPr>
          <w:color w:val="auto"/>
          <w:sz w:val="36"/>
          <w:szCs w:val="36"/>
          <w:lang w:val="en-US"/>
        </w:rPr>
      </w:pPr>
      <w:r w:rsidRPr="002C4483">
        <w:rPr>
          <w:color w:val="auto"/>
          <w:sz w:val="36"/>
          <w:szCs w:val="36"/>
          <w:lang w:val="en-US"/>
        </w:rPr>
        <w:t>Wealth Inequality and Volunteering</w:t>
      </w:r>
    </w:p>
    <w:p w14:paraId="59768519" w14:textId="4CCCBAB7" w:rsidR="006378BD" w:rsidRPr="002C4483" w:rsidRDefault="008C2F0B" w:rsidP="008C2F0B">
      <w:pPr>
        <w:pStyle w:val="Heading1"/>
        <w:jc w:val="center"/>
        <w:rPr>
          <w:color w:val="auto"/>
          <w:sz w:val="36"/>
          <w:szCs w:val="36"/>
          <w:lang w:val="en-US"/>
        </w:rPr>
      </w:pPr>
      <w:r w:rsidRPr="002C4483">
        <w:rPr>
          <w:color w:val="auto"/>
          <w:sz w:val="36"/>
          <w:szCs w:val="36"/>
          <w:lang w:val="en-US"/>
        </w:rPr>
        <w:t>A null finding from the Netherlands</w:t>
      </w:r>
    </w:p>
    <w:p w14:paraId="6199424D" w14:textId="60663A05" w:rsidR="006378BD" w:rsidRDefault="008C2F0B" w:rsidP="008C2F0B">
      <w:pPr>
        <w:pStyle w:val="Heading1"/>
        <w:jc w:val="center"/>
        <w:rPr>
          <w:color w:val="auto"/>
          <w:sz w:val="28"/>
          <w:szCs w:val="28"/>
          <w:lang w:val="nl-NL"/>
        </w:rPr>
      </w:pPr>
      <w:r w:rsidRPr="00EC464D">
        <w:rPr>
          <w:color w:val="auto"/>
          <w:sz w:val="28"/>
          <w:szCs w:val="28"/>
          <w:lang w:val="nl-NL"/>
        </w:rPr>
        <w:t>Pepijn Fraai</w:t>
      </w:r>
      <w:r w:rsidR="00EC464D" w:rsidRPr="00EC464D">
        <w:rPr>
          <w:color w:val="auto"/>
          <w:sz w:val="28"/>
          <w:szCs w:val="28"/>
          <w:lang w:val="nl-NL"/>
        </w:rPr>
        <w:t xml:space="preserve"> (VU University Amsterdam)</w:t>
      </w:r>
      <w:r w:rsidRPr="00EC464D">
        <w:rPr>
          <w:color w:val="auto"/>
          <w:sz w:val="28"/>
          <w:szCs w:val="28"/>
          <w:lang w:val="nl-NL"/>
        </w:rPr>
        <w:t xml:space="preserve"> &amp; René Bekkers</w:t>
      </w:r>
      <w:r w:rsidR="00EC464D" w:rsidRPr="00EC464D">
        <w:rPr>
          <w:color w:val="auto"/>
          <w:sz w:val="28"/>
          <w:szCs w:val="28"/>
          <w:lang w:val="nl-NL"/>
        </w:rPr>
        <w:t xml:space="preserve"> (VU University Amsterdam</w:t>
      </w:r>
    </w:p>
    <w:p w14:paraId="41218AA5" w14:textId="77777777" w:rsidR="00EC464D" w:rsidRPr="00EC464D" w:rsidRDefault="00EC464D" w:rsidP="00EC464D">
      <w:pPr>
        <w:rPr>
          <w:lang w:val="en-US"/>
        </w:rPr>
      </w:pPr>
    </w:p>
    <w:p w14:paraId="167E099A" w14:textId="77777777" w:rsidR="006378BD" w:rsidRDefault="006378BD" w:rsidP="00774351">
      <w:pPr>
        <w:pStyle w:val="Heading1"/>
        <w:rPr>
          <w:color w:val="auto"/>
          <w:lang w:val="en-US"/>
        </w:rPr>
      </w:pPr>
    </w:p>
    <w:p w14:paraId="1409D70E" w14:textId="77777777" w:rsidR="00121886" w:rsidRPr="00541434" w:rsidRDefault="00121886" w:rsidP="00121886">
      <w:pPr>
        <w:rPr>
          <w:b/>
          <w:bCs/>
          <w:sz w:val="20"/>
          <w:szCs w:val="20"/>
          <w:lang w:val="en-US"/>
        </w:rPr>
      </w:pPr>
      <w:r>
        <w:rPr>
          <w:b/>
          <w:bCs/>
          <w:sz w:val="20"/>
          <w:szCs w:val="20"/>
          <w:lang w:val="en-US"/>
        </w:rPr>
        <w:t xml:space="preserve">1. </w:t>
      </w:r>
      <w:r>
        <w:rPr>
          <w:b/>
          <w:bCs/>
          <w:sz w:val="20"/>
          <w:szCs w:val="20"/>
          <w:lang w:val="en-US"/>
        </w:rPr>
        <w:tab/>
      </w:r>
      <w:r w:rsidRPr="00541434">
        <w:rPr>
          <w:b/>
          <w:bCs/>
          <w:sz w:val="20"/>
          <w:szCs w:val="20"/>
          <w:lang w:val="en-US"/>
        </w:rPr>
        <w:t>Abstract</w:t>
      </w:r>
    </w:p>
    <w:p w14:paraId="588BFDD0" w14:textId="77777777" w:rsidR="00121886" w:rsidRPr="00EC464D" w:rsidRDefault="00121886" w:rsidP="00121886">
      <w:pPr>
        <w:rPr>
          <w:sz w:val="20"/>
          <w:szCs w:val="20"/>
          <w:lang w:val="en-US"/>
        </w:rPr>
      </w:pPr>
      <w:r w:rsidRPr="00EC464D">
        <w:rPr>
          <w:sz w:val="20"/>
          <w:szCs w:val="20"/>
          <w:lang w:val="en-US"/>
        </w:rPr>
        <w:t xml:space="preserve">There are good reasons to believe that wealth inequality negatively affects engagement in volunteering. While an overall increase in wealth is typically associated with an increase in volunteering because citizens have more financial security, an increasingly unequal distribution of wealth is likely to increase social segregation and reduce generalized social trust. </w:t>
      </w:r>
    </w:p>
    <w:p w14:paraId="0D950A94" w14:textId="77777777" w:rsidR="00121886" w:rsidRPr="00EC464D" w:rsidRDefault="00121886" w:rsidP="00121886">
      <w:pPr>
        <w:rPr>
          <w:sz w:val="20"/>
          <w:szCs w:val="20"/>
          <w:lang w:val="en-US"/>
        </w:rPr>
      </w:pPr>
      <w:r>
        <w:rPr>
          <w:sz w:val="20"/>
          <w:szCs w:val="20"/>
          <w:lang w:val="en-US"/>
        </w:rPr>
        <w:t>L</w:t>
      </w:r>
      <w:r w:rsidRPr="00EC464D">
        <w:rPr>
          <w:sz w:val="20"/>
          <w:szCs w:val="20"/>
          <w:lang w:val="en-US"/>
        </w:rPr>
        <w:t>aboratory experiments have shown negative effects of induced wealth inequality on cooperative choices in a variety of social dilemmas, including charitable giving in dictator games. Moreover, a body of evidence has shown that civic engagement and trust are lower in countries with higher levels of income inequality.</w:t>
      </w:r>
    </w:p>
    <w:p w14:paraId="29C38677" w14:textId="77777777" w:rsidR="00121886" w:rsidRPr="00EC464D" w:rsidRDefault="00121886" w:rsidP="00121886">
      <w:pPr>
        <w:rPr>
          <w:sz w:val="20"/>
          <w:szCs w:val="20"/>
          <w:lang w:val="en-US"/>
        </w:rPr>
      </w:pPr>
      <w:r w:rsidRPr="00EC464D">
        <w:rPr>
          <w:sz w:val="20"/>
          <w:szCs w:val="20"/>
          <w:lang w:val="en-US"/>
        </w:rPr>
        <w:t xml:space="preserve">Due to the lack of adequate panel data, however, most of the evidence to date on the association between inequality and charitable giving in non-experimental designs shows differences between countries, but has not shown associations over time. We address these concerns linking detailed longitudinal data from the Giving in the Netherlands Panel Study on volunteering and generalized social trust of 2,747 respondents in the Netherlands to levels of wealth and income inequality within their municipalities. </w:t>
      </w:r>
    </w:p>
    <w:p w14:paraId="4D0A4DA2" w14:textId="77777777" w:rsidR="00121886" w:rsidRPr="00EC464D" w:rsidRDefault="00121886" w:rsidP="00121886">
      <w:pPr>
        <w:rPr>
          <w:lang w:val="en-US"/>
        </w:rPr>
      </w:pPr>
      <w:r w:rsidRPr="00EC464D">
        <w:rPr>
          <w:sz w:val="20"/>
          <w:szCs w:val="20"/>
          <w:lang w:val="en-US"/>
        </w:rPr>
        <w:t xml:space="preserve">We find that changes in inequality are not associated with engagement in volunteering. </w:t>
      </w:r>
      <w:r>
        <w:rPr>
          <w:sz w:val="20"/>
          <w:szCs w:val="20"/>
          <w:lang w:val="en-US"/>
        </w:rPr>
        <w:t>T</w:t>
      </w:r>
      <w:r w:rsidRPr="00EC464D">
        <w:rPr>
          <w:sz w:val="20"/>
          <w:szCs w:val="20"/>
          <w:lang w:val="en-US"/>
        </w:rPr>
        <w:t>he likelihood of volunteering and the number of hours volunteered do not change in municipalities where wealth inequality increases.</w:t>
      </w:r>
      <w:r>
        <w:rPr>
          <w:sz w:val="20"/>
          <w:szCs w:val="20"/>
          <w:lang w:val="en-US"/>
        </w:rPr>
        <w:t xml:space="preserve"> In addition, we observe </w:t>
      </w:r>
      <w:r w:rsidRPr="00EC464D">
        <w:rPr>
          <w:sz w:val="20"/>
          <w:szCs w:val="20"/>
          <w:lang w:val="en-US"/>
        </w:rPr>
        <w:t>no longitudinal association between changes in income inequality and volunteering. Finally, levels of generalized social trust of individual citizens do not change when income and wealth in their municipality become more unequally distributed.</w:t>
      </w:r>
    </w:p>
    <w:p w14:paraId="31FE6B64" w14:textId="77777777" w:rsidR="006378BD" w:rsidRDefault="006378BD" w:rsidP="00774351">
      <w:pPr>
        <w:pStyle w:val="Heading1"/>
        <w:rPr>
          <w:color w:val="auto"/>
          <w:lang w:val="en-US"/>
        </w:rPr>
      </w:pPr>
    </w:p>
    <w:p w14:paraId="00D782BF" w14:textId="77777777" w:rsidR="006378BD" w:rsidRDefault="006378BD" w:rsidP="00774351">
      <w:pPr>
        <w:pStyle w:val="Heading1"/>
        <w:rPr>
          <w:color w:val="auto"/>
          <w:lang w:val="en-US"/>
        </w:rPr>
      </w:pPr>
    </w:p>
    <w:p w14:paraId="32F2F206" w14:textId="77777777" w:rsidR="008C2F0B" w:rsidRPr="008C2F0B" w:rsidRDefault="008C2F0B" w:rsidP="008C2F0B">
      <w:pPr>
        <w:rPr>
          <w:lang w:val="en-US"/>
        </w:rPr>
      </w:pPr>
    </w:p>
    <w:p w14:paraId="3A484AEB" w14:textId="48593E3E" w:rsidR="00BF68FC" w:rsidRDefault="00BF68FC" w:rsidP="00BF68FC">
      <w:pPr>
        <w:rPr>
          <w:lang w:val="en-US"/>
        </w:rPr>
      </w:pPr>
    </w:p>
    <w:p w14:paraId="22B59CF4" w14:textId="2C52FA9C" w:rsidR="00AE47D9" w:rsidRDefault="00AE47D9" w:rsidP="00BF68FC">
      <w:pPr>
        <w:rPr>
          <w:lang w:val="en-US"/>
        </w:rPr>
      </w:pPr>
    </w:p>
    <w:p w14:paraId="0664EE78" w14:textId="691D231F" w:rsidR="00AE47D9" w:rsidRDefault="00AE47D9" w:rsidP="00BF68FC">
      <w:pPr>
        <w:rPr>
          <w:lang w:val="en-US"/>
        </w:rPr>
      </w:pPr>
    </w:p>
    <w:p w14:paraId="1DD93893" w14:textId="315C30DA" w:rsidR="00AE47D9" w:rsidRDefault="00AE47D9" w:rsidP="00BF68FC">
      <w:pPr>
        <w:rPr>
          <w:lang w:val="en-US"/>
        </w:rPr>
      </w:pPr>
    </w:p>
    <w:p w14:paraId="38CADFAE" w14:textId="59F3F0CC" w:rsidR="00AE47D9" w:rsidRDefault="00AE47D9" w:rsidP="00BF68FC">
      <w:pPr>
        <w:rPr>
          <w:lang w:val="en-US"/>
        </w:rPr>
      </w:pPr>
    </w:p>
    <w:p w14:paraId="7E69B319" w14:textId="3808C2FD" w:rsidR="00AE47D9" w:rsidRDefault="00AE47D9" w:rsidP="00BF68FC">
      <w:pPr>
        <w:rPr>
          <w:lang w:val="en-US"/>
        </w:rPr>
      </w:pPr>
    </w:p>
    <w:p w14:paraId="556B2ACA" w14:textId="77777777" w:rsidR="00AE47D9" w:rsidRDefault="00AE47D9" w:rsidP="00BF68FC">
      <w:pPr>
        <w:rPr>
          <w:lang w:val="en-US"/>
        </w:rPr>
      </w:pPr>
    </w:p>
    <w:p w14:paraId="5E56B67D" w14:textId="645AE515" w:rsidR="00774351" w:rsidRPr="00541434" w:rsidRDefault="00541434" w:rsidP="00541434">
      <w:pPr>
        <w:rPr>
          <w:b/>
          <w:bCs/>
          <w:sz w:val="20"/>
          <w:szCs w:val="20"/>
          <w:lang w:val="en-US"/>
        </w:rPr>
      </w:pPr>
      <w:r>
        <w:rPr>
          <w:b/>
          <w:bCs/>
          <w:sz w:val="20"/>
          <w:szCs w:val="20"/>
          <w:lang w:val="en-US"/>
        </w:rPr>
        <w:lastRenderedPageBreak/>
        <w:t xml:space="preserve">2. </w:t>
      </w:r>
      <w:r w:rsidR="00121886">
        <w:rPr>
          <w:b/>
          <w:bCs/>
          <w:sz w:val="20"/>
          <w:szCs w:val="20"/>
          <w:lang w:val="en-US"/>
        </w:rPr>
        <w:tab/>
      </w:r>
      <w:r w:rsidR="00774351" w:rsidRPr="00541434">
        <w:rPr>
          <w:b/>
          <w:bCs/>
          <w:sz w:val="20"/>
          <w:szCs w:val="20"/>
          <w:lang w:val="en-US"/>
        </w:rPr>
        <w:t>Introduction</w:t>
      </w:r>
      <w:r w:rsidR="004A6980" w:rsidRPr="00BF68FC">
        <w:rPr>
          <w:rStyle w:val="FootnoteReference"/>
          <w:b/>
          <w:bCs/>
          <w:sz w:val="20"/>
          <w:szCs w:val="20"/>
          <w:lang w:val="en-US"/>
        </w:rPr>
        <w:footnoteReference w:id="1"/>
      </w:r>
    </w:p>
    <w:p w14:paraId="543FCA53" w14:textId="14BEB1E5" w:rsidR="00774351" w:rsidRPr="00BF68FC" w:rsidRDefault="00774351" w:rsidP="00774351">
      <w:pPr>
        <w:jc w:val="both"/>
        <w:rPr>
          <w:rFonts w:cstheme="minorHAnsi"/>
          <w:sz w:val="20"/>
          <w:szCs w:val="20"/>
        </w:rPr>
      </w:pPr>
      <w:r w:rsidRPr="00BF68FC">
        <w:rPr>
          <w:sz w:val="20"/>
          <w:szCs w:val="20"/>
          <w:lang w:val="en-US"/>
        </w:rPr>
        <w:t xml:space="preserve">Economic inequality has increased over the past decades – a trend visible from increasingly skewed country-wide income and wealth distributions around the globe (Atkinson </w:t>
      </w:r>
      <w:r w:rsidRPr="002C4483">
        <w:rPr>
          <w:sz w:val="20"/>
          <w:szCs w:val="20"/>
          <w:lang w:val="en-US"/>
        </w:rPr>
        <w:t>et al</w:t>
      </w:r>
      <w:r w:rsidRPr="00BF68FC">
        <w:rPr>
          <w:i/>
          <w:iCs/>
          <w:sz w:val="20"/>
          <w:szCs w:val="20"/>
          <w:lang w:val="en-US"/>
        </w:rPr>
        <w:t>.</w:t>
      </w:r>
      <w:r w:rsidRPr="00BF68FC">
        <w:rPr>
          <w:sz w:val="20"/>
          <w:szCs w:val="20"/>
          <w:lang w:val="en-US"/>
        </w:rPr>
        <w:t xml:space="preserve">, 2011; </w:t>
      </w:r>
      <w:proofErr w:type="spellStart"/>
      <w:r w:rsidRPr="00BF68FC">
        <w:rPr>
          <w:sz w:val="20"/>
          <w:szCs w:val="20"/>
          <w:lang w:val="en-US"/>
        </w:rPr>
        <w:t>Alverado</w:t>
      </w:r>
      <w:proofErr w:type="spellEnd"/>
      <w:r w:rsidRPr="00BF68FC">
        <w:rPr>
          <w:sz w:val="20"/>
          <w:szCs w:val="20"/>
          <w:lang w:val="en-US"/>
        </w:rPr>
        <w:t xml:space="preserve"> </w:t>
      </w:r>
      <w:r w:rsidRPr="002C4483">
        <w:rPr>
          <w:sz w:val="20"/>
          <w:szCs w:val="20"/>
          <w:lang w:val="en-US"/>
        </w:rPr>
        <w:t>et al.</w:t>
      </w:r>
      <w:r w:rsidRPr="00BF68FC">
        <w:rPr>
          <w:i/>
          <w:iCs/>
          <w:sz w:val="20"/>
          <w:szCs w:val="20"/>
          <w:lang w:val="en-US"/>
        </w:rPr>
        <w:t xml:space="preserve">, </w:t>
      </w:r>
      <w:r w:rsidRPr="00BF68FC">
        <w:rPr>
          <w:sz w:val="20"/>
          <w:szCs w:val="20"/>
          <w:lang w:val="en-US"/>
        </w:rPr>
        <w:t xml:space="preserve">2013; </w:t>
      </w:r>
      <w:proofErr w:type="spellStart"/>
      <w:r w:rsidRPr="00BF68FC">
        <w:rPr>
          <w:sz w:val="20"/>
          <w:szCs w:val="20"/>
          <w:lang w:val="en-US"/>
        </w:rPr>
        <w:t>Pikkety</w:t>
      </w:r>
      <w:proofErr w:type="spellEnd"/>
      <w:r w:rsidRPr="00BF68FC">
        <w:rPr>
          <w:sz w:val="20"/>
          <w:szCs w:val="20"/>
          <w:lang w:val="en-US"/>
        </w:rPr>
        <w:t xml:space="preserve"> &amp; </w:t>
      </w:r>
      <w:proofErr w:type="spellStart"/>
      <w:r w:rsidRPr="00BF68FC">
        <w:rPr>
          <w:sz w:val="20"/>
          <w:szCs w:val="20"/>
          <w:lang w:val="en-US"/>
        </w:rPr>
        <w:t>Saez</w:t>
      </w:r>
      <w:proofErr w:type="spellEnd"/>
      <w:r w:rsidRPr="00BF68FC">
        <w:rPr>
          <w:sz w:val="20"/>
          <w:szCs w:val="20"/>
          <w:lang w:val="en-US"/>
        </w:rPr>
        <w:t xml:space="preserve">, 2014; </w:t>
      </w:r>
      <w:proofErr w:type="spellStart"/>
      <w:r w:rsidRPr="00BF68FC">
        <w:rPr>
          <w:sz w:val="20"/>
          <w:szCs w:val="20"/>
          <w:lang w:val="en-US"/>
        </w:rPr>
        <w:t>Alverado</w:t>
      </w:r>
      <w:proofErr w:type="spellEnd"/>
      <w:r w:rsidRPr="00BF68FC">
        <w:rPr>
          <w:sz w:val="20"/>
          <w:szCs w:val="20"/>
          <w:lang w:val="en-US"/>
        </w:rPr>
        <w:t xml:space="preserve"> </w:t>
      </w:r>
      <w:r w:rsidRPr="002C4483">
        <w:rPr>
          <w:sz w:val="20"/>
          <w:szCs w:val="20"/>
          <w:lang w:val="en-US"/>
        </w:rPr>
        <w:t>et al</w:t>
      </w:r>
      <w:r w:rsidRPr="00BF68FC">
        <w:rPr>
          <w:i/>
          <w:iCs/>
          <w:sz w:val="20"/>
          <w:szCs w:val="20"/>
          <w:lang w:val="en-US"/>
        </w:rPr>
        <w:t>.</w:t>
      </w:r>
      <w:r w:rsidRPr="00BF68FC">
        <w:rPr>
          <w:sz w:val="20"/>
          <w:szCs w:val="20"/>
          <w:lang w:val="en-US"/>
        </w:rPr>
        <w:t xml:space="preserve">, 2018). The publication of these historic trends in resource distribution are frequently associated with negative consequences for society such as increased social tensions and depleted trust (La Ferrara, 2002). The topic has understandably proven to be a poignant one and discussions on its consequences have moved from academic circles into popular debate </w:t>
      </w:r>
      <w:sdt>
        <w:sdtPr>
          <w:rPr>
            <w:sz w:val="20"/>
            <w:szCs w:val="20"/>
            <w:lang w:val="en-US"/>
          </w:rPr>
          <w:id w:val="1658655019"/>
          <w:citation/>
        </w:sdtPr>
        <w:sdtContent>
          <w:r w:rsidRPr="00BF68FC">
            <w:rPr>
              <w:sz w:val="20"/>
              <w:szCs w:val="20"/>
              <w:lang w:val="en-US"/>
            </w:rPr>
            <w:fldChar w:fldCharType="begin"/>
          </w:r>
          <w:r w:rsidRPr="00BF68FC">
            <w:rPr>
              <w:sz w:val="20"/>
              <w:szCs w:val="20"/>
            </w:rPr>
            <w:instrText xml:space="preserve"> CITATION Cat18 \l 1043 </w:instrText>
          </w:r>
          <w:r w:rsidRPr="00BF68FC">
            <w:rPr>
              <w:sz w:val="20"/>
              <w:szCs w:val="20"/>
              <w:lang w:val="en-US"/>
            </w:rPr>
            <w:fldChar w:fldCharType="separate"/>
          </w:r>
          <w:r w:rsidR="00DC4C76" w:rsidRPr="00BF68FC">
            <w:rPr>
              <w:noProof/>
              <w:sz w:val="20"/>
              <w:szCs w:val="20"/>
            </w:rPr>
            <w:t>(Clifford, 2018)</w:t>
          </w:r>
          <w:r w:rsidRPr="00BF68FC">
            <w:rPr>
              <w:sz w:val="20"/>
              <w:szCs w:val="20"/>
              <w:lang w:val="en-US"/>
            </w:rPr>
            <w:fldChar w:fldCharType="end"/>
          </w:r>
        </w:sdtContent>
      </w:sdt>
      <w:r w:rsidRPr="00BF68FC">
        <w:rPr>
          <w:sz w:val="20"/>
          <w:szCs w:val="20"/>
          <w:lang w:val="en-US"/>
        </w:rPr>
        <w:t>. Civic engagement – as exercised through voluntarism – is one activity hypothesized to be influenced by changes in economic inequality (</w:t>
      </w:r>
      <w:proofErr w:type="spellStart"/>
      <w:r w:rsidRPr="00BF68FC">
        <w:rPr>
          <w:sz w:val="20"/>
          <w:szCs w:val="20"/>
          <w:lang w:val="en-US"/>
        </w:rPr>
        <w:t>Schröder</w:t>
      </w:r>
      <w:proofErr w:type="spellEnd"/>
      <w:r w:rsidRPr="00BF68FC">
        <w:rPr>
          <w:sz w:val="20"/>
          <w:szCs w:val="20"/>
          <w:lang w:val="en-US"/>
        </w:rPr>
        <w:t xml:space="preserve"> &amp; Neumayr, 2021). </w:t>
      </w:r>
      <w:r w:rsidRPr="00BF68FC">
        <w:rPr>
          <w:sz w:val="20"/>
          <w:szCs w:val="20"/>
          <w:lang w:val="en-US"/>
        </w:rPr>
        <w:tab/>
      </w:r>
      <w:r w:rsidRPr="00BF68FC">
        <w:rPr>
          <w:sz w:val="20"/>
          <w:szCs w:val="20"/>
          <w:lang w:val="en-US"/>
        </w:rPr>
        <w:tab/>
      </w:r>
      <w:r w:rsidR="000E6158" w:rsidRPr="00BF68FC">
        <w:rPr>
          <w:sz w:val="20"/>
          <w:szCs w:val="20"/>
          <w:lang w:val="en-US"/>
        </w:rPr>
        <w:tab/>
      </w:r>
      <w:r w:rsidR="000E6158" w:rsidRPr="00BF68FC">
        <w:rPr>
          <w:sz w:val="20"/>
          <w:szCs w:val="20"/>
          <w:lang w:val="en-US"/>
        </w:rPr>
        <w:tab/>
      </w:r>
      <w:r w:rsidR="00BF68FC">
        <w:rPr>
          <w:sz w:val="20"/>
          <w:szCs w:val="20"/>
          <w:lang w:val="en-US"/>
        </w:rPr>
        <w:tab/>
      </w:r>
      <w:r w:rsidR="00BF68FC">
        <w:rPr>
          <w:sz w:val="20"/>
          <w:szCs w:val="20"/>
          <w:lang w:val="en-US"/>
        </w:rPr>
        <w:tab/>
      </w:r>
      <w:r w:rsidR="00BF68FC">
        <w:rPr>
          <w:sz w:val="20"/>
          <w:szCs w:val="20"/>
          <w:lang w:val="en-US"/>
        </w:rPr>
        <w:tab/>
      </w:r>
      <w:r w:rsidR="00BF68FC">
        <w:rPr>
          <w:sz w:val="20"/>
          <w:szCs w:val="20"/>
          <w:lang w:val="en-US"/>
        </w:rPr>
        <w:tab/>
      </w:r>
      <w:r w:rsidR="00BF68FC">
        <w:rPr>
          <w:sz w:val="20"/>
          <w:szCs w:val="20"/>
          <w:lang w:val="en-US"/>
        </w:rPr>
        <w:tab/>
      </w:r>
      <w:r w:rsidR="00BF68FC">
        <w:rPr>
          <w:sz w:val="20"/>
          <w:szCs w:val="20"/>
          <w:lang w:val="en-US"/>
        </w:rPr>
        <w:tab/>
      </w:r>
      <w:r w:rsidR="00BF68FC">
        <w:rPr>
          <w:sz w:val="20"/>
          <w:szCs w:val="20"/>
          <w:lang w:val="en-US"/>
        </w:rPr>
        <w:tab/>
      </w:r>
      <w:r w:rsidR="00BF68FC">
        <w:rPr>
          <w:sz w:val="20"/>
          <w:szCs w:val="20"/>
          <w:lang w:val="en-US"/>
        </w:rPr>
        <w:tab/>
      </w:r>
      <w:r w:rsidRPr="00BF68FC">
        <w:rPr>
          <w:sz w:val="20"/>
          <w:szCs w:val="20"/>
          <w:lang w:val="en-US"/>
        </w:rPr>
        <w:t xml:space="preserve">In the Netherlands, progressive taxation has worked to dampen a significant increase in post-tax income inequality since the turn of the century </w:t>
      </w:r>
      <w:sdt>
        <w:sdtPr>
          <w:rPr>
            <w:sz w:val="20"/>
            <w:szCs w:val="20"/>
            <w:lang w:val="en-US"/>
          </w:rPr>
          <w:id w:val="-232697606"/>
          <w:citation/>
        </w:sdtPr>
        <w:sdtContent>
          <w:r w:rsidRPr="00BF68FC">
            <w:rPr>
              <w:sz w:val="20"/>
              <w:szCs w:val="20"/>
              <w:lang w:val="en-US"/>
            </w:rPr>
            <w:fldChar w:fldCharType="begin"/>
          </w:r>
          <w:r w:rsidRPr="00BF68FC">
            <w:rPr>
              <w:sz w:val="20"/>
              <w:szCs w:val="20"/>
              <w:lang w:val="en-US"/>
            </w:rPr>
            <w:instrText xml:space="preserve"> CITATION Cam14 \l 1033 </w:instrText>
          </w:r>
          <w:r w:rsidRPr="00BF68FC">
            <w:rPr>
              <w:sz w:val="20"/>
              <w:szCs w:val="20"/>
              <w:lang w:val="en-US"/>
            </w:rPr>
            <w:fldChar w:fldCharType="separate"/>
          </w:r>
          <w:r w:rsidR="00DC4C76" w:rsidRPr="00BF68FC">
            <w:rPr>
              <w:noProof/>
              <w:sz w:val="20"/>
              <w:szCs w:val="20"/>
              <w:lang w:val="en-US"/>
            </w:rPr>
            <w:t>(Caminada, Been, Goudswaard, &amp; Graaf-Zijl, 2014)</w:t>
          </w:r>
          <w:r w:rsidRPr="00BF68FC">
            <w:rPr>
              <w:sz w:val="20"/>
              <w:szCs w:val="20"/>
              <w:lang w:val="en-US"/>
            </w:rPr>
            <w:fldChar w:fldCharType="end"/>
          </w:r>
        </w:sdtContent>
      </w:sdt>
      <w:r w:rsidRPr="00BF68FC">
        <w:rPr>
          <w:sz w:val="20"/>
          <w:szCs w:val="20"/>
          <w:lang w:val="en-US"/>
        </w:rPr>
        <w:t xml:space="preserve">. This is reflected in the Netherlands’ comparatively low Gini coefficient for income inequality and in the country’s top post-tax income shares </w:t>
      </w:r>
      <w:sdt>
        <w:sdtPr>
          <w:rPr>
            <w:sz w:val="20"/>
            <w:szCs w:val="20"/>
            <w:lang w:val="en-US"/>
          </w:rPr>
          <w:id w:val="-1386014646"/>
          <w:citation/>
        </w:sdtPr>
        <w:sdtContent>
          <w:r w:rsidRPr="00BF68FC">
            <w:rPr>
              <w:sz w:val="20"/>
              <w:szCs w:val="20"/>
              <w:lang w:val="en-US"/>
            </w:rPr>
            <w:fldChar w:fldCharType="begin"/>
          </w:r>
          <w:r w:rsidRPr="00BF68FC">
            <w:rPr>
              <w:sz w:val="20"/>
              <w:szCs w:val="20"/>
              <w:lang w:val="en-US"/>
            </w:rPr>
            <w:instrText xml:space="preserve"> CITATION Wor22 \l 1033 </w:instrText>
          </w:r>
          <w:r w:rsidRPr="00BF68FC">
            <w:rPr>
              <w:sz w:val="20"/>
              <w:szCs w:val="20"/>
              <w:lang w:val="en-US"/>
            </w:rPr>
            <w:fldChar w:fldCharType="separate"/>
          </w:r>
          <w:r w:rsidR="00DC4C76" w:rsidRPr="00BF68FC">
            <w:rPr>
              <w:noProof/>
              <w:sz w:val="20"/>
              <w:szCs w:val="20"/>
              <w:lang w:val="en-US"/>
            </w:rPr>
            <w:t>(World Inequality Database, 2022)</w:t>
          </w:r>
          <w:r w:rsidRPr="00BF68FC">
            <w:rPr>
              <w:sz w:val="20"/>
              <w:szCs w:val="20"/>
              <w:lang w:val="en-US"/>
            </w:rPr>
            <w:fldChar w:fldCharType="end"/>
          </w:r>
        </w:sdtContent>
      </w:sdt>
      <w:r w:rsidRPr="00BF68FC">
        <w:rPr>
          <w:sz w:val="20"/>
          <w:szCs w:val="20"/>
          <w:lang w:val="en-US"/>
        </w:rPr>
        <w:t>. This picture is entirely different with respect to wealth inequality – the Netherlands’ Gini Coefficient for wealth was valued at 0.77 in 2019 (</w:t>
      </w:r>
      <w:proofErr w:type="spellStart"/>
      <w:r w:rsidRPr="00BF68FC">
        <w:rPr>
          <w:sz w:val="20"/>
          <w:szCs w:val="20"/>
          <w:lang w:val="en-US"/>
        </w:rPr>
        <w:t>Centraal</w:t>
      </w:r>
      <w:proofErr w:type="spellEnd"/>
      <w:r w:rsidRPr="00BF68FC">
        <w:rPr>
          <w:sz w:val="20"/>
          <w:szCs w:val="20"/>
          <w:lang w:val="en-US"/>
        </w:rPr>
        <w:t xml:space="preserve"> Bureau </w:t>
      </w:r>
      <w:proofErr w:type="spellStart"/>
      <w:r w:rsidRPr="00BF68FC">
        <w:rPr>
          <w:sz w:val="20"/>
          <w:szCs w:val="20"/>
          <w:lang w:val="en-US"/>
        </w:rPr>
        <w:t>voor</w:t>
      </w:r>
      <w:proofErr w:type="spellEnd"/>
      <w:r w:rsidRPr="00BF68FC">
        <w:rPr>
          <w:sz w:val="20"/>
          <w:szCs w:val="20"/>
          <w:lang w:val="en-US"/>
        </w:rPr>
        <w:t xml:space="preserve"> </w:t>
      </w:r>
      <w:proofErr w:type="spellStart"/>
      <w:r w:rsidRPr="00BF68FC">
        <w:rPr>
          <w:sz w:val="20"/>
          <w:szCs w:val="20"/>
          <w:lang w:val="en-US"/>
        </w:rPr>
        <w:t>Statistiek</w:t>
      </w:r>
      <w:proofErr w:type="spellEnd"/>
      <w:r w:rsidRPr="00BF68FC">
        <w:rPr>
          <w:sz w:val="20"/>
          <w:szCs w:val="20"/>
          <w:lang w:val="en-US"/>
        </w:rPr>
        <w:t xml:space="preserve">, 2019). </w:t>
      </w:r>
      <w:r w:rsidRPr="00BF68FC">
        <w:rPr>
          <w:rFonts w:cstheme="minorHAnsi"/>
          <w:sz w:val="20"/>
          <w:szCs w:val="20"/>
        </w:rPr>
        <w:t xml:space="preserve">This trend holds true for other European countries with high rates of social spending as well: Sweden, Denmark and Norway all have Gini Coefficients for wealth inequality valued at or above 0.7 as of 2019 </w:t>
      </w:r>
      <w:sdt>
        <w:sdtPr>
          <w:rPr>
            <w:rFonts w:cstheme="minorHAnsi"/>
            <w:sz w:val="20"/>
            <w:szCs w:val="20"/>
          </w:rPr>
          <w:id w:val="1857309909"/>
          <w:citation/>
        </w:sdtPr>
        <w:sdtContent>
          <w:r w:rsidRPr="00BF68FC">
            <w:rPr>
              <w:rFonts w:cstheme="minorHAnsi"/>
              <w:sz w:val="20"/>
              <w:szCs w:val="20"/>
            </w:rPr>
            <w:fldChar w:fldCharType="begin"/>
          </w:r>
          <w:r w:rsidRPr="00BF68FC">
            <w:rPr>
              <w:rFonts w:cstheme="minorHAnsi"/>
              <w:sz w:val="20"/>
              <w:szCs w:val="20"/>
            </w:rPr>
            <w:instrText xml:space="preserve">CITATION Wor5 \l 1043 </w:instrText>
          </w:r>
          <w:r w:rsidRPr="00BF68FC">
            <w:rPr>
              <w:rFonts w:cstheme="minorHAnsi"/>
              <w:sz w:val="20"/>
              <w:szCs w:val="20"/>
            </w:rPr>
            <w:fldChar w:fldCharType="separate"/>
          </w:r>
          <w:r w:rsidR="00DC4C76" w:rsidRPr="00BF68FC">
            <w:rPr>
              <w:rFonts w:cstheme="minorHAnsi"/>
              <w:noProof/>
              <w:sz w:val="20"/>
              <w:szCs w:val="20"/>
            </w:rPr>
            <w:t>(World Inequality Database)</w:t>
          </w:r>
          <w:r w:rsidRPr="00BF68FC">
            <w:rPr>
              <w:rFonts w:cstheme="minorHAnsi"/>
              <w:sz w:val="20"/>
              <w:szCs w:val="20"/>
            </w:rPr>
            <w:fldChar w:fldCharType="end"/>
          </w:r>
        </w:sdtContent>
      </w:sdt>
      <w:r w:rsidRPr="00BF68FC">
        <w:rPr>
          <w:rFonts w:cstheme="minorHAnsi"/>
          <w:sz w:val="20"/>
          <w:szCs w:val="20"/>
        </w:rPr>
        <w:t>.</w:t>
      </w:r>
      <w:r w:rsidRPr="00BF68FC">
        <w:rPr>
          <w:rFonts w:asciiTheme="majorBidi" w:hAnsiTheme="majorBidi" w:cstheme="majorBidi"/>
          <w:sz w:val="20"/>
          <w:szCs w:val="20"/>
        </w:rPr>
        <w:tab/>
      </w:r>
      <w:r w:rsidR="00BF68FC">
        <w:rPr>
          <w:rFonts w:asciiTheme="majorBidi" w:hAnsiTheme="majorBidi" w:cstheme="majorBidi"/>
          <w:sz w:val="20"/>
          <w:szCs w:val="20"/>
        </w:rPr>
        <w:tab/>
      </w:r>
      <w:r w:rsidR="00BF68FC">
        <w:rPr>
          <w:rFonts w:asciiTheme="majorBidi" w:hAnsiTheme="majorBidi" w:cstheme="majorBidi"/>
          <w:sz w:val="20"/>
          <w:szCs w:val="20"/>
        </w:rPr>
        <w:tab/>
      </w:r>
      <w:r w:rsidR="00BF68FC">
        <w:rPr>
          <w:rFonts w:asciiTheme="majorBidi" w:hAnsiTheme="majorBidi" w:cstheme="majorBidi"/>
          <w:sz w:val="20"/>
          <w:szCs w:val="20"/>
        </w:rPr>
        <w:tab/>
      </w:r>
      <w:r w:rsidR="00BF68FC">
        <w:rPr>
          <w:rFonts w:asciiTheme="majorBidi" w:hAnsiTheme="majorBidi" w:cstheme="majorBidi"/>
          <w:sz w:val="20"/>
          <w:szCs w:val="20"/>
        </w:rPr>
        <w:tab/>
      </w:r>
      <w:r w:rsidR="00BF68FC">
        <w:rPr>
          <w:rFonts w:asciiTheme="majorBidi" w:hAnsiTheme="majorBidi" w:cstheme="majorBidi"/>
          <w:sz w:val="20"/>
          <w:szCs w:val="20"/>
        </w:rPr>
        <w:tab/>
      </w:r>
      <w:r w:rsidR="00BF68FC">
        <w:rPr>
          <w:rFonts w:asciiTheme="majorBidi" w:hAnsiTheme="majorBidi" w:cstheme="majorBidi"/>
          <w:sz w:val="20"/>
          <w:szCs w:val="20"/>
        </w:rPr>
        <w:tab/>
      </w:r>
      <w:r w:rsidR="00BF68FC">
        <w:rPr>
          <w:rFonts w:asciiTheme="majorBidi" w:hAnsiTheme="majorBidi" w:cstheme="majorBidi"/>
          <w:sz w:val="20"/>
          <w:szCs w:val="20"/>
        </w:rPr>
        <w:tab/>
      </w:r>
      <w:r w:rsidR="00BF68FC">
        <w:rPr>
          <w:rFonts w:asciiTheme="majorBidi" w:hAnsiTheme="majorBidi" w:cstheme="majorBidi"/>
          <w:sz w:val="20"/>
          <w:szCs w:val="20"/>
        </w:rPr>
        <w:tab/>
      </w:r>
      <w:r w:rsidRPr="00BF68FC">
        <w:rPr>
          <w:sz w:val="20"/>
          <w:szCs w:val="20"/>
          <w:lang w:val="en-US"/>
        </w:rPr>
        <w:t>These discrepancies between wealth and income inequality imply an uncertainty as to which aspects of economic inequality influence the behaviors and attitudes of individual actors. The vast majority of previous empirical studies have focused exclusively on the social consequences of income inequality (</w:t>
      </w:r>
      <w:proofErr w:type="spellStart"/>
      <w:r w:rsidRPr="00BF68FC">
        <w:rPr>
          <w:sz w:val="20"/>
          <w:szCs w:val="20"/>
          <w:lang w:val="en-US"/>
        </w:rPr>
        <w:t>Schröder</w:t>
      </w:r>
      <w:proofErr w:type="spellEnd"/>
      <w:r w:rsidRPr="00BF68FC">
        <w:rPr>
          <w:sz w:val="20"/>
          <w:szCs w:val="20"/>
          <w:lang w:val="en-US"/>
        </w:rPr>
        <w:t xml:space="preserve"> &amp; Neumayr, 2021). </w:t>
      </w:r>
      <w:r w:rsidRPr="00BF68FC">
        <w:rPr>
          <w:rFonts w:cstheme="minorHAnsi"/>
          <w:sz w:val="20"/>
          <w:szCs w:val="20"/>
        </w:rPr>
        <w:t xml:space="preserve">Income represents an individual’s assets while wealth factors in liabilities as well – the extent of an individual’s debt, for instance, would not be reflected in their income </w:t>
      </w:r>
      <w:sdt>
        <w:sdtPr>
          <w:rPr>
            <w:rFonts w:cstheme="minorHAnsi"/>
            <w:sz w:val="20"/>
            <w:szCs w:val="20"/>
          </w:rPr>
          <w:id w:val="693503865"/>
          <w:citation/>
        </w:sdtPr>
        <w:sdtContent>
          <w:r w:rsidRPr="00BF68FC">
            <w:rPr>
              <w:rFonts w:cstheme="minorHAnsi"/>
              <w:sz w:val="20"/>
              <w:szCs w:val="20"/>
            </w:rPr>
            <w:fldChar w:fldCharType="begin"/>
          </w:r>
          <w:r w:rsidRPr="00BF68FC">
            <w:rPr>
              <w:rFonts w:cstheme="minorHAnsi"/>
              <w:sz w:val="20"/>
              <w:szCs w:val="20"/>
            </w:rPr>
            <w:instrText xml:space="preserve"> CITATION Cen191 \l 1043 </w:instrText>
          </w:r>
          <w:r w:rsidRPr="00BF68FC">
            <w:rPr>
              <w:rFonts w:cstheme="minorHAnsi"/>
              <w:sz w:val="20"/>
              <w:szCs w:val="20"/>
            </w:rPr>
            <w:fldChar w:fldCharType="separate"/>
          </w:r>
          <w:r w:rsidR="00DC4C76" w:rsidRPr="00BF68FC">
            <w:rPr>
              <w:rFonts w:cstheme="minorHAnsi"/>
              <w:noProof/>
              <w:sz w:val="20"/>
              <w:szCs w:val="20"/>
            </w:rPr>
            <w:t>(Centraal Bureau van Statistiek, 2019)</w:t>
          </w:r>
          <w:r w:rsidRPr="00BF68FC">
            <w:rPr>
              <w:rFonts w:cstheme="minorHAnsi"/>
              <w:sz w:val="20"/>
              <w:szCs w:val="20"/>
            </w:rPr>
            <w:fldChar w:fldCharType="end"/>
          </w:r>
        </w:sdtContent>
      </w:sdt>
      <w:r w:rsidRPr="00BF68FC">
        <w:rPr>
          <w:rFonts w:cstheme="minorHAnsi"/>
          <w:sz w:val="20"/>
          <w:szCs w:val="20"/>
        </w:rPr>
        <w:t xml:space="preserve">. </w:t>
      </w:r>
      <w:r w:rsidRPr="00BF68FC">
        <w:rPr>
          <w:sz w:val="20"/>
          <w:szCs w:val="20"/>
          <w:lang w:val="en-US"/>
        </w:rPr>
        <w:t xml:space="preserve">Research actively centered on the consequences of wealth inequality may thus lead to worthwhile insights that could contribute to enriching political and popular debate. We present one of the first studies that investigates how wealth inequality is related to civic engagement. If wealth inequality </w:t>
      </w:r>
      <w:r w:rsidRPr="00BF68FC">
        <w:rPr>
          <w:sz w:val="20"/>
          <w:szCs w:val="20"/>
        </w:rPr>
        <w:t xml:space="preserve">indeed diminishes voluntarism and charitable giving, </w:t>
      </w:r>
      <w:proofErr w:type="spellStart"/>
      <w:r w:rsidRPr="00BF68FC">
        <w:rPr>
          <w:sz w:val="20"/>
          <w:szCs w:val="20"/>
        </w:rPr>
        <w:t>th</w:t>
      </w:r>
      <w:proofErr w:type="spellEnd"/>
      <w:r w:rsidRPr="00BF68FC">
        <w:rPr>
          <w:sz w:val="20"/>
          <w:szCs w:val="20"/>
          <w:lang w:val="en-US"/>
        </w:rPr>
        <w:t>e effectiveness of non-profits that rely on contributions of time and money for the provision of their services is reduced to the detriment of vulnerable recipients.</w:t>
      </w:r>
      <w:r w:rsidRPr="00BF68FC">
        <w:rPr>
          <w:sz w:val="20"/>
          <w:szCs w:val="20"/>
          <w:lang w:val="en-US"/>
        </w:rPr>
        <w:tab/>
      </w:r>
      <w:r w:rsidRPr="00BF68FC">
        <w:rPr>
          <w:sz w:val="20"/>
          <w:szCs w:val="20"/>
          <w:lang w:val="en-US"/>
        </w:rPr>
        <w:tab/>
      </w:r>
      <w:r w:rsidRPr="00BF68FC">
        <w:rPr>
          <w:sz w:val="20"/>
          <w:szCs w:val="20"/>
          <w:lang w:val="en-US"/>
        </w:rPr>
        <w:tab/>
      </w:r>
      <w:r w:rsidRPr="00BF68FC">
        <w:rPr>
          <w:sz w:val="20"/>
          <w:szCs w:val="20"/>
          <w:lang w:val="en-US"/>
        </w:rPr>
        <w:tab/>
      </w:r>
      <w:r w:rsidR="00541434">
        <w:rPr>
          <w:sz w:val="20"/>
          <w:szCs w:val="20"/>
          <w:lang w:val="en-US"/>
        </w:rPr>
        <w:tab/>
      </w:r>
      <w:proofErr w:type="spellStart"/>
      <w:r w:rsidRPr="00BF68FC">
        <w:rPr>
          <w:sz w:val="20"/>
          <w:szCs w:val="20"/>
          <w:lang w:val="en-US"/>
        </w:rPr>
        <w:t>Schröder</w:t>
      </w:r>
      <w:proofErr w:type="spellEnd"/>
      <w:r w:rsidRPr="00BF68FC">
        <w:rPr>
          <w:sz w:val="20"/>
          <w:szCs w:val="20"/>
          <w:lang w:val="en-US"/>
        </w:rPr>
        <w:t xml:space="preserve"> and Neumayr (2021) summarize the results of empirical research into the relationship between economic inequality and civic engagement and provide an outline of hypotheses used in a coherent literature review. The authors note a lack of consistency in both the use of a theoretical framework and the reported results (</w:t>
      </w:r>
      <w:proofErr w:type="spellStart"/>
      <w:r w:rsidRPr="00BF68FC">
        <w:rPr>
          <w:sz w:val="20"/>
          <w:szCs w:val="20"/>
          <w:lang w:val="en-US"/>
        </w:rPr>
        <w:t>Schröder</w:t>
      </w:r>
      <w:proofErr w:type="spellEnd"/>
      <w:r w:rsidRPr="00BF68FC">
        <w:rPr>
          <w:sz w:val="20"/>
          <w:szCs w:val="20"/>
          <w:lang w:val="en-US"/>
        </w:rPr>
        <w:t xml:space="preserve"> &amp; Neumayr, 2021). The authors additionally note an absence of investigation into the mechanisms that are theorized to explain the relationship (</w:t>
      </w:r>
      <w:proofErr w:type="spellStart"/>
      <w:r w:rsidRPr="00BF68FC">
        <w:rPr>
          <w:sz w:val="20"/>
          <w:szCs w:val="20"/>
          <w:lang w:val="en-US"/>
        </w:rPr>
        <w:t>Schröder</w:t>
      </w:r>
      <w:proofErr w:type="spellEnd"/>
      <w:r w:rsidRPr="00BF68FC">
        <w:rPr>
          <w:sz w:val="20"/>
          <w:szCs w:val="20"/>
          <w:lang w:val="en-US"/>
        </w:rPr>
        <w:t xml:space="preserve"> &amp; </w:t>
      </w:r>
      <w:proofErr w:type="spellStart"/>
      <w:r w:rsidRPr="00BF68FC">
        <w:rPr>
          <w:sz w:val="20"/>
          <w:szCs w:val="20"/>
          <w:lang w:val="en-US"/>
        </w:rPr>
        <w:t>Neymayr</w:t>
      </w:r>
      <w:proofErr w:type="spellEnd"/>
      <w:r w:rsidRPr="00BF68FC">
        <w:rPr>
          <w:sz w:val="20"/>
          <w:szCs w:val="20"/>
          <w:lang w:val="en-US"/>
        </w:rPr>
        <w:t>, 2021). In an attempt to address this gap in the current research, we test one of the identified theoretical explanations: the Social Disintegration Hypothesis. The Social Disintegration Hypothesis argues the increase in status differentials that occurs as a result of an increase in economic inequality leads to a depletion of mutual understanding and acceptance between economic strata (</w:t>
      </w:r>
      <w:proofErr w:type="spellStart"/>
      <w:r w:rsidRPr="00BF68FC">
        <w:rPr>
          <w:sz w:val="20"/>
          <w:szCs w:val="20"/>
          <w:lang w:val="en-US"/>
        </w:rPr>
        <w:t>Blau</w:t>
      </w:r>
      <w:proofErr w:type="spellEnd"/>
      <w:r w:rsidRPr="00BF68FC">
        <w:rPr>
          <w:sz w:val="20"/>
          <w:szCs w:val="20"/>
          <w:lang w:val="en-US"/>
        </w:rPr>
        <w:t xml:space="preserve"> &amp; </w:t>
      </w:r>
      <w:proofErr w:type="spellStart"/>
      <w:r w:rsidRPr="00BF68FC">
        <w:rPr>
          <w:sz w:val="20"/>
          <w:szCs w:val="20"/>
          <w:lang w:val="en-US"/>
        </w:rPr>
        <w:t>Blau</w:t>
      </w:r>
      <w:proofErr w:type="spellEnd"/>
      <w:r w:rsidRPr="00BF68FC">
        <w:rPr>
          <w:sz w:val="20"/>
          <w:szCs w:val="20"/>
          <w:lang w:val="en-US"/>
        </w:rPr>
        <w:t xml:space="preserve">, 1982; </w:t>
      </w:r>
      <w:proofErr w:type="spellStart"/>
      <w:r w:rsidRPr="00BF68FC">
        <w:rPr>
          <w:sz w:val="20"/>
          <w:szCs w:val="20"/>
          <w:lang w:val="en-US"/>
        </w:rPr>
        <w:t>Uslaner</w:t>
      </w:r>
      <w:proofErr w:type="spellEnd"/>
      <w:r w:rsidRPr="00BF68FC">
        <w:rPr>
          <w:sz w:val="20"/>
          <w:szCs w:val="20"/>
          <w:lang w:val="en-US"/>
        </w:rPr>
        <w:t xml:space="preserve"> &amp; Brown, 2005). This depletion is theorized to be reflected in a decrease of generalized social trust (Rothstein &amp; Stolle, 2003; </w:t>
      </w:r>
      <w:proofErr w:type="spellStart"/>
      <w:r w:rsidRPr="00BF68FC">
        <w:rPr>
          <w:sz w:val="20"/>
          <w:szCs w:val="20"/>
          <w:lang w:val="en-US"/>
        </w:rPr>
        <w:t>Uslaner</w:t>
      </w:r>
      <w:proofErr w:type="spellEnd"/>
      <w:r w:rsidRPr="00BF68FC">
        <w:rPr>
          <w:sz w:val="20"/>
          <w:szCs w:val="20"/>
          <w:lang w:val="en-US"/>
        </w:rPr>
        <w:t xml:space="preserve"> &amp; Brown, 2005; Park &amp; Subramanian, 2012), which in turn is theorized to lead to a decrease in civic engagement (</w:t>
      </w:r>
      <w:proofErr w:type="spellStart"/>
      <w:r w:rsidRPr="00BF68FC">
        <w:rPr>
          <w:sz w:val="20"/>
          <w:szCs w:val="20"/>
          <w:lang w:val="en-US"/>
        </w:rPr>
        <w:t>Uslaner</w:t>
      </w:r>
      <w:proofErr w:type="spellEnd"/>
      <w:r w:rsidRPr="00BF68FC">
        <w:rPr>
          <w:sz w:val="20"/>
          <w:szCs w:val="20"/>
          <w:lang w:val="en-US"/>
        </w:rPr>
        <w:t xml:space="preserve">, 2002; </w:t>
      </w:r>
      <w:proofErr w:type="spellStart"/>
      <w:r w:rsidRPr="00BF68FC">
        <w:rPr>
          <w:sz w:val="20"/>
          <w:szCs w:val="20"/>
          <w:lang w:val="en-US"/>
        </w:rPr>
        <w:t>Uslaner</w:t>
      </w:r>
      <w:proofErr w:type="spellEnd"/>
      <w:r w:rsidRPr="00BF68FC">
        <w:rPr>
          <w:sz w:val="20"/>
          <w:szCs w:val="20"/>
          <w:lang w:val="en-US"/>
        </w:rPr>
        <w:t xml:space="preserve"> &amp; Brown, 2005; </w:t>
      </w:r>
      <w:proofErr w:type="spellStart"/>
      <w:r w:rsidRPr="00BF68FC">
        <w:rPr>
          <w:sz w:val="20"/>
          <w:szCs w:val="20"/>
          <w:lang w:val="en-US"/>
        </w:rPr>
        <w:t>Gesthuizen</w:t>
      </w:r>
      <w:proofErr w:type="spellEnd"/>
      <w:r w:rsidRPr="00BF68FC">
        <w:rPr>
          <w:sz w:val="20"/>
          <w:szCs w:val="20"/>
          <w:lang w:val="en-US"/>
        </w:rPr>
        <w:t xml:space="preserve"> &amp; Evers, 2011). Generalized social trust is consequently proposed to be the linking mechanism between an increase in wealth inequality and a decrease in civic engagement. </w:t>
      </w:r>
      <w:r w:rsidRPr="00BF68FC">
        <w:rPr>
          <w:sz w:val="20"/>
          <w:szCs w:val="20"/>
          <w:lang w:val="en-US"/>
        </w:rPr>
        <w:tab/>
      </w:r>
      <w:r w:rsidRPr="00BF68FC">
        <w:rPr>
          <w:rFonts w:cstheme="minorHAnsi"/>
          <w:sz w:val="20"/>
          <w:szCs w:val="20"/>
        </w:rPr>
        <w:t>A large number of studies investigating the relationship between economic inequality and civic engagement are cross-sectional and analyse the variation between countries (</w:t>
      </w:r>
      <w:proofErr w:type="spellStart"/>
      <w:r w:rsidRPr="00BF68FC">
        <w:rPr>
          <w:rFonts w:cstheme="minorHAnsi"/>
          <w:sz w:val="20"/>
          <w:szCs w:val="20"/>
        </w:rPr>
        <w:t>Uslaner</w:t>
      </w:r>
      <w:proofErr w:type="spellEnd"/>
      <w:r w:rsidRPr="00BF68FC">
        <w:rPr>
          <w:rFonts w:cstheme="minorHAnsi"/>
          <w:sz w:val="20"/>
          <w:szCs w:val="20"/>
        </w:rPr>
        <w:t xml:space="preserve"> &amp; Brown, 2005; </w:t>
      </w:r>
      <w:proofErr w:type="spellStart"/>
      <w:r w:rsidRPr="00BF68FC">
        <w:rPr>
          <w:rFonts w:cstheme="minorHAnsi"/>
          <w:sz w:val="20"/>
          <w:szCs w:val="20"/>
        </w:rPr>
        <w:t>Gesthuizen</w:t>
      </w:r>
      <w:proofErr w:type="spellEnd"/>
      <w:r w:rsidRPr="00BF68FC">
        <w:rPr>
          <w:rFonts w:cstheme="minorHAnsi"/>
          <w:sz w:val="20"/>
          <w:szCs w:val="20"/>
        </w:rPr>
        <w:t xml:space="preserve"> &amp; Evers, 2011; Park &amp; Subramanian, 2012; </w:t>
      </w:r>
      <w:proofErr w:type="spellStart"/>
      <w:r w:rsidRPr="00BF68FC">
        <w:rPr>
          <w:rFonts w:cstheme="minorHAnsi"/>
          <w:sz w:val="20"/>
          <w:szCs w:val="20"/>
        </w:rPr>
        <w:t>Lancee</w:t>
      </w:r>
      <w:proofErr w:type="spellEnd"/>
      <w:r w:rsidRPr="00BF68FC">
        <w:rPr>
          <w:rFonts w:cstheme="minorHAnsi"/>
          <w:sz w:val="20"/>
          <w:szCs w:val="20"/>
        </w:rPr>
        <w:t xml:space="preserve"> &amp; van der </w:t>
      </w:r>
      <w:proofErr w:type="spellStart"/>
      <w:r w:rsidRPr="00BF68FC">
        <w:rPr>
          <w:rFonts w:cstheme="minorHAnsi"/>
          <w:sz w:val="20"/>
          <w:szCs w:val="20"/>
        </w:rPr>
        <w:t>Werfhorst</w:t>
      </w:r>
      <w:proofErr w:type="spellEnd"/>
      <w:r w:rsidRPr="00BF68FC">
        <w:rPr>
          <w:rFonts w:cstheme="minorHAnsi"/>
          <w:sz w:val="20"/>
          <w:szCs w:val="20"/>
        </w:rPr>
        <w:t xml:space="preserve">, 2012; </w:t>
      </w:r>
      <w:proofErr w:type="spellStart"/>
      <w:r w:rsidRPr="00BF68FC">
        <w:rPr>
          <w:rFonts w:cstheme="minorHAnsi"/>
          <w:sz w:val="20"/>
          <w:szCs w:val="20"/>
        </w:rPr>
        <w:t>Karakoc</w:t>
      </w:r>
      <w:proofErr w:type="spellEnd"/>
      <w:r w:rsidRPr="00BF68FC">
        <w:rPr>
          <w:rFonts w:cstheme="minorHAnsi"/>
          <w:sz w:val="20"/>
          <w:szCs w:val="20"/>
        </w:rPr>
        <w:t xml:space="preserve">, 2013; </w:t>
      </w:r>
      <w:proofErr w:type="spellStart"/>
      <w:r w:rsidRPr="00BF68FC">
        <w:rPr>
          <w:rFonts w:cstheme="minorHAnsi"/>
          <w:sz w:val="20"/>
          <w:szCs w:val="20"/>
        </w:rPr>
        <w:t>Mastromatteo</w:t>
      </w:r>
      <w:proofErr w:type="spellEnd"/>
      <w:r w:rsidRPr="00BF68FC">
        <w:rPr>
          <w:rFonts w:cstheme="minorHAnsi"/>
          <w:sz w:val="20"/>
          <w:szCs w:val="20"/>
        </w:rPr>
        <w:t xml:space="preserve"> &amp; Russo, 2017; </w:t>
      </w:r>
      <w:proofErr w:type="spellStart"/>
      <w:r w:rsidRPr="00BF68FC">
        <w:rPr>
          <w:rFonts w:cstheme="minorHAnsi"/>
          <w:sz w:val="20"/>
          <w:szCs w:val="20"/>
        </w:rPr>
        <w:t>Filetti</w:t>
      </w:r>
      <w:proofErr w:type="spellEnd"/>
      <w:r w:rsidRPr="00BF68FC">
        <w:rPr>
          <w:rFonts w:cstheme="minorHAnsi"/>
          <w:sz w:val="20"/>
          <w:szCs w:val="20"/>
        </w:rPr>
        <w:t xml:space="preserve"> &amp; </w:t>
      </w:r>
      <w:proofErr w:type="spellStart"/>
      <w:r w:rsidRPr="00BF68FC">
        <w:rPr>
          <w:rFonts w:cstheme="minorHAnsi"/>
          <w:sz w:val="20"/>
          <w:szCs w:val="20"/>
        </w:rPr>
        <w:t>Janmaat</w:t>
      </w:r>
      <w:proofErr w:type="spellEnd"/>
      <w:r w:rsidRPr="00BF68FC">
        <w:rPr>
          <w:rFonts w:cstheme="minorHAnsi"/>
          <w:sz w:val="20"/>
          <w:szCs w:val="20"/>
        </w:rPr>
        <w:t>, 2018). In order to effectively test the relationship between the dependent and independent variable, all other factors related to both variables need to be accounted for (Schmidt-</w:t>
      </w:r>
      <w:proofErr w:type="spellStart"/>
      <w:r w:rsidRPr="00BF68FC">
        <w:rPr>
          <w:rFonts w:cstheme="minorHAnsi"/>
          <w:sz w:val="20"/>
          <w:szCs w:val="20"/>
        </w:rPr>
        <w:t>Catran</w:t>
      </w:r>
      <w:proofErr w:type="spellEnd"/>
      <w:r w:rsidRPr="00BF68FC">
        <w:rPr>
          <w:rFonts w:cstheme="minorHAnsi"/>
          <w:sz w:val="20"/>
          <w:szCs w:val="20"/>
        </w:rPr>
        <w:t>, 2016). Cross-country comparisons, however, are limited in the amount of control variables that can be added to the model by their small sample sizes (Schmidt-</w:t>
      </w:r>
      <w:proofErr w:type="spellStart"/>
      <w:r w:rsidRPr="00BF68FC">
        <w:rPr>
          <w:rFonts w:cstheme="minorHAnsi"/>
          <w:sz w:val="20"/>
          <w:szCs w:val="20"/>
        </w:rPr>
        <w:t>Catran</w:t>
      </w:r>
      <w:proofErr w:type="spellEnd"/>
      <w:r w:rsidRPr="00BF68FC">
        <w:rPr>
          <w:rFonts w:cstheme="minorHAnsi"/>
          <w:sz w:val="20"/>
          <w:szCs w:val="20"/>
        </w:rPr>
        <w:t xml:space="preserve">, 2016). In addition to this, relevant time-invariant factors that are difficult to measure and thus not included in the model – such as variables relating to a region’s socio-cultural history – are not accounted for, resulting in associations that may be spurious (Ba et al., 2021). </w:t>
      </w:r>
      <w:r w:rsidRPr="00BF68FC">
        <w:rPr>
          <w:rFonts w:cstheme="minorHAnsi"/>
          <w:sz w:val="20"/>
          <w:szCs w:val="20"/>
        </w:rPr>
        <w:tab/>
      </w:r>
      <w:r w:rsidRPr="00BF68FC">
        <w:rPr>
          <w:rFonts w:cstheme="minorHAnsi"/>
          <w:sz w:val="20"/>
          <w:szCs w:val="20"/>
        </w:rPr>
        <w:tab/>
      </w:r>
      <w:r w:rsidRPr="00BF68FC">
        <w:rPr>
          <w:rFonts w:cstheme="minorHAnsi"/>
          <w:sz w:val="20"/>
          <w:szCs w:val="20"/>
        </w:rPr>
        <w:tab/>
      </w:r>
      <w:r w:rsidR="00BF68FC">
        <w:rPr>
          <w:rFonts w:cstheme="minorHAnsi"/>
          <w:sz w:val="20"/>
          <w:szCs w:val="20"/>
        </w:rPr>
        <w:tab/>
      </w:r>
      <w:r w:rsidR="00BF68FC">
        <w:rPr>
          <w:rFonts w:cstheme="minorHAnsi"/>
          <w:sz w:val="20"/>
          <w:szCs w:val="20"/>
        </w:rPr>
        <w:tab/>
      </w:r>
      <w:r w:rsidR="00BF68FC">
        <w:rPr>
          <w:rFonts w:cstheme="minorHAnsi"/>
          <w:sz w:val="20"/>
          <w:szCs w:val="20"/>
        </w:rPr>
        <w:lastRenderedPageBreak/>
        <w:tab/>
      </w:r>
      <w:r w:rsidRPr="00BF68FC">
        <w:rPr>
          <w:rFonts w:cstheme="minorHAnsi"/>
          <w:sz w:val="20"/>
          <w:szCs w:val="20"/>
        </w:rPr>
        <w:t xml:space="preserve">We address these concerns by focusing our analysis on individuals within one country (the Netherlands), merging micro-level data from the Giving in the Netherlands Panel Study (n = </w:t>
      </w:r>
      <w:r w:rsidR="002C4483">
        <w:rPr>
          <w:rFonts w:cstheme="minorHAnsi"/>
          <w:sz w:val="20"/>
          <w:szCs w:val="20"/>
        </w:rPr>
        <w:t>2,747</w:t>
      </w:r>
      <w:r w:rsidRPr="00BF68FC">
        <w:rPr>
          <w:rFonts w:cstheme="minorHAnsi"/>
          <w:sz w:val="20"/>
          <w:szCs w:val="20"/>
        </w:rPr>
        <w:t>) (</w:t>
      </w:r>
      <w:proofErr w:type="spellStart"/>
      <w:r w:rsidRPr="00BF68FC">
        <w:rPr>
          <w:rFonts w:cstheme="minorHAnsi"/>
          <w:sz w:val="20"/>
          <w:szCs w:val="20"/>
        </w:rPr>
        <w:t>Bekkers</w:t>
      </w:r>
      <w:proofErr w:type="spellEnd"/>
      <w:r w:rsidRPr="00BF68FC">
        <w:rPr>
          <w:rFonts w:cstheme="minorHAnsi"/>
          <w:sz w:val="20"/>
          <w:szCs w:val="20"/>
        </w:rPr>
        <w:t xml:space="preserve">, </w:t>
      </w:r>
      <w:proofErr w:type="spellStart"/>
      <w:r w:rsidRPr="00BF68FC">
        <w:rPr>
          <w:rFonts w:cstheme="minorHAnsi"/>
          <w:sz w:val="20"/>
          <w:szCs w:val="20"/>
        </w:rPr>
        <w:t>Boonstoppel</w:t>
      </w:r>
      <w:proofErr w:type="spellEnd"/>
      <w:r w:rsidRPr="00BF68FC">
        <w:rPr>
          <w:rFonts w:cstheme="minorHAnsi"/>
          <w:sz w:val="20"/>
          <w:szCs w:val="20"/>
        </w:rPr>
        <w:t xml:space="preserve"> &amp; de Wit, 2017) with municipal-level data on wealth and income distributions from Statistics Netherlands (</w:t>
      </w:r>
      <w:proofErr w:type="spellStart"/>
      <w:r w:rsidRPr="00BF68FC">
        <w:rPr>
          <w:rFonts w:cstheme="minorHAnsi"/>
          <w:sz w:val="20"/>
          <w:szCs w:val="20"/>
        </w:rPr>
        <w:t>Centraal</w:t>
      </w:r>
      <w:proofErr w:type="spellEnd"/>
      <w:r w:rsidRPr="00BF68FC">
        <w:rPr>
          <w:rFonts w:cstheme="minorHAnsi"/>
          <w:sz w:val="20"/>
          <w:szCs w:val="20"/>
        </w:rPr>
        <w:t xml:space="preserve"> Bureau </w:t>
      </w:r>
      <w:proofErr w:type="spellStart"/>
      <w:r w:rsidRPr="00BF68FC">
        <w:rPr>
          <w:rFonts w:cstheme="minorHAnsi"/>
          <w:sz w:val="20"/>
          <w:szCs w:val="20"/>
        </w:rPr>
        <w:t>voor</w:t>
      </w:r>
      <w:proofErr w:type="spellEnd"/>
      <w:r w:rsidRPr="00BF68FC">
        <w:rPr>
          <w:rFonts w:cstheme="minorHAnsi"/>
          <w:sz w:val="20"/>
          <w:szCs w:val="20"/>
        </w:rPr>
        <w:t xml:space="preserve"> </w:t>
      </w:r>
      <w:proofErr w:type="spellStart"/>
      <w:r w:rsidRPr="00BF68FC">
        <w:rPr>
          <w:rFonts w:cstheme="minorHAnsi"/>
          <w:sz w:val="20"/>
          <w:szCs w:val="20"/>
        </w:rPr>
        <w:t>Statistiek</w:t>
      </w:r>
      <w:proofErr w:type="spellEnd"/>
      <w:r w:rsidRPr="00BF68FC">
        <w:rPr>
          <w:rFonts w:cstheme="minorHAnsi"/>
          <w:sz w:val="20"/>
          <w:szCs w:val="20"/>
        </w:rPr>
        <w:t>, 2021). We exploit the internal structure of the panel data by using Fixed Effects regression models, investigating the relationship between wealth inequality, trust, and civic engagement exercised through voluntarism over a period of thirteen years (2006-2019). Fixed Effects regression models analyse variation in variables within people – allowing us to control for factors that remain unobserved and are not included in the analysis (Allison, 2009; van Ingen &amp; Bekkers, 2015; Ba et al., 2021). In addition to this, we improve on cross-country comparisons by operationalizing economic inequality as a variable at the municipal level. The mechanism proposed by the Social-Disintegration Hypothesis is more likely to occur within municipalities than within countries. We assume objective wealth inequality is more noticeable for individuals within their own municipality, country-wide wealth distributions are likely less noticeable. As a result of this we assume the decrease in general social trust associated with an increase in wealth inequality is more likely to occur at the municipal level than at the country level.</w:t>
      </w:r>
    </w:p>
    <w:p w14:paraId="161B3374" w14:textId="0E134287" w:rsidR="00774351" w:rsidRPr="00541434" w:rsidRDefault="00541434" w:rsidP="00541434">
      <w:pPr>
        <w:rPr>
          <w:b/>
          <w:bCs/>
          <w:sz w:val="20"/>
          <w:szCs w:val="20"/>
          <w:lang w:val="en-US"/>
        </w:rPr>
      </w:pPr>
      <w:r>
        <w:rPr>
          <w:b/>
          <w:bCs/>
          <w:sz w:val="20"/>
          <w:szCs w:val="20"/>
          <w:lang w:val="en-US"/>
        </w:rPr>
        <w:t xml:space="preserve">3. </w:t>
      </w:r>
      <w:r w:rsidR="00121886">
        <w:rPr>
          <w:b/>
          <w:bCs/>
          <w:sz w:val="20"/>
          <w:szCs w:val="20"/>
          <w:lang w:val="en-US"/>
        </w:rPr>
        <w:tab/>
      </w:r>
      <w:r w:rsidR="00774351" w:rsidRPr="00541434">
        <w:rPr>
          <w:b/>
          <w:bCs/>
          <w:sz w:val="20"/>
          <w:szCs w:val="20"/>
          <w:lang w:val="en-US"/>
        </w:rPr>
        <w:t>Theory and hypotheses</w:t>
      </w:r>
    </w:p>
    <w:p w14:paraId="1615EA65" w14:textId="13EBFE1A" w:rsidR="00774351" w:rsidRPr="00BF68FC" w:rsidRDefault="00541434" w:rsidP="00AE47D9">
      <w:pPr>
        <w:jc w:val="both"/>
        <w:rPr>
          <w:i/>
          <w:iCs/>
          <w:sz w:val="20"/>
          <w:szCs w:val="20"/>
        </w:rPr>
      </w:pPr>
      <w:r>
        <w:rPr>
          <w:i/>
          <w:iCs/>
          <w:sz w:val="20"/>
          <w:szCs w:val="20"/>
          <w:lang w:val="en-US"/>
        </w:rPr>
        <w:t>3</w:t>
      </w:r>
      <w:r w:rsidR="00BF68FC" w:rsidRPr="00BF68FC">
        <w:rPr>
          <w:i/>
          <w:iCs/>
          <w:sz w:val="20"/>
          <w:szCs w:val="20"/>
          <w:lang w:val="en-US"/>
        </w:rPr>
        <w:t xml:space="preserve">.1 </w:t>
      </w:r>
      <w:r w:rsidR="00121886">
        <w:rPr>
          <w:i/>
          <w:iCs/>
          <w:sz w:val="20"/>
          <w:szCs w:val="20"/>
          <w:lang w:val="en-US"/>
        </w:rPr>
        <w:tab/>
      </w:r>
      <w:r w:rsidR="00774351" w:rsidRPr="00BF68FC">
        <w:rPr>
          <w:i/>
          <w:iCs/>
          <w:sz w:val="20"/>
          <w:szCs w:val="20"/>
        </w:rPr>
        <w:t>Explanations of the relationship between inequality and volunteering</w:t>
      </w:r>
    </w:p>
    <w:p w14:paraId="61CDF16B" w14:textId="77777777" w:rsidR="00774351" w:rsidRPr="00BF68FC" w:rsidRDefault="00774351" w:rsidP="00774351">
      <w:pPr>
        <w:jc w:val="both"/>
        <w:rPr>
          <w:sz w:val="20"/>
          <w:szCs w:val="20"/>
        </w:rPr>
      </w:pPr>
      <w:r w:rsidRPr="00BF68FC">
        <w:rPr>
          <w:sz w:val="20"/>
          <w:szCs w:val="20"/>
        </w:rPr>
        <w:t xml:space="preserve">Scholars from multiple social science disciplines have investigated the influence of economic inequality on socioeconomic outcomes (Thorbecke &amp; Charumilind, 2002). Higher levels of economic inequality have been associated with higher crime rates (Blau &amp; Blau, 1982; Kang, 2016), negative health outcomes like higher rates of infant mortality and lower life expectancy (Pickett &amp; Wilkinson, 2015), and reduced levels of political interest, discussion, and participation (Solt, 2008). Economic inequality has also been hypothesized to influence levels of volunteering. Explanations of the hypothesized relationship and the mechanisms through which it operates, however, differ considerably. We distinguish two types of explanations: psychological and neo-materialist explanations. </w:t>
      </w:r>
    </w:p>
    <w:p w14:paraId="34B36FB6" w14:textId="77777777" w:rsidR="00774351" w:rsidRPr="00BF68FC" w:rsidRDefault="00774351" w:rsidP="00774351">
      <w:pPr>
        <w:jc w:val="both"/>
        <w:rPr>
          <w:sz w:val="20"/>
          <w:szCs w:val="20"/>
        </w:rPr>
      </w:pPr>
      <w:r w:rsidRPr="00BF68FC">
        <w:rPr>
          <w:sz w:val="20"/>
          <w:szCs w:val="20"/>
        </w:rPr>
        <w:t xml:space="preserve">Psychological explanations focus on the effects of economic inequality on the mental state of individuals. The </w:t>
      </w:r>
      <w:r w:rsidRPr="00BF68FC">
        <w:rPr>
          <w:i/>
          <w:iCs/>
          <w:sz w:val="20"/>
          <w:szCs w:val="20"/>
        </w:rPr>
        <w:t xml:space="preserve">social disintegration hypothesis </w:t>
      </w:r>
      <w:r w:rsidRPr="00BF68FC">
        <w:rPr>
          <w:sz w:val="20"/>
          <w:szCs w:val="20"/>
        </w:rPr>
        <w:t xml:space="preserve">anticipates the increase in the heterogeneity of income or wealth levels leads to an erosion of ties between different economic strata (Schröder &amp; Neumayr, 2021). The increased distance between income or wealth groups in turn leads to a decrease in general social trust, reducing individuals’ inclination to contribute to their community through cooperative acts like voluntarism (Uslaner &amp; Brown, 2005; Alesina &amp; La Ferrara, 2000). The </w:t>
      </w:r>
      <w:r w:rsidRPr="00BF68FC">
        <w:rPr>
          <w:i/>
          <w:iCs/>
          <w:sz w:val="20"/>
          <w:szCs w:val="20"/>
        </w:rPr>
        <w:t xml:space="preserve">relative power hypothesis </w:t>
      </w:r>
      <w:r w:rsidRPr="00BF68FC">
        <w:rPr>
          <w:sz w:val="20"/>
          <w:szCs w:val="20"/>
        </w:rPr>
        <w:t xml:space="preserve">assumes an increased distance between income or wealth groups at opposite ends of the resource distribution is also reflected in the distribution of power (Schröder &amp; Neumayr, 2021). Individuals at the top end of the economic resource distribution have more power relative to individuals at the bottom end of the resource distribution in a context with more economic inequality (Schattschneider, 1960; Karakoc, 2013; Filetti &amp; Janmaat, 2018). This disparity is theorized to influence individuals at the bottom end of the resource distribution by instilling a sense of perceived powerlessness, causing them to withdraw from civic life and withhold from participating in activities like voluntarism (Solt, 2008; Karakoc, 2013). </w:t>
      </w:r>
    </w:p>
    <w:p w14:paraId="62D16ACA" w14:textId="77777777" w:rsidR="00774351" w:rsidRPr="00BF68FC" w:rsidRDefault="00774351" w:rsidP="00774351">
      <w:pPr>
        <w:jc w:val="both"/>
        <w:rPr>
          <w:sz w:val="20"/>
          <w:szCs w:val="20"/>
        </w:rPr>
      </w:pPr>
      <w:r w:rsidRPr="00BF68FC">
        <w:rPr>
          <w:sz w:val="20"/>
          <w:szCs w:val="20"/>
        </w:rPr>
        <w:t>Neo-materialist explanations focus on the effects of resource distribution on opportunities and material resources for civic engagement depending (Solt, 2008; Karakoc, 2013). Areas with more economic inequality are assumed to have a greater disparity in the allocation of material resources between citizens (Lynch et al., 2000) – resulting in lower levels of participation for groups at the lower end of the income or wealth distribution (Solt, 2008; Lancee &amp; van der Werfhorst, 2012). This hypothesis is primarily applied to political engagement (Solt, 2008; Karakoc, 2013; Filetti &amp; Janmaat, 2018), a form of engagement that cannot necessarily be equated directly with civic engagement (Uslaner &amp; Brown, 2005). Nevertheless, it has been used by some authors to explain the variance in charitable giving and volunteering, often as a supplementary explanation to the influence of perceived powerlessness (Lancee &amp; van der Werfhorst, 2012; Veal &amp; Nichols, 2017).</w:t>
      </w:r>
      <w:r w:rsidRPr="00BF68FC">
        <w:rPr>
          <w:sz w:val="20"/>
          <w:szCs w:val="20"/>
        </w:rPr>
        <w:tab/>
      </w:r>
    </w:p>
    <w:p w14:paraId="27F69A28" w14:textId="46EAF80E" w:rsidR="00774351" w:rsidRPr="00BF68FC" w:rsidRDefault="00774351" w:rsidP="00D61E61">
      <w:pPr>
        <w:jc w:val="both"/>
        <w:rPr>
          <w:sz w:val="20"/>
          <w:szCs w:val="20"/>
        </w:rPr>
      </w:pPr>
      <w:r w:rsidRPr="00BF68FC">
        <w:rPr>
          <w:sz w:val="20"/>
          <w:szCs w:val="20"/>
        </w:rPr>
        <w:t xml:space="preserve">Empirical studies have focused almost exclusively on income inequality as a measure of economic inequality. Few studies have investigated wealth inequality. Studies based on survey data routinely use cross-country comparisons to test their hypotheses (Schröder &amp; Neumayr, 2021). Few studies track changes over time. In addition, even fewer studies directly test the mechanism through which economic inequality may influence levels </w:t>
      </w:r>
      <w:r w:rsidRPr="00BF68FC">
        <w:rPr>
          <w:sz w:val="20"/>
          <w:szCs w:val="20"/>
        </w:rPr>
        <w:lastRenderedPageBreak/>
        <w:t>of civic engagement. Country comparisons using data from one point in time generally find a negative relationship between income inequality and civic engagement through either charitable giving (Gesthuizen et al., 2008; Gesthuizen et al., 2009; Evers &amp; Gesthuizen, 2011; Mastromatteo &amp; Russo, 2017) or voluntarism (van Oorschot &amp; Arts, 2005; Karakoc, 2013; Veal &amp; Nichols, 2017). These studies do not demonstrate how civic engagement changes over time in response to changes in inequality.</w:t>
      </w:r>
      <w:r w:rsidR="00D61E61" w:rsidRPr="00BF68FC">
        <w:rPr>
          <w:sz w:val="20"/>
          <w:szCs w:val="20"/>
        </w:rPr>
        <w:tab/>
      </w:r>
      <w:r w:rsidR="00D61E61" w:rsidRPr="00BF68FC">
        <w:rPr>
          <w:sz w:val="20"/>
          <w:szCs w:val="20"/>
        </w:rPr>
        <w:tab/>
      </w:r>
      <w:r w:rsidR="00D61E61" w:rsidRPr="00BF68FC">
        <w:rPr>
          <w:sz w:val="20"/>
          <w:szCs w:val="20"/>
        </w:rPr>
        <w:tab/>
      </w:r>
      <w:r w:rsidR="00D61E61" w:rsidRPr="00BF68FC">
        <w:rPr>
          <w:sz w:val="20"/>
          <w:szCs w:val="20"/>
        </w:rPr>
        <w:tab/>
      </w:r>
      <w:r w:rsidR="00D61E61" w:rsidRPr="00BF68FC">
        <w:rPr>
          <w:sz w:val="20"/>
          <w:szCs w:val="20"/>
        </w:rPr>
        <w:tab/>
      </w:r>
      <w:r w:rsidR="00D61E61" w:rsidRPr="00BF68FC">
        <w:rPr>
          <w:sz w:val="20"/>
          <w:szCs w:val="20"/>
        </w:rPr>
        <w:tab/>
      </w:r>
      <w:r w:rsidRPr="00BF68FC">
        <w:rPr>
          <w:sz w:val="20"/>
          <w:szCs w:val="20"/>
        </w:rPr>
        <w:t xml:space="preserve">Though most explanations predict a negative relationship, results from studies conducted on smaller geographic units of analysis such as municipalities, metropolitan areas, and neighborhoods are mixed. Two studies do report negative coefficients (Rothwell, 2012; Rotolo &amp; Wilson, 2014). On the other hand, three report positive coefficients (Oliver, 1999; Clark &amp; Kim, 2012; Godfrey &amp; Cherng, 2016), and four report coefficients that are not statistically different from zero (Smith, 2012; Clark &amp; Kim, 2012; Collins &amp; Guidry, 2018; Fladmoe &amp; Steen-Johnsen, 2018). Though empirical results are mixed and though there is virtually no evidence on the relationship between wealth inequality and volunteering, the logic of the psychological and neo-materialistic explanations remains strong. Therefore, we formulate the following hypothesis: </w:t>
      </w:r>
    </w:p>
    <w:p w14:paraId="3A84BC49" w14:textId="5B1D7300" w:rsidR="00774351" w:rsidRPr="00BF68FC" w:rsidRDefault="00774351" w:rsidP="00774351">
      <w:pPr>
        <w:jc w:val="both"/>
        <w:rPr>
          <w:sz w:val="20"/>
          <w:szCs w:val="20"/>
        </w:rPr>
      </w:pPr>
      <w:r w:rsidRPr="00BF68FC">
        <w:rPr>
          <w:sz w:val="20"/>
          <w:szCs w:val="20"/>
        </w:rPr>
        <w:t xml:space="preserve">H1: As wealth inequality increases, volunteering will decrease. </w:t>
      </w:r>
    </w:p>
    <w:p w14:paraId="11380880" w14:textId="77777777" w:rsidR="00774351" w:rsidRPr="00BF68FC" w:rsidRDefault="00774351" w:rsidP="00774351">
      <w:pPr>
        <w:jc w:val="both"/>
        <w:rPr>
          <w:sz w:val="20"/>
          <w:szCs w:val="20"/>
        </w:rPr>
      </w:pPr>
    </w:p>
    <w:p w14:paraId="2DAAD105" w14:textId="5F7FE2BE" w:rsidR="00774351" w:rsidRPr="00BF68FC" w:rsidRDefault="00541434" w:rsidP="00774351">
      <w:pPr>
        <w:jc w:val="both"/>
        <w:rPr>
          <w:i/>
          <w:iCs/>
          <w:sz w:val="20"/>
          <w:szCs w:val="20"/>
        </w:rPr>
      </w:pPr>
      <w:r>
        <w:rPr>
          <w:i/>
          <w:iCs/>
          <w:sz w:val="20"/>
          <w:szCs w:val="20"/>
          <w:lang w:val="en-US"/>
        </w:rPr>
        <w:t>3</w:t>
      </w:r>
      <w:r w:rsidR="00BF68FC" w:rsidRPr="00BF68FC">
        <w:rPr>
          <w:i/>
          <w:iCs/>
          <w:sz w:val="20"/>
          <w:szCs w:val="20"/>
          <w:lang w:val="en-US"/>
        </w:rPr>
        <w:t xml:space="preserve">.2 </w:t>
      </w:r>
      <w:r w:rsidR="00121886">
        <w:rPr>
          <w:i/>
          <w:iCs/>
          <w:sz w:val="20"/>
          <w:szCs w:val="20"/>
          <w:lang w:val="en-US"/>
        </w:rPr>
        <w:tab/>
      </w:r>
      <w:r w:rsidR="00774351" w:rsidRPr="00BF68FC">
        <w:rPr>
          <w:i/>
          <w:iCs/>
          <w:sz w:val="20"/>
          <w:szCs w:val="20"/>
        </w:rPr>
        <w:t>Explanations of the relationship between wealth inequality and trust</w:t>
      </w:r>
    </w:p>
    <w:p w14:paraId="596B95E2" w14:textId="47A7818B" w:rsidR="00774351" w:rsidRPr="00BF68FC" w:rsidRDefault="00774351" w:rsidP="00D61E61">
      <w:pPr>
        <w:jc w:val="both"/>
        <w:rPr>
          <w:sz w:val="20"/>
          <w:szCs w:val="20"/>
        </w:rPr>
      </w:pPr>
      <w:r w:rsidRPr="00BF68FC">
        <w:rPr>
          <w:sz w:val="20"/>
          <w:szCs w:val="20"/>
        </w:rPr>
        <w:t>A core concept in the relationship between economic inequality and volunteering according to psychological theories is generalized social trust - an increase in economic inequality is theorized to lead to a decrease in generalized social trust (Schröder &amp; Neumayr, 2021).</w:t>
      </w:r>
      <w:r w:rsidR="00D61E61" w:rsidRPr="00BF68FC">
        <w:rPr>
          <w:sz w:val="20"/>
          <w:szCs w:val="20"/>
        </w:rPr>
        <w:tab/>
      </w:r>
      <w:r w:rsidR="00D61E61" w:rsidRPr="00BF68FC">
        <w:rPr>
          <w:sz w:val="20"/>
          <w:szCs w:val="20"/>
        </w:rPr>
        <w:tab/>
      </w:r>
      <w:r w:rsidR="00D61E61" w:rsidRPr="00BF68FC">
        <w:rPr>
          <w:sz w:val="20"/>
          <w:szCs w:val="20"/>
        </w:rPr>
        <w:tab/>
      </w:r>
      <w:r w:rsidR="00BF68FC">
        <w:rPr>
          <w:sz w:val="20"/>
          <w:szCs w:val="20"/>
        </w:rPr>
        <w:tab/>
      </w:r>
      <w:r w:rsidR="00BF68FC">
        <w:rPr>
          <w:sz w:val="20"/>
          <w:szCs w:val="20"/>
        </w:rPr>
        <w:tab/>
      </w:r>
      <w:r w:rsidR="00BF68FC">
        <w:rPr>
          <w:sz w:val="20"/>
          <w:szCs w:val="20"/>
        </w:rPr>
        <w:tab/>
      </w:r>
      <w:r w:rsidR="00BF68FC">
        <w:rPr>
          <w:sz w:val="20"/>
          <w:szCs w:val="20"/>
        </w:rPr>
        <w:tab/>
      </w:r>
      <w:r w:rsidRPr="00BF68FC">
        <w:rPr>
          <w:sz w:val="20"/>
          <w:szCs w:val="20"/>
        </w:rPr>
        <w:t xml:space="preserve">Generalized social trust is the belief that most people can be trusted, including people one does not know well (Uslaner, 2002). Whereas trust between individuals that are familiar with one another may take on strategic characteristics geared towards the realization of mutually beneficial outcomes, generalized social trust does not take on a strategic character (Bjornskov, 2008). Individuals with a high level of generalized social trust tend to trust unfamiliar others despite a lack of information – they believe trusting others is important, regardless of reciprocity (Reeskens, 2013). </w:t>
      </w:r>
    </w:p>
    <w:p w14:paraId="68451AA7" w14:textId="5FA4AB85" w:rsidR="00774351" w:rsidRPr="00BF68FC" w:rsidRDefault="00774351" w:rsidP="00D61E61">
      <w:pPr>
        <w:jc w:val="both"/>
        <w:rPr>
          <w:sz w:val="20"/>
          <w:szCs w:val="20"/>
        </w:rPr>
      </w:pPr>
      <w:r w:rsidRPr="00BF68FC">
        <w:rPr>
          <w:sz w:val="20"/>
          <w:szCs w:val="20"/>
        </w:rPr>
        <w:t>It has been argued that an increase in economic inequality erodes generalized social trust by shrinking an individual’s radius of trust (Bjornskov, 2008)</w:t>
      </w:r>
      <w:r w:rsidR="00D61E61" w:rsidRPr="00BF68FC">
        <w:rPr>
          <w:sz w:val="20"/>
          <w:szCs w:val="20"/>
          <w:lang w:val="en-US"/>
        </w:rPr>
        <w:t>:</w:t>
      </w:r>
      <w:r w:rsidRPr="00BF68FC">
        <w:rPr>
          <w:sz w:val="20"/>
          <w:szCs w:val="20"/>
        </w:rPr>
        <w:t xml:space="preserve"> the number of people to whom an individual’s cooperative norms apply (Fukuyama, 2001). A narrow radius of trust limited to familiar others reflects low levels of generalized social trust, while a large radius of trust reflects high levels of generalized social trust. </w:t>
      </w:r>
      <w:r w:rsidR="00D61E61" w:rsidRPr="00BF68FC">
        <w:rPr>
          <w:sz w:val="20"/>
          <w:szCs w:val="20"/>
        </w:rPr>
        <w:tab/>
      </w:r>
      <w:r w:rsidR="00D61E61" w:rsidRPr="00BF68FC">
        <w:rPr>
          <w:sz w:val="20"/>
          <w:szCs w:val="20"/>
        </w:rPr>
        <w:tab/>
      </w:r>
      <w:r w:rsidR="00D61E61" w:rsidRPr="00BF68FC">
        <w:rPr>
          <w:sz w:val="20"/>
          <w:szCs w:val="20"/>
        </w:rPr>
        <w:tab/>
      </w:r>
      <w:r w:rsidR="000E6158" w:rsidRPr="00BF68FC">
        <w:rPr>
          <w:sz w:val="20"/>
          <w:szCs w:val="20"/>
        </w:rPr>
        <w:tab/>
      </w:r>
      <w:r w:rsidR="00D61E61" w:rsidRPr="00BF68FC">
        <w:rPr>
          <w:sz w:val="20"/>
          <w:szCs w:val="20"/>
        </w:rPr>
        <w:tab/>
      </w:r>
      <w:r w:rsidRPr="00BF68FC">
        <w:rPr>
          <w:sz w:val="20"/>
          <w:szCs w:val="20"/>
        </w:rPr>
        <w:t xml:space="preserve">The argument is that an increase in wealth inequality increases the social distance between citizens at the higher end of the wealth distribution and those at the lower end of the wealth distribution. The increased distance is argued to make it more difficult for groups at opposite ends of the wealth distribution to relate to economic out-groups’ experiences (Uslaner &amp; Brown, 2005). The inability to understand economic out-groups in turn is argued to increase suspicion of each other’s motives, ultimately reflected through an exclusion of these out-groups from an individual’s trust radius (Bjornskov, 2008). </w:t>
      </w:r>
      <w:r w:rsidR="00D61E61" w:rsidRPr="00BF68FC">
        <w:rPr>
          <w:sz w:val="20"/>
          <w:szCs w:val="20"/>
        </w:rPr>
        <w:tab/>
      </w:r>
      <w:r w:rsidR="00D61E61" w:rsidRPr="00BF68FC">
        <w:rPr>
          <w:sz w:val="20"/>
          <w:szCs w:val="20"/>
        </w:rPr>
        <w:tab/>
      </w:r>
      <w:r w:rsidR="00D61E61" w:rsidRPr="00BF68FC">
        <w:rPr>
          <w:sz w:val="20"/>
          <w:szCs w:val="20"/>
        </w:rPr>
        <w:tab/>
      </w:r>
      <w:r w:rsidR="00D61E61" w:rsidRPr="00BF68FC">
        <w:rPr>
          <w:sz w:val="20"/>
          <w:szCs w:val="20"/>
        </w:rPr>
        <w:tab/>
      </w:r>
      <w:r w:rsidR="00D61E61" w:rsidRPr="00BF68FC">
        <w:rPr>
          <w:sz w:val="20"/>
          <w:szCs w:val="20"/>
        </w:rPr>
        <w:tab/>
      </w:r>
      <w:r w:rsidR="000E6158" w:rsidRPr="00BF68FC">
        <w:rPr>
          <w:sz w:val="20"/>
          <w:szCs w:val="20"/>
        </w:rPr>
        <w:tab/>
      </w:r>
      <w:r w:rsidR="00D61E61" w:rsidRPr="00BF68FC">
        <w:rPr>
          <w:sz w:val="20"/>
          <w:szCs w:val="20"/>
        </w:rPr>
        <w:tab/>
      </w:r>
      <w:r w:rsidRPr="00BF68FC">
        <w:rPr>
          <w:sz w:val="20"/>
          <w:szCs w:val="20"/>
        </w:rPr>
        <w:t xml:space="preserve">Increased social distance may also enhance tensions between economic strata and class conflict (Hastings, 2018). As wealth inequality increases, the wealthy have more to lose and the less wealthy have more to gain – increasingly pitting the interests of both groups against one another and deteriorating generalized social trust. Increased social distance can increase resentment among those at the bottom end of the wealth distribution, decreasing levels of generalized social trust (Fairbrother &amp; Martin, 2013). Those at the top end of the wealth distribution reciprocate with distrust as they become wary of the resentment among those at the bottom end of the distribution (Fairbrother &amp; Martin, 2013). </w:t>
      </w:r>
    </w:p>
    <w:p w14:paraId="640863AF" w14:textId="29DA5531" w:rsidR="00774351" w:rsidRPr="00BF68FC" w:rsidRDefault="00774351" w:rsidP="00D61E61">
      <w:pPr>
        <w:jc w:val="both"/>
        <w:rPr>
          <w:sz w:val="20"/>
          <w:szCs w:val="20"/>
          <w:lang w:val="en-US"/>
        </w:rPr>
      </w:pPr>
      <w:r w:rsidRPr="00BF68FC">
        <w:rPr>
          <w:sz w:val="20"/>
          <w:szCs w:val="20"/>
        </w:rPr>
        <w:t xml:space="preserve">Empirical studies on the effects of wealth inequality on generalized social trust are rare. In the only study we could find, Dai et al. (2020) report that increases in housing asset inequality in China are associated with lower generalized social trust. Using behavioral measures of trust in economic games, several experiments show that participants are less trusting when their endowments are more unequally distributed. Bejerano, Gillet &amp; Rodriguez-Lara (2018) and D’Amato, O’Higgins &amp; Stimolo (2022) find that participants endowed with different initial levels of wealth are less trusting in a trust game than participants with equal initial wealth. Cardenas (2003) finds that Colombian villagers are less cooperative in repeated common pool resource dilemmas when they are </w:t>
      </w:r>
      <w:r w:rsidRPr="00BF68FC">
        <w:rPr>
          <w:sz w:val="20"/>
          <w:szCs w:val="20"/>
        </w:rPr>
        <w:lastRenderedPageBreak/>
        <w:t xml:space="preserve">made aware of pre-existing wealth inequality through face-to-face communication between rounds. Markussen et al. (2021) find that Vietnamese villagers are investing less in a public goods game when endowed with different levels of wealth, especially in areas characterized by higher corruption. </w:t>
      </w:r>
      <w:r w:rsidR="00D61E61" w:rsidRPr="00BF68FC">
        <w:rPr>
          <w:sz w:val="20"/>
          <w:szCs w:val="20"/>
          <w:lang w:val="en-US"/>
        </w:rPr>
        <w:t>Based on the theoretical arguments we formulate our second hypothesis:</w:t>
      </w:r>
    </w:p>
    <w:p w14:paraId="6062786F" w14:textId="19E60CCC" w:rsidR="00774351" w:rsidRPr="00BF68FC" w:rsidRDefault="00774351" w:rsidP="00774351">
      <w:pPr>
        <w:jc w:val="both"/>
        <w:rPr>
          <w:sz w:val="20"/>
          <w:szCs w:val="20"/>
        </w:rPr>
      </w:pPr>
      <w:r w:rsidRPr="00BF68FC">
        <w:rPr>
          <w:sz w:val="20"/>
          <w:szCs w:val="20"/>
        </w:rPr>
        <w:t xml:space="preserve">H2: As wealth inequality increases, generalized social trust will decrease. </w:t>
      </w:r>
    </w:p>
    <w:p w14:paraId="6D0F0876" w14:textId="77777777" w:rsidR="00774351" w:rsidRPr="00BF68FC" w:rsidRDefault="00774351" w:rsidP="00774351">
      <w:pPr>
        <w:jc w:val="both"/>
        <w:rPr>
          <w:i/>
          <w:iCs/>
          <w:sz w:val="20"/>
          <w:szCs w:val="20"/>
        </w:rPr>
      </w:pPr>
    </w:p>
    <w:p w14:paraId="3CB31EF4" w14:textId="1EE9E899" w:rsidR="00774351" w:rsidRPr="00BF68FC" w:rsidRDefault="00541434" w:rsidP="00774351">
      <w:pPr>
        <w:jc w:val="both"/>
        <w:rPr>
          <w:i/>
          <w:iCs/>
          <w:sz w:val="20"/>
          <w:szCs w:val="20"/>
        </w:rPr>
      </w:pPr>
      <w:r>
        <w:rPr>
          <w:i/>
          <w:iCs/>
          <w:sz w:val="20"/>
          <w:szCs w:val="20"/>
          <w:lang w:val="en-US"/>
        </w:rPr>
        <w:t>3</w:t>
      </w:r>
      <w:r w:rsidR="00BF68FC" w:rsidRPr="00BF68FC">
        <w:rPr>
          <w:i/>
          <w:iCs/>
          <w:sz w:val="20"/>
          <w:szCs w:val="20"/>
          <w:lang w:val="en-US"/>
        </w:rPr>
        <w:t>.3</w:t>
      </w:r>
      <w:r w:rsidR="00121886">
        <w:rPr>
          <w:i/>
          <w:iCs/>
          <w:sz w:val="20"/>
          <w:szCs w:val="20"/>
          <w:lang w:val="en-US"/>
        </w:rPr>
        <w:tab/>
      </w:r>
      <w:r w:rsidR="00774351" w:rsidRPr="00BF68FC">
        <w:rPr>
          <w:i/>
          <w:iCs/>
          <w:sz w:val="20"/>
          <w:szCs w:val="20"/>
        </w:rPr>
        <w:t>Explanations of the relationship between trust and volunteering</w:t>
      </w:r>
    </w:p>
    <w:p w14:paraId="3EB74E4F" w14:textId="77777777" w:rsidR="00774351" w:rsidRPr="00BF68FC" w:rsidRDefault="00774351" w:rsidP="00774351">
      <w:pPr>
        <w:pStyle w:val="NormalWeb"/>
        <w:jc w:val="both"/>
        <w:rPr>
          <w:rFonts w:asciiTheme="minorHAnsi" w:hAnsiTheme="minorHAnsi" w:cstheme="minorHAnsi"/>
          <w:color w:val="000000"/>
          <w:sz w:val="20"/>
          <w:szCs w:val="20"/>
          <w:lang w:val="en-GB"/>
        </w:rPr>
      </w:pPr>
      <w:r w:rsidRPr="00BF68FC">
        <w:rPr>
          <w:rFonts w:asciiTheme="minorHAnsi" w:hAnsiTheme="minorHAnsi" w:cstheme="minorHAnsi"/>
          <w:color w:val="000000"/>
          <w:sz w:val="20"/>
          <w:szCs w:val="20"/>
          <w:lang w:val="en-GB"/>
        </w:rPr>
        <w:t>Generalized social trust is often theorized to relate positively to an individual’s voluntary activity – people with higher levels of generalized social trust are expected to be more likely to volunteer and volunteer more (</w:t>
      </w:r>
      <w:proofErr w:type="spellStart"/>
      <w:r w:rsidRPr="00BF68FC">
        <w:rPr>
          <w:rFonts w:asciiTheme="minorHAnsi" w:hAnsiTheme="minorHAnsi" w:cstheme="minorHAnsi"/>
          <w:color w:val="000000"/>
          <w:sz w:val="20"/>
          <w:szCs w:val="20"/>
          <w:lang w:val="en-GB"/>
        </w:rPr>
        <w:t>Uslaner</w:t>
      </w:r>
      <w:proofErr w:type="spellEnd"/>
      <w:r w:rsidRPr="00BF68FC">
        <w:rPr>
          <w:rFonts w:asciiTheme="minorHAnsi" w:hAnsiTheme="minorHAnsi" w:cstheme="minorHAnsi"/>
          <w:color w:val="000000"/>
          <w:sz w:val="20"/>
          <w:szCs w:val="20"/>
          <w:lang w:val="en-GB"/>
        </w:rPr>
        <w:t xml:space="preserve">, 2000; </w:t>
      </w:r>
      <w:proofErr w:type="spellStart"/>
      <w:r w:rsidRPr="00BF68FC">
        <w:rPr>
          <w:rFonts w:asciiTheme="minorHAnsi" w:hAnsiTheme="minorHAnsi" w:cstheme="minorHAnsi"/>
          <w:color w:val="000000"/>
          <w:sz w:val="20"/>
          <w:szCs w:val="20"/>
          <w:lang w:val="en-GB"/>
        </w:rPr>
        <w:t>Uslaner</w:t>
      </w:r>
      <w:proofErr w:type="spellEnd"/>
      <w:r w:rsidRPr="00BF68FC">
        <w:rPr>
          <w:rFonts w:asciiTheme="minorHAnsi" w:hAnsiTheme="minorHAnsi" w:cstheme="minorHAnsi"/>
          <w:color w:val="000000"/>
          <w:sz w:val="20"/>
          <w:szCs w:val="20"/>
          <w:lang w:val="en-GB"/>
        </w:rPr>
        <w:t xml:space="preserve">, 2002a; </w:t>
      </w:r>
      <w:proofErr w:type="spellStart"/>
      <w:r w:rsidRPr="00BF68FC">
        <w:rPr>
          <w:rFonts w:asciiTheme="minorHAnsi" w:hAnsiTheme="minorHAnsi" w:cstheme="minorHAnsi"/>
          <w:color w:val="000000"/>
          <w:sz w:val="20"/>
          <w:szCs w:val="20"/>
          <w:lang w:val="en-GB"/>
        </w:rPr>
        <w:t>Uslaner</w:t>
      </w:r>
      <w:proofErr w:type="spellEnd"/>
      <w:r w:rsidRPr="00BF68FC">
        <w:rPr>
          <w:rFonts w:asciiTheme="minorHAnsi" w:hAnsiTheme="minorHAnsi" w:cstheme="minorHAnsi"/>
          <w:color w:val="000000"/>
          <w:sz w:val="20"/>
          <w:szCs w:val="20"/>
          <w:lang w:val="en-GB"/>
        </w:rPr>
        <w:t xml:space="preserve"> &amp; Brown, 2005; Taniguchi, 2013; Taniguchi &amp; Marshall, 2014).</w:t>
      </w:r>
    </w:p>
    <w:p w14:paraId="005DD020" w14:textId="5B38BD16" w:rsidR="00774351" w:rsidRPr="00BF68FC" w:rsidRDefault="00774351" w:rsidP="00D61E61">
      <w:pPr>
        <w:pStyle w:val="NormalWeb"/>
        <w:jc w:val="both"/>
        <w:rPr>
          <w:rFonts w:asciiTheme="minorHAnsi" w:hAnsiTheme="minorHAnsi" w:cstheme="minorHAnsi"/>
          <w:color w:val="000000"/>
          <w:sz w:val="20"/>
          <w:szCs w:val="20"/>
          <w:lang w:val="en-GB"/>
        </w:rPr>
      </w:pPr>
      <w:r w:rsidRPr="00BF68FC">
        <w:rPr>
          <w:rFonts w:asciiTheme="minorHAnsi" w:hAnsiTheme="minorHAnsi" w:cstheme="minorHAnsi"/>
          <w:color w:val="000000"/>
          <w:sz w:val="20"/>
          <w:szCs w:val="20"/>
          <w:lang w:val="en-GB"/>
        </w:rPr>
        <w:t>Scholars provide various arguments to explain this positive relationship. A first explanation argues people with higher degrees of generalized social trust have a more optimistic view of humanity and of the world in general (</w:t>
      </w:r>
      <w:proofErr w:type="spellStart"/>
      <w:r w:rsidRPr="00BF68FC">
        <w:rPr>
          <w:rFonts w:asciiTheme="minorHAnsi" w:hAnsiTheme="minorHAnsi" w:cstheme="minorHAnsi"/>
          <w:color w:val="000000"/>
          <w:sz w:val="20"/>
          <w:szCs w:val="20"/>
          <w:lang w:val="en-GB"/>
        </w:rPr>
        <w:t>Uslaner</w:t>
      </w:r>
      <w:proofErr w:type="spellEnd"/>
      <w:r w:rsidRPr="00BF68FC">
        <w:rPr>
          <w:rFonts w:asciiTheme="minorHAnsi" w:hAnsiTheme="minorHAnsi" w:cstheme="minorHAnsi"/>
          <w:color w:val="000000"/>
          <w:sz w:val="20"/>
          <w:szCs w:val="20"/>
          <w:lang w:val="en-GB"/>
        </w:rPr>
        <w:t>, 1998; Yang, 2022; Liu et al., 2021). People with an optimistic worldview are less likely to see bad experiences with strangers as indicative of whether or not people in general can be trusted, leading to higher scores on questions measuring generalized social trust (</w:t>
      </w:r>
      <w:proofErr w:type="spellStart"/>
      <w:r w:rsidRPr="00BF68FC">
        <w:rPr>
          <w:rFonts w:asciiTheme="minorHAnsi" w:hAnsiTheme="minorHAnsi" w:cstheme="minorHAnsi"/>
          <w:color w:val="000000"/>
          <w:sz w:val="20"/>
          <w:szCs w:val="20"/>
          <w:lang w:val="en-GB"/>
        </w:rPr>
        <w:t>Uslaner</w:t>
      </w:r>
      <w:proofErr w:type="spellEnd"/>
      <w:r w:rsidRPr="00BF68FC">
        <w:rPr>
          <w:rFonts w:asciiTheme="minorHAnsi" w:hAnsiTheme="minorHAnsi" w:cstheme="minorHAnsi"/>
          <w:color w:val="000000"/>
          <w:sz w:val="20"/>
          <w:szCs w:val="20"/>
          <w:lang w:val="en-GB"/>
        </w:rPr>
        <w:t xml:space="preserve">, 1998). The optimism inherent to generalized social trust may be reflected in a tendency to believe that a person’s individual contribution of time will effectively help the recipients of their contribution (Yang, 2022; Taniguchi &amp; Marshall, 2014; </w:t>
      </w:r>
      <w:proofErr w:type="spellStart"/>
      <w:r w:rsidRPr="00BF68FC">
        <w:rPr>
          <w:rFonts w:asciiTheme="minorHAnsi" w:hAnsiTheme="minorHAnsi" w:cstheme="minorHAnsi"/>
          <w:color w:val="000000"/>
          <w:sz w:val="20"/>
          <w:szCs w:val="20"/>
          <w:lang w:val="en-GB"/>
        </w:rPr>
        <w:t>Uslaner</w:t>
      </w:r>
      <w:proofErr w:type="spellEnd"/>
      <w:r w:rsidRPr="00BF68FC">
        <w:rPr>
          <w:rFonts w:asciiTheme="minorHAnsi" w:hAnsiTheme="minorHAnsi" w:cstheme="minorHAnsi"/>
          <w:color w:val="000000"/>
          <w:sz w:val="20"/>
          <w:szCs w:val="20"/>
          <w:lang w:val="en-GB"/>
        </w:rPr>
        <w:t xml:space="preserve">, 2002). </w:t>
      </w:r>
      <w:r w:rsidR="00D61E61" w:rsidRPr="00BF68FC">
        <w:rPr>
          <w:rFonts w:asciiTheme="minorHAnsi" w:hAnsiTheme="minorHAnsi" w:cstheme="minorHAnsi"/>
          <w:color w:val="000000"/>
          <w:sz w:val="20"/>
          <w:szCs w:val="20"/>
          <w:lang w:val="en-GB"/>
        </w:rPr>
        <w:tab/>
      </w:r>
      <w:r w:rsidRPr="00BF68FC">
        <w:rPr>
          <w:rFonts w:asciiTheme="minorHAnsi" w:hAnsiTheme="minorHAnsi" w:cstheme="minorHAnsi"/>
          <w:color w:val="000000"/>
          <w:sz w:val="20"/>
          <w:szCs w:val="20"/>
          <w:lang w:val="en-GB"/>
        </w:rPr>
        <w:t>For the average person, choosing to engage in voluntarism is likely to involve some uncertainty about how effective a voluntary organization is at allocating the human resources they have at their disposal. An additional uncertainty is reflected in prospective volunteers’ knowledge of how effective their co-volunteers are at carrying out their tasks and collaborating with others. All other variables remaining equal, individuals with different levels of generalized social trust may respond differently to this uncertainty. If voluntarism is seen as an activity where individuals cooperate with others belonging to an “out-group” to contribute to the collective good, people with higher levels of generalized social trust may be more likely to participate in voluntary activity than those with less faith in unfamiliar others (</w:t>
      </w:r>
      <w:proofErr w:type="spellStart"/>
      <w:r w:rsidRPr="00BF68FC">
        <w:rPr>
          <w:rFonts w:asciiTheme="minorHAnsi" w:hAnsiTheme="minorHAnsi" w:cstheme="minorHAnsi"/>
          <w:color w:val="000000"/>
          <w:sz w:val="20"/>
          <w:szCs w:val="20"/>
          <w:lang w:val="en-GB"/>
        </w:rPr>
        <w:t>Uslaner</w:t>
      </w:r>
      <w:proofErr w:type="spellEnd"/>
      <w:r w:rsidRPr="00BF68FC">
        <w:rPr>
          <w:rFonts w:asciiTheme="minorHAnsi" w:hAnsiTheme="minorHAnsi" w:cstheme="minorHAnsi"/>
          <w:color w:val="000000"/>
          <w:sz w:val="20"/>
          <w:szCs w:val="20"/>
          <w:lang w:val="en-GB"/>
        </w:rPr>
        <w:t xml:space="preserve">, 2000). </w:t>
      </w:r>
      <w:r w:rsidR="00D61E61" w:rsidRPr="00BF68FC">
        <w:rPr>
          <w:rFonts w:asciiTheme="minorHAnsi" w:hAnsiTheme="minorHAnsi" w:cstheme="minorHAnsi"/>
          <w:color w:val="000000"/>
          <w:sz w:val="20"/>
          <w:szCs w:val="20"/>
          <w:lang w:val="en-GB"/>
        </w:rPr>
        <w:tab/>
      </w:r>
      <w:r w:rsidR="00D61E61" w:rsidRPr="00BF68FC">
        <w:rPr>
          <w:rFonts w:asciiTheme="minorHAnsi" w:hAnsiTheme="minorHAnsi" w:cstheme="minorHAnsi"/>
          <w:color w:val="000000"/>
          <w:sz w:val="20"/>
          <w:szCs w:val="20"/>
          <w:lang w:val="en-GB"/>
        </w:rPr>
        <w:tab/>
      </w:r>
      <w:r w:rsidR="00D61E61" w:rsidRPr="00BF68FC">
        <w:rPr>
          <w:rFonts w:asciiTheme="minorHAnsi" w:hAnsiTheme="minorHAnsi" w:cstheme="minorHAnsi"/>
          <w:color w:val="000000"/>
          <w:sz w:val="20"/>
          <w:szCs w:val="20"/>
          <w:lang w:val="en-GB"/>
        </w:rPr>
        <w:tab/>
      </w:r>
      <w:r w:rsidR="00D61E61" w:rsidRPr="00BF68FC">
        <w:rPr>
          <w:rFonts w:asciiTheme="minorHAnsi" w:hAnsiTheme="minorHAnsi" w:cstheme="minorHAnsi"/>
          <w:color w:val="000000"/>
          <w:sz w:val="20"/>
          <w:szCs w:val="20"/>
          <w:lang w:val="en-GB"/>
        </w:rPr>
        <w:tab/>
      </w:r>
      <w:r w:rsidR="00D61E61" w:rsidRPr="00BF68FC">
        <w:rPr>
          <w:rFonts w:asciiTheme="minorHAnsi" w:hAnsiTheme="minorHAnsi" w:cstheme="minorHAnsi"/>
          <w:color w:val="000000"/>
          <w:sz w:val="20"/>
          <w:szCs w:val="20"/>
          <w:lang w:val="en-GB"/>
        </w:rPr>
        <w:tab/>
      </w:r>
      <w:r w:rsidR="00D61E61" w:rsidRPr="00BF68FC">
        <w:rPr>
          <w:rFonts w:asciiTheme="minorHAnsi" w:hAnsiTheme="minorHAnsi" w:cstheme="minorHAnsi"/>
          <w:color w:val="000000"/>
          <w:sz w:val="20"/>
          <w:szCs w:val="20"/>
          <w:lang w:val="en-GB"/>
        </w:rPr>
        <w:tab/>
      </w:r>
      <w:r w:rsidRPr="00BF68FC">
        <w:rPr>
          <w:rFonts w:asciiTheme="minorHAnsi" w:hAnsiTheme="minorHAnsi" w:cstheme="minorHAnsi"/>
          <w:color w:val="000000"/>
          <w:sz w:val="20"/>
          <w:szCs w:val="20"/>
          <w:lang w:val="en-GB"/>
        </w:rPr>
        <w:t>People with more generalized social trust may be more likely to have faith in the good intentions of their co-volunteers and the employees involved in the management of the voluntary association (</w:t>
      </w:r>
      <w:proofErr w:type="spellStart"/>
      <w:r w:rsidRPr="00BF68FC">
        <w:rPr>
          <w:rFonts w:asciiTheme="minorHAnsi" w:hAnsiTheme="minorHAnsi" w:cstheme="minorHAnsi"/>
          <w:color w:val="000000"/>
          <w:sz w:val="20"/>
          <w:szCs w:val="20"/>
          <w:lang w:val="en-GB"/>
        </w:rPr>
        <w:t>Sonderskov</w:t>
      </w:r>
      <w:proofErr w:type="spellEnd"/>
      <w:r w:rsidRPr="00BF68FC">
        <w:rPr>
          <w:rFonts w:asciiTheme="minorHAnsi" w:hAnsiTheme="minorHAnsi" w:cstheme="minorHAnsi"/>
          <w:color w:val="000000"/>
          <w:sz w:val="20"/>
          <w:szCs w:val="20"/>
          <w:lang w:val="en-GB"/>
        </w:rPr>
        <w:t>, 2008b; Taniguchi, 2013). They may be less likely to assume their co-volunteers will take advantage of their voluntary efforts (</w:t>
      </w:r>
      <w:proofErr w:type="spellStart"/>
      <w:r w:rsidRPr="00BF68FC">
        <w:rPr>
          <w:rFonts w:asciiTheme="minorHAnsi" w:hAnsiTheme="minorHAnsi" w:cstheme="minorHAnsi"/>
          <w:color w:val="000000"/>
          <w:sz w:val="20"/>
          <w:szCs w:val="20"/>
          <w:lang w:val="en-GB"/>
        </w:rPr>
        <w:t>Sonderskov</w:t>
      </w:r>
      <w:proofErr w:type="spellEnd"/>
      <w:r w:rsidRPr="00BF68FC">
        <w:rPr>
          <w:rFonts w:asciiTheme="minorHAnsi" w:hAnsiTheme="minorHAnsi" w:cstheme="minorHAnsi"/>
          <w:color w:val="000000"/>
          <w:sz w:val="20"/>
          <w:szCs w:val="20"/>
          <w:lang w:val="en-GB"/>
        </w:rPr>
        <w:t>, 2011; Taniguchi, 2013) by, for example, scaling back their personal contribution based on others’ contributions. This expectation of effective collaboration and management may lead people with higher degrees of generalized social trust to anticipate their voluntary contribution will effectively help the recipient while incurring less costs (</w:t>
      </w:r>
      <w:proofErr w:type="spellStart"/>
      <w:r w:rsidRPr="00BF68FC">
        <w:rPr>
          <w:rFonts w:asciiTheme="minorHAnsi" w:hAnsiTheme="minorHAnsi" w:cstheme="minorHAnsi"/>
          <w:color w:val="000000"/>
          <w:sz w:val="20"/>
          <w:szCs w:val="20"/>
          <w:lang w:val="en-GB"/>
        </w:rPr>
        <w:t>Sonderskov</w:t>
      </w:r>
      <w:proofErr w:type="spellEnd"/>
      <w:r w:rsidRPr="00BF68FC">
        <w:rPr>
          <w:rFonts w:asciiTheme="minorHAnsi" w:hAnsiTheme="minorHAnsi" w:cstheme="minorHAnsi"/>
          <w:color w:val="000000"/>
          <w:sz w:val="20"/>
          <w:szCs w:val="20"/>
          <w:lang w:val="en-GB"/>
        </w:rPr>
        <w:t>, 2011; Yamagishi &amp; Yamagishi, 1994). As individuals are likely more inclined to volunteer when they believe their contribution will be effective (Bekkers, 2010), individuals with more generalized social trust may be more likely to volunteer and may volunteer more hours than their less-trusting counterparts.</w:t>
      </w:r>
    </w:p>
    <w:p w14:paraId="2A061A6B" w14:textId="77777777" w:rsidR="00774351" w:rsidRPr="00BF68FC" w:rsidRDefault="00774351" w:rsidP="00774351">
      <w:pPr>
        <w:pStyle w:val="NormalWeb"/>
        <w:jc w:val="both"/>
        <w:rPr>
          <w:rFonts w:asciiTheme="minorHAnsi" w:hAnsiTheme="minorHAnsi" w:cstheme="minorHAnsi"/>
          <w:color w:val="000000"/>
          <w:sz w:val="20"/>
          <w:szCs w:val="20"/>
          <w:lang w:val="en-GB"/>
        </w:rPr>
      </w:pPr>
      <w:r w:rsidRPr="00BF68FC">
        <w:rPr>
          <w:rFonts w:asciiTheme="minorHAnsi" w:hAnsiTheme="minorHAnsi" w:cstheme="minorHAnsi"/>
          <w:color w:val="000000"/>
          <w:sz w:val="20"/>
          <w:szCs w:val="20"/>
          <w:lang w:val="en-GB"/>
        </w:rPr>
        <w:t xml:space="preserve">A second explanation argues individuals with more generalized social trust are more likely to volunteer because they are more likely to be asked (Taniguchi &amp; Marshall, 2014; </w:t>
      </w:r>
      <w:proofErr w:type="spellStart"/>
      <w:r w:rsidRPr="00BF68FC">
        <w:rPr>
          <w:rFonts w:asciiTheme="minorHAnsi" w:hAnsiTheme="minorHAnsi" w:cstheme="minorHAnsi"/>
          <w:color w:val="000000"/>
          <w:sz w:val="20"/>
          <w:szCs w:val="20"/>
          <w:lang w:val="en-GB"/>
        </w:rPr>
        <w:t>Hommerich</w:t>
      </w:r>
      <w:proofErr w:type="spellEnd"/>
      <w:r w:rsidRPr="00BF68FC">
        <w:rPr>
          <w:rFonts w:asciiTheme="minorHAnsi" w:hAnsiTheme="minorHAnsi" w:cstheme="minorHAnsi"/>
          <w:color w:val="000000"/>
          <w:sz w:val="20"/>
          <w:szCs w:val="20"/>
          <w:lang w:val="en-GB"/>
        </w:rPr>
        <w:t>, 2015; Yang, 2022). As more generalized social trust translates to a larger radius of trust (Fukuyama, 2001), trusting people are willingly exposed to a larger group of people. People that are regularly in contact with a large and diverse group of their peers may be more likely to have someone in their social environment that will ask them to volunteer, exposing them to more opportunities wherein they are able to engage in volunteering (</w:t>
      </w:r>
      <w:proofErr w:type="spellStart"/>
      <w:r w:rsidRPr="00BF68FC">
        <w:rPr>
          <w:rFonts w:asciiTheme="minorHAnsi" w:hAnsiTheme="minorHAnsi" w:cstheme="minorHAnsi"/>
          <w:color w:val="000000"/>
          <w:sz w:val="20"/>
          <w:szCs w:val="20"/>
          <w:lang w:val="en-GB"/>
        </w:rPr>
        <w:t>Sonderskov</w:t>
      </w:r>
      <w:proofErr w:type="spellEnd"/>
      <w:r w:rsidRPr="00BF68FC">
        <w:rPr>
          <w:rFonts w:asciiTheme="minorHAnsi" w:hAnsiTheme="minorHAnsi" w:cstheme="minorHAnsi"/>
          <w:color w:val="000000"/>
          <w:sz w:val="20"/>
          <w:szCs w:val="20"/>
          <w:lang w:val="en-GB"/>
        </w:rPr>
        <w:t xml:space="preserve">, 2011; </w:t>
      </w:r>
      <w:proofErr w:type="spellStart"/>
      <w:r w:rsidRPr="00BF68FC">
        <w:rPr>
          <w:rFonts w:asciiTheme="minorHAnsi" w:hAnsiTheme="minorHAnsi" w:cstheme="minorHAnsi"/>
          <w:color w:val="000000"/>
          <w:sz w:val="20"/>
          <w:szCs w:val="20"/>
          <w:lang w:val="en-GB"/>
        </w:rPr>
        <w:t>Bekkers</w:t>
      </w:r>
      <w:proofErr w:type="spellEnd"/>
      <w:r w:rsidRPr="00BF68FC">
        <w:rPr>
          <w:rFonts w:asciiTheme="minorHAnsi" w:hAnsiTheme="minorHAnsi" w:cstheme="minorHAnsi"/>
          <w:color w:val="000000"/>
          <w:sz w:val="20"/>
          <w:szCs w:val="20"/>
          <w:lang w:val="en-GB"/>
        </w:rPr>
        <w:t xml:space="preserve">, 2012; Taniguchi &amp; Marshall, 2014; </w:t>
      </w:r>
      <w:proofErr w:type="spellStart"/>
      <w:r w:rsidRPr="00BF68FC">
        <w:rPr>
          <w:rFonts w:asciiTheme="minorHAnsi" w:hAnsiTheme="minorHAnsi" w:cstheme="minorHAnsi"/>
          <w:color w:val="000000"/>
          <w:sz w:val="20"/>
          <w:szCs w:val="20"/>
          <w:lang w:val="en-GB"/>
        </w:rPr>
        <w:t>Hommerich</w:t>
      </w:r>
      <w:proofErr w:type="spellEnd"/>
      <w:r w:rsidRPr="00BF68FC">
        <w:rPr>
          <w:rFonts w:asciiTheme="minorHAnsi" w:hAnsiTheme="minorHAnsi" w:cstheme="minorHAnsi"/>
          <w:color w:val="000000"/>
          <w:sz w:val="20"/>
          <w:szCs w:val="20"/>
          <w:lang w:val="en-GB"/>
        </w:rPr>
        <w:t xml:space="preserve">, 2015). </w:t>
      </w:r>
    </w:p>
    <w:p w14:paraId="47303697" w14:textId="77777777" w:rsidR="00774351" w:rsidRPr="00BF68FC" w:rsidRDefault="00774351" w:rsidP="00774351">
      <w:pPr>
        <w:pStyle w:val="NormalWeb"/>
        <w:jc w:val="both"/>
        <w:rPr>
          <w:rFonts w:asciiTheme="minorHAnsi" w:hAnsiTheme="minorHAnsi" w:cstheme="minorHAnsi"/>
          <w:color w:val="000000"/>
          <w:sz w:val="20"/>
          <w:szCs w:val="20"/>
          <w:lang w:val="en-GB"/>
        </w:rPr>
      </w:pPr>
      <w:r w:rsidRPr="00BF68FC">
        <w:rPr>
          <w:rFonts w:asciiTheme="minorHAnsi" w:hAnsiTheme="minorHAnsi" w:cstheme="minorHAnsi"/>
          <w:color w:val="000000"/>
          <w:sz w:val="20"/>
          <w:szCs w:val="20"/>
          <w:lang w:val="en-GB"/>
        </w:rPr>
        <w:t xml:space="preserve">Empirical evidence on the relationship between generalized social trust and volunteering is relatively sparse. In Japan, Taniguchi found a significant and positive relationship between generalized social trust and irregular volunteering (Taniguchi, 2013), but did not find a statistically significant relationship between generalized social trust and regular volunteering (Taniguchi, 2013; Taniguchi &amp; Marshall, 2014). Studies focused on the Netherlands have generally found a significant positive relationship between trust and volunteering (Bekkers &amp; Schuyt, 2008; Bekkers, 2012; van Ingen &amp; Bekkers, 2015?), indicating more people that are more trusting are more likely to volunteer. Despite a lack of empirical evidence, the theoretical logic still holds. Hence, our third hypothesis reads: </w:t>
      </w:r>
    </w:p>
    <w:p w14:paraId="6A605CF2" w14:textId="0DDAAF26" w:rsidR="00A147CF" w:rsidRPr="00BF68FC" w:rsidRDefault="00774351" w:rsidP="00A147CF">
      <w:pPr>
        <w:pStyle w:val="NormalWeb"/>
        <w:jc w:val="both"/>
        <w:rPr>
          <w:rFonts w:asciiTheme="minorHAnsi" w:hAnsiTheme="minorHAnsi" w:cstheme="minorHAnsi"/>
          <w:color w:val="000000"/>
          <w:sz w:val="20"/>
          <w:szCs w:val="20"/>
          <w:lang w:val="en-GB"/>
        </w:rPr>
      </w:pPr>
      <w:r w:rsidRPr="00BF68FC">
        <w:rPr>
          <w:rFonts w:asciiTheme="minorHAnsi" w:hAnsiTheme="minorHAnsi" w:cstheme="minorHAnsi"/>
          <w:color w:val="000000"/>
          <w:sz w:val="20"/>
          <w:szCs w:val="20"/>
          <w:lang w:val="en-GB"/>
        </w:rPr>
        <w:lastRenderedPageBreak/>
        <w:t xml:space="preserve">H3: A decrease in general social trust will lead to a decrease in an individual’s propensity to volunteer and the number of hours they spend volunteering. </w:t>
      </w:r>
    </w:p>
    <w:p w14:paraId="4CAF8B50" w14:textId="77777777" w:rsidR="00A147CF" w:rsidRPr="00BF68FC" w:rsidRDefault="00A147CF" w:rsidP="00A147CF">
      <w:pPr>
        <w:pStyle w:val="NormalWeb"/>
        <w:jc w:val="both"/>
        <w:rPr>
          <w:rFonts w:asciiTheme="minorHAnsi" w:hAnsiTheme="minorHAnsi" w:cstheme="minorHAnsi"/>
          <w:color w:val="000000"/>
          <w:sz w:val="20"/>
          <w:szCs w:val="20"/>
          <w:lang w:val="en-GB"/>
        </w:rPr>
      </w:pPr>
    </w:p>
    <w:p w14:paraId="3E506D2E" w14:textId="0E8CF08E" w:rsidR="00487661" w:rsidRPr="00541434" w:rsidRDefault="00541434" w:rsidP="00541434">
      <w:pPr>
        <w:jc w:val="both"/>
        <w:rPr>
          <w:b/>
          <w:bCs/>
          <w:sz w:val="20"/>
          <w:szCs w:val="20"/>
        </w:rPr>
      </w:pPr>
      <w:r>
        <w:rPr>
          <w:b/>
          <w:bCs/>
          <w:sz w:val="20"/>
          <w:szCs w:val="20"/>
        </w:rPr>
        <w:t xml:space="preserve">4. </w:t>
      </w:r>
      <w:r w:rsidR="00121886">
        <w:rPr>
          <w:b/>
          <w:bCs/>
          <w:sz w:val="20"/>
          <w:szCs w:val="20"/>
        </w:rPr>
        <w:tab/>
      </w:r>
      <w:r w:rsidR="00E03CB5" w:rsidRPr="00541434">
        <w:rPr>
          <w:b/>
          <w:bCs/>
          <w:sz w:val="20"/>
          <w:szCs w:val="20"/>
        </w:rPr>
        <w:t xml:space="preserve">Data </w:t>
      </w:r>
      <w:bookmarkStart w:id="0" w:name="_Toc130996669"/>
    </w:p>
    <w:bookmarkEnd w:id="0"/>
    <w:p w14:paraId="1446BC3B" w14:textId="794126BD" w:rsidR="00487661" w:rsidRPr="00BF68FC" w:rsidRDefault="00487661" w:rsidP="00487661">
      <w:pPr>
        <w:jc w:val="both"/>
        <w:rPr>
          <w:rFonts w:cstheme="minorHAnsi"/>
          <w:sz w:val="20"/>
          <w:szCs w:val="20"/>
        </w:rPr>
      </w:pPr>
      <w:r w:rsidRPr="00BF68FC">
        <w:rPr>
          <w:rFonts w:cstheme="minorHAnsi"/>
          <w:sz w:val="20"/>
          <w:szCs w:val="20"/>
        </w:rPr>
        <w:t xml:space="preserve">In this study, we focus on data from the Netherlands and combine two data sources. Micro-level data were obtained from the Giving in the Netherlands Panel Survey (GINPS) – a panel survey focused on assessing the giving behavior of respondents in the Netherlands </w:t>
      </w:r>
      <w:sdt>
        <w:sdtPr>
          <w:rPr>
            <w:rFonts w:cstheme="minorHAnsi"/>
            <w:sz w:val="20"/>
            <w:szCs w:val="20"/>
          </w:rPr>
          <w:id w:val="-1373771159"/>
          <w:citation/>
        </w:sdtPr>
        <w:sdtContent>
          <w:r w:rsidRPr="00BF68FC">
            <w:rPr>
              <w:rFonts w:cstheme="minorHAnsi"/>
              <w:sz w:val="20"/>
              <w:szCs w:val="20"/>
            </w:rPr>
            <w:fldChar w:fldCharType="begin"/>
          </w:r>
          <w:r w:rsidRPr="00BF68FC">
            <w:rPr>
              <w:rFonts w:cstheme="minorHAnsi"/>
              <w:sz w:val="20"/>
              <w:szCs w:val="20"/>
            </w:rPr>
            <w:instrText xml:space="preserve">CITATION Ren171 \l 1043 </w:instrText>
          </w:r>
          <w:r w:rsidRPr="00BF68FC">
            <w:rPr>
              <w:rFonts w:cstheme="minorHAnsi"/>
              <w:sz w:val="20"/>
              <w:szCs w:val="20"/>
            </w:rPr>
            <w:fldChar w:fldCharType="separate"/>
          </w:r>
          <w:r w:rsidR="00DC4C76" w:rsidRPr="00BF68FC">
            <w:rPr>
              <w:rFonts w:cstheme="minorHAnsi"/>
              <w:noProof/>
              <w:sz w:val="20"/>
              <w:szCs w:val="20"/>
            </w:rPr>
            <w:t>(Bekkers R. , Schuyt, Gouwenberg, de Wit, &amp; van Teunenbroek, 2021)</w:t>
          </w:r>
          <w:r w:rsidRPr="00BF68FC">
            <w:rPr>
              <w:rFonts w:cstheme="minorHAnsi"/>
              <w:sz w:val="20"/>
              <w:szCs w:val="20"/>
            </w:rPr>
            <w:fldChar w:fldCharType="end"/>
          </w:r>
        </w:sdtContent>
      </w:sdt>
      <w:r w:rsidRPr="00BF68FC">
        <w:rPr>
          <w:rFonts w:cstheme="minorHAnsi"/>
          <w:sz w:val="20"/>
          <w:szCs w:val="20"/>
        </w:rPr>
        <w:t xml:space="preserve">. Municipal-level data were drawn from a data source containing information on wealth and income per household quintile, region, and year provided by the Dutch Central Bureau for Statistics’ (CBS) open data platform (Centraal Bureau voor Statistiek, 2021; Centraal Bureau voor Statistiek, 2022). </w:t>
      </w:r>
    </w:p>
    <w:p w14:paraId="0E6CA7F5" w14:textId="1CCD1BC5" w:rsidR="00487661" w:rsidRPr="00BF68FC" w:rsidRDefault="00487661" w:rsidP="00AE47D9">
      <w:pPr>
        <w:jc w:val="both"/>
        <w:rPr>
          <w:rFonts w:cstheme="minorHAnsi"/>
          <w:sz w:val="20"/>
          <w:szCs w:val="20"/>
        </w:rPr>
      </w:pPr>
      <w:r w:rsidRPr="00BF68FC">
        <w:rPr>
          <w:rFonts w:cstheme="minorHAnsi"/>
          <w:sz w:val="20"/>
          <w:szCs w:val="20"/>
        </w:rPr>
        <w:t xml:space="preserve">The CBS dataset detailed household characteristics across Dutch municipalities, spanning a period from 2006 to 2019. Context-level data obtained for the years that respondents in the GINPS reported about. As a result of this the analysis was limited to data from the 2006, 2008, 2010, 2012, 2014, 2016, and 2019 waves. The CBS municipal level data provide measures of the wealth and income distribution and the demographic composition of the population of Dutch municipalities through the covered years. In addition to context-level data on wealth and income distribution, data on context-level control variables such as the average municipal home value and municipal educational attainment </w:t>
      </w:r>
      <w:sdt>
        <w:sdtPr>
          <w:rPr>
            <w:rFonts w:cstheme="minorHAnsi"/>
            <w:sz w:val="20"/>
            <w:szCs w:val="20"/>
          </w:rPr>
          <w:id w:val="-387106135"/>
          <w:citation/>
        </w:sdtPr>
        <w:sdtContent>
          <w:r w:rsidRPr="00BF68FC">
            <w:rPr>
              <w:rFonts w:cstheme="minorHAnsi"/>
              <w:sz w:val="20"/>
              <w:szCs w:val="20"/>
            </w:rPr>
            <w:fldChar w:fldCharType="begin"/>
          </w:r>
          <w:r w:rsidRPr="00BF68FC">
            <w:rPr>
              <w:rFonts w:cstheme="minorHAnsi"/>
              <w:sz w:val="20"/>
              <w:szCs w:val="20"/>
            </w:rPr>
            <w:instrText xml:space="preserve"> CITATION Cen22 \l 1043 </w:instrText>
          </w:r>
          <w:r w:rsidRPr="00BF68FC">
            <w:rPr>
              <w:rFonts w:cstheme="minorHAnsi"/>
              <w:sz w:val="20"/>
              <w:szCs w:val="20"/>
            </w:rPr>
            <w:fldChar w:fldCharType="separate"/>
          </w:r>
          <w:r w:rsidR="00DC4C76" w:rsidRPr="00BF68FC">
            <w:rPr>
              <w:rFonts w:cstheme="minorHAnsi"/>
              <w:noProof/>
              <w:sz w:val="20"/>
              <w:szCs w:val="20"/>
            </w:rPr>
            <w:t>(Centraal Bureau voor Statistiek, 2022)</w:t>
          </w:r>
          <w:r w:rsidRPr="00BF68FC">
            <w:rPr>
              <w:rFonts w:cstheme="minorHAnsi"/>
              <w:sz w:val="20"/>
              <w:szCs w:val="20"/>
            </w:rPr>
            <w:fldChar w:fldCharType="end"/>
          </w:r>
        </w:sdtContent>
      </w:sdt>
      <w:r w:rsidRPr="00BF68FC">
        <w:rPr>
          <w:rFonts w:cstheme="minorHAnsi"/>
          <w:sz w:val="20"/>
          <w:szCs w:val="20"/>
        </w:rPr>
        <w:t xml:space="preserve">.  </w:t>
      </w:r>
      <w:r w:rsidRPr="00BF68FC">
        <w:rPr>
          <w:rFonts w:cstheme="minorHAnsi"/>
          <w:sz w:val="20"/>
          <w:szCs w:val="20"/>
        </w:rPr>
        <w:tab/>
      </w:r>
      <w:r w:rsidRPr="00BF68FC">
        <w:rPr>
          <w:rFonts w:cstheme="minorHAnsi"/>
          <w:sz w:val="20"/>
          <w:szCs w:val="20"/>
        </w:rPr>
        <w:tab/>
      </w:r>
      <w:r w:rsidRPr="00BF68FC">
        <w:rPr>
          <w:rFonts w:cstheme="minorHAnsi"/>
          <w:sz w:val="20"/>
          <w:szCs w:val="20"/>
        </w:rPr>
        <w:tab/>
      </w:r>
      <w:bookmarkStart w:id="1" w:name="_Toc130996671"/>
    </w:p>
    <w:p w14:paraId="79740B49" w14:textId="4FF52930" w:rsidR="00487661" w:rsidRPr="00AE47D9" w:rsidRDefault="00AE47D9" w:rsidP="00AE47D9">
      <w:pPr>
        <w:rPr>
          <w:i/>
          <w:iCs/>
          <w:sz w:val="20"/>
          <w:szCs w:val="20"/>
        </w:rPr>
      </w:pPr>
      <w:r w:rsidRPr="00AE47D9">
        <w:rPr>
          <w:i/>
          <w:iCs/>
          <w:sz w:val="20"/>
          <w:szCs w:val="20"/>
        </w:rPr>
        <w:t>4.</w:t>
      </w:r>
      <w:r w:rsidR="00541434">
        <w:rPr>
          <w:i/>
          <w:iCs/>
          <w:sz w:val="20"/>
          <w:szCs w:val="20"/>
        </w:rPr>
        <w:t>1</w:t>
      </w:r>
      <w:r w:rsidRPr="00AE47D9">
        <w:rPr>
          <w:i/>
          <w:iCs/>
          <w:sz w:val="20"/>
          <w:szCs w:val="20"/>
        </w:rPr>
        <w:t xml:space="preserve"> </w:t>
      </w:r>
      <w:r w:rsidR="00121886">
        <w:rPr>
          <w:i/>
          <w:iCs/>
          <w:sz w:val="20"/>
          <w:szCs w:val="20"/>
        </w:rPr>
        <w:tab/>
      </w:r>
      <w:r w:rsidR="00487661" w:rsidRPr="00AE47D9">
        <w:rPr>
          <w:i/>
          <w:iCs/>
          <w:sz w:val="20"/>
          <w:szCs w:val="20"/>
        </w:rPr>
        <w:t>Dependent Variables</w:t>
      </w:r>
      <w:bookmarkEnd w:id="1"/>
    </w:p>
    <w:p w14:paraId="73E1F2F1" w14:textId="77777777" w:rsidR="00487661" w:rsidRPr="00BF68FC" w:rsidRDefault="00487661" w:rsidP="00487661">
      <w:pPr>
        <w:jc w:val="both"/>
        <w:rPr>
          <w:rFonts w:cstheme="minorHAnsi"/>
          <w:sz w:val="20"/>
          <w:szCs w:val="20"/>
        </w:rPr>
      </w:pPr>
      <w:r w:rsidRPr="00BF68FC">
        <w:rPr>
          <w:rFonts w:cstheme="minorHAnsi"/>
          <w:sz w:val="20"/>
          <w:szCs w:val="20"/>
        </w:rPr>
        <w:t xml:space="preserve">The incidence of volunteering was measured through 20 sectors – respondents were asked whether they volunteered in a sector in the past 12 months. Answers were accumulated into a dichotomized variable </w:t>
      </w:r>
      <w:r w:rsidRPr="00BF68FC">
        <w:rPr>
          <w:rFonts w:cstheme="minorHAnsi"/>
          <w:i/>
          <w:iCs/>
          <w:sz w:val="20"/>
          <w:szCs w:val="20"/>
        </w:rPr>
        <w:t>Volunteering or Not</w:t>
      </w:r>
      <w:r w:rsidRPr="00BF68FC">
        <w:rPr>
          <w:rFonts w:cstheme="minorHAnsi"/>
          <w:sz w:val="20"/>
          <w:szCs w:val="20"/>
        </w:rPr>
        <w:t xml:space="preserve"> – with 0 representing respondents who did not volunteer at all in the relevant year and 1 representing respondents who volunteered in one or more of the sectors provided. </w:t>
      </w:r>
      <w:r w:rsidRPr="00BF68FC">
        <w:rPr>
          <w:rFonts w:cstheme="minorHAnsi"/>
          <w:sz w:val="20"/>
          <w:szCs w:val="20"/>
        </w:rPr>
        <w:tab/>
      </w:r>
      <w:r w:rsidRPr="00BF68FC">
        <w:rPr>
          <w:rFonts w:cstheme="minorHAnsi"/>
          <w:sz w:val="20"/>
          <w:szCs w:val="20"/>
        </w:rPr>
        <w:tab/>
      </w:r>
      <w:r w:rsidRPr="00BF68FC">
        <w:rPr>
          <w:rFonts w:cstheme="minorHAnsi"/>
          <w:sz w:val="20"/>
          <w:szCs w:val="20"/>
        </w:rPr>
        <w:tab/>
      </w:r>
      <w:r w:rsidRPr="00BF68FC">
        <w:rPr>
          <w:rFonts w:cstheme="minorHAnsi"/>
          <w:sz w:val="20"/>
          <w:szCs w:val="20"/>
        </w:rPr>
        <w:tab/>
      </w:r>
      <w:r w:rsidRPr="00BF68FC">
        <w:rPr>
          <w:rFonts w:cstheme="minorHAnsi"/>
          <w:sz w:val="20"/>
          <w:szCs w:val="20"/>
        </w:rPr>
        <w:tab/>
      </w:r>
      <w:r w:rsidRPr="00BF68FC">
        <w:rPr>
          <w:rFonts w:cstheme="minorHAnsi"/>
          <w:sz w:val="20"/>
          <w:szCs w:val="20"/>
        </w:rPr>
        <w:tab/>
      </w:r>
      <w:r w:rsidRPr="00BF68FC">
        <w:rPr>
          <w:rFonts w:cstheme="minorHAnsi"/>
          <w:sz w:val="20"/>
          <w:szCs w:val="20"/>
        </w:rPr>
        <w:tab/>
      </w:r>
      <w:r w:rsidRPr="00BF68FC">
        <w:rPr>
          <w:rFonts w:cstheme="minorHAnsi"/>
          <w:sz w:val="20"/>
          <w:szCs w:val="20"/>
        </w:rPr>
        <w:tab/>
      </w:r>
      <w:r w:rsidRPr="00BF68FC">
        <w:rPr>
          <w:rFonts w:cstheme="minorHAnsi"/>
          <w:sz w:val="20"/>
          <w:szCs w:val="20"/>
        </w:rPr>
        <w:tab/>
      </w:r>
      <w:r w:rsidRPr="00BF68FC">
        <w:rPr>
          <w:rFonts w:cstheme="minorHAnsi"/>
          <w:sz w:val="20"/>
          <w:szCs w:val="20"/>
        </w:rPr>
        <w:tab/>
      </w:r>
      <w:r w:rsidRPr="00BF68FC">
        <w:rPr>
          <w:rFonts w:cstheme="minorHAnsi"/>
          <w:sz w:val="20"/>
          <w:szCs w:val="20"/>
        </w:rPr>
        <w:tab/>
      </w:r>
    </w:p>
    <w:p w14:paraId="3E31F878" w14:textId="77777777" w:rsidR="00487661" w:rsidRPr="00BF68FC" w:rsidRDefault="00487661" w:rsidP="00487661">
      <w:pPr>
        <w:jc w:val="both"/>
        <w:rPr>
          <w:rFonts w:cstheme="minorHAnsi"/>
          <w:sz w:val="20"/>
          <w:szCs w:val="20"/>
        </w:rPr>
      </w:pPr>
      <w:r w:rsidRPr="00BF68FC">
        <w:rPr>
          <w:rFonts w:cstheme="minorHAnsi"/>
          <w:sz w:val="20"/>
          <w:szCs w:val="20"/>
        </w:rPr>
        <w:t>The hours spent volunteering</w:t>
      </w:r>
      <w:r w:rsidRPr="00BF68FC">
        <w:rPr>
          <w:rFonts w:cstheme="minorHAnsi"/>
          <w:b/>
          <w:bCs/>
          <w:sz w:val="20"/>
          <w:szCs w:val="20"/>
        </w:rPr>
        <w:t xml:space="preserve"> </w:t>
      </w:r>
      <w:r w:rsidRPr="00BF68FC">
        <w:rPr>
          <w:rFonts w:cstheme="minorHAnsi"/>
          <w:sz w:val="20"/>
          <w:szCs w:val="20"/>
        </w:rPr>
        <w:t xml:space="preserve">were measured through the statement </w:t>
      </w:r>
      <w:r w:rsidRPr="00BF68FC">
        <w:rPr>
          <w:rFonts w:cstheme="minorHAnsi"/>
          <w:i/>
          <w:iCs/>
          <w:sz w:val="20"/>
          <w:szCs w:val="20"/>
        </w:rPr>
        <w:t>Hours spent volunteering per month</w:t>
      </w:r>
      <w:r w:rsidRPr="00BF68FC">
        <w:rPr>
          <w:rFonts w:cstheme="minorHAnsi"/>
          <w:sz w:val="20"/>
          <w:szCs w:val="20"/>
        </w:rPr>
        <w:t xml:space="preserve">, after which respondents were able to fill in their respective hours spent volunteering. The variable was recoded so as to include respondents who did not volunteer in the past year, given the value 0 in the new variable. A small number of respondents reported an unrealistically high number of hours spent volunteering. To prevent these values from influencing the analysis, the variable was </w:t>
      </w:r>
      <w:proofErr w:type="spellStart"/>
      <w:r w:rsidRPr="00BF68FC">
        <w:rPr>
          <w:rFonts w:cstheme="minorHAnsi"/>
          <w:sz w:val="20"/>
          <w:szCs w:val="20"/>
        </w:rPr>
        <w:t>winsorized</w:t>
      </w:r>
      <w:proofErr w:type="spellEnd"/>
      <w:r w:rsidRPr="00BF68FC">
        <w:rPr>
          <w:rFonts w:cstheme="minorHAnsi"/>
          <w:sz w:val="20"/>
          <w:szCs w:val="20"/>
        </w:rPr>
        <w:t xml:space="preserve"> at the 99</w:t>
      </w:r>
      <w:r w:rsidRPr="00BF68FC">
        <w:rPr>
          <w:rFonts w:cstheme="minorHAnsi"/>
          <w:sz w:val="20"/>
          <w:szCs w:val="20"/>
          <w:vertAlign w:val="superscript"/>
        </w:rPr>
        <w:t>th</w:t>
      </w:r>
      <w:r w:rsidRPr="00BF68FC">
        <w:rPr>
          <w:rFonts w:cstheme="minorHAnsi"/>
          <w:sz w:val="20"/>
          <w:szCs w:val="20"/>
        </w:rPr>
        <w:t xml:space="preserve"> percentile. A variable measuring the propensity to volunteer was included in the analysis by recoding this variable into a dichotomous variable. Individuals who spent no hours volunteering were assigned the value 0.</w:t>
      </w:r>
    </w:p>
    <w:p w14:paraId="1E15E33F" w14:textId="0B39F9B9" w:rsidR="00487661" w:rsidRPr="00AE47D9" w:rsidRDefault="00AE47D9" w:rsidP="00487661">
      <w:pPr>
        <w:pStyle w:val="Heading3"/>
        <w:rPr>
          <w:rFonts w:asciiTheme="minorHAnsi" w:hAnsiTheme="minorHAnsi" w:cstheme="minorHAnsi"/>
          <w:i/>
          <w:iCs/>
          <w:color w:val="auto"/>
          <w:sz w:val="20"/>
          <w:szCs w:val="20"/>
          <w:lang w:val="en-GB"/>
        </w:rPr>
      </w:pPr>
      <w:bookmarkStart w:id="2" w:name="_Toc130996672"/>
      <w:r w:rsidRPr="00AE47D9">
        <w:rPr>
          <w:rFonts w:asciiTheme="minorHAnsi" w:hAnsiTheme="minorHAnsi" w:cstheme="minorHAnsi"/>
          <w:i/>
          <w:iCs/>
          <w:color w:val="auto"/>
          <w:sz w:val="20"/>
          <w:szCs w:val="20"/>
          <w:lang w:val="en-GB"/>
        </w:rPr>
        <w:t xml:space="preserve">4.2 </w:t>
      </w:r>
      <w:r w:rsidR="00121886">
        <w:rPr>
          <w:rFonts w:asciiTheme="minorHAnsi" w:hAnsiTheme="minorHAnsi" w:cstheme="minorHAnsi"/>
          <w:i/>
          <w:iCs/>
          <w:color w:val="auto"/>
          <w:sz w:val="20"/>
          <w:szCs w:val="20"/>
          <w:lang w:val="en-GB"/>
        </w:rPr>
        <w:tab/>
      </w:r>
      <w:r w:rsidR="00487661" w:rsidRPr="00AE47D9">
        <w:rPr>
          <w:rFonts w:asciiTheme="minorHAnsi" w:hAnsiTheme="minorHAnsi" w:cstheme="minorHAnsi"/>
          <w:i/>
          <w:iCs/>
          <w:color w:val="auto"/>
          <w:sz w:val="20"/>
          <w:szCs w:val="20"/>
          <w:lang w:val="en-GB"/>
        </w:rPr>
        <w:t>Independent Variables</w:t>
      </w:r>
      <w:bookmarkEnd w:id="2"/>
    </w:p>
    <w:p w14:paraId="48BB9E96" w14:textId="77777777" w:rsidR="00487661" w:rsidRPr="00BF68FC" w:rsidRDefault="00487661" w:rsidP="00487661">
      <w:pPr>
        <w:pStyle w:val="Heading4"/>
        <w:rPr>
          <w:rFonts w:asciiTheme="minorHAnsi" w:hAnsiTheme="minorHAnsi" w:cstheme="minorHAnsi"/>
          <w:color w:val="auto"/>
          <w:sz w:val="20"/>
          <w:szCs w:val="20"/>
          <w:lang w:val="en-GB"/>
        </w:rPr>
      </w:pPr>
      <w:r w:rsidRPr="00BF68FC">
        <w:rPr>
          <w:rFonts w:asciiTheme="minorHAnsi" w:hAnsiTheme="minorHAnsi" w:cstheme="minorHAnsi"/>
          <w:color w:val="auto"/>
          <w:sz w:val="20"/>
          <w:szCs w:val="20"/>
          <w:lang w:val="en-GB"/>
        </w:rPr>
        <w:t xml:space="preserve">Context-level: Wealth inequality </w:t>
      </w:r>
    </w:p>
    <w:p w14:paraId="60BFAAE5" w14:textId="218933B3" w:rsidR="00487661" w:rsidRPr="00BF68FC" w:rsidRDefault="00487661" w:rsidP="00487661">
      <w:pPr>
        <w:jc w:val="both"/>
        <w:rPr>
          <w:rFonts w:cstheme="minorHAnsi"/>
          <w:sz w:val="20"/>
          <w:szCs w:val="20"/>
        </w:rPr>
      </w:pPr>
      <w:r w:rsidRPr="00BF68FC">
        <w:rPr>
          <w:rFonts w:cstheme="minorHAnsi"/>
          <w:sz w:val="20"/>
          <w:szCs w:val="20"/>
        </w:rPr>
        <w:t xml:space="preserve">Measurements of wealth distribution at the municipal level refer to “the sum of all assets and debts” – with assets being defined as “financial assets, real-estate, and business assets” </w:t>
      </w:r>
      <w:sdt>
        <w:sdtPr>
          <w:rPr>
            <w:rFonts w:cstheme="minorHAnsi"/>
            <w:sz w:val="20"/>
            <w:szCs w:val="20"/>
          </w:rPr>
          <w:id w:val="-54549200"/>
          <w:citation/>
        </w:sdtPr>
        <w:sdtContent>
          <w:r w:rsidRPr="00BF68FC">
            <w:rPr>
              <w:rFonts w:cstheme="minorHAnsi"/>
              <w:sz w:val="20"/>
              <w:szCs w:val="20"/>
            </w:rPr>
            <w:fldChar w:fldCharType="begin"/>
          </w:r>
          <w:r w:rsidRPr="00BF68FC">
            <w:rPr>
              <w:rFonts w:cstheme="minorHAnsi"/>
              <w:sz w:val="20"/>
              <w:szCs w:val="20"/>
            </w:rPr>
            <w:instrText xml:space="preserve"> CITATION Cen221 \l 1043 </w:instrText>
          </w:r>
          <w:r w:rsidRPr="00BF68FC">
            <w:rPr>
              <w:rFonts w:cstheme="minorHAnsi"/>
              <w:sz w:val="20"/>
              <w:szCs w:val="20"/>
            </w:rPr>
            <w:fldChar w:fldCharType="separate"/>
          </w:r>
          <w:r w:rsidR="00DC4C76" w:rsidRPr="00BF68FC">
            <w:rPr>
              <w:rFonts w:cstheme="minorHAnsi"/>
              <w:noProof/>
              <w:sz w:val="20"/>
              <w:szCs w:val="20"/>
            </w:rPr>
            <w:t>(Centraal Bureau voor Statistiek, 2022)</w:t>
          </w:r>
          <w:r w:rsidRPr="00BF68FC">
            <w:rPr>
              <w:rFonts w:cstheme="minorHAnsi"/>
              <w:sz w:val="20"/>
              <w:szCs w:val="20"/>
            </w:rPr>
            <w:fldChar w:fldCharType="end"/>
          </w:r>
        </w:sdtContent>
      </w:sdt>
      <w:r w:rsidRPr="00BF68FC">
        <w:rPr>
          <w:rFonts w:cstheme="minorHAnsi"/>
          <w:sz w:val="20"/>
          <w:szCs w:val="20"/>
        </w:rPr>
        <w:t xml:space="preserve">. The dataset contained information on the presence of households within each municipality relative to the national wealth distribution. For each quintile of national wealth, the proportion of households in a municipality within that quintile was used to measure wealth inequality. A municipality with a distribution of wealth similar to the national wealth distribution would see each quintile populated by 20% of households. Deviations from 20% indicate a skewed distribution. Figure 1 shows the distribution of households in three extreme municipalities. For the city of Roosendaal, a  municipality where wealth is distributed in a way that closely resembles the distribution of wealth in the entire country of the Netherlands, there are approximately 20% of households in each quintile. The sum of all absolute deviations from 20% (1, 1, 3, 1, 3) is the resulting inequality score of 9. In the municipality with a low average level of wealth, the city of Rotterdam, 36% of households are in the bottom quintile of the national wealth distribution. 10% is in the top quintile. The total inequality score is 42. In the municipality with the highest level of wealth, a small town called </w:t>
      </w:r>
      <w:proofErr w:type="spellStart"/>
      <w:r w:rsidRPr="00BF68FC">
        <w:rPr>
          <w:rFonts w:cstheme="minorHAnsi"/>
          <w:sz w:val="20"/>
          <w:szCs w:val="20"/>
        </w:rPr>
        <w:t>Rozendaal</w:t>
      </w:r>
      <w:proofErr w:type="spellEnd"/>
      <w:r w:rsidRPr="00BF68FC">
        <w:rPr>
          <w:rFonts w:cstheme="minorHAnsi"/>
          <w:sz w:val="20"/>
          <w:szCs w:val="20"/>
        </w:rPr>
        <w:t>, only 6% of households are in the bottom quintile, and 57% are in the top wealth quintile – generating a comparatively high inequality score of 76.</w:t>
      </w:r>
    </w:p>
    <w:p w14:paraId="1FA2ADA4" w14:textId="037CC833" w:rsidR="00AE47D9" w:rsidRDefault="00487661" w:rsidP="00AE47D9">
      <w:pPr>
        <w:jc w:val="both"/>
        <w:rPr>
          <w:rFonts w:cstheme="minorHAnsi"/>
          <w:sz w:val="16"/>
          <w:szCs w:val="16"/>
        </w:rPr>
      </w:pPr>
      <w:r w:rsidRPr="00AE47D9">
        <w:rPr>
          <w:rFonts w:cstheme="minorHAnsi"/>
          <w:sz w:val="16"/>
          <w:szCs w:val="16"/>
        </w:rPr>
        <w:lastRenderedPageBreak/>
        <w:t>Figure 1. Wealth inequality for three example municipalities</w:t>
      </w:r>
    </w:p>
    <w:p w14:paraId="6518F151" w14:textId="77777777" w:rsidR="000F4FAA" w:rsidRPr="00AE47D9" w:rsidRDefault="000F4FAA" w:rsidP="00AE47D9">
      <w:pPr>
        <w:jc w:val="both"/>
        <w:rPr>
          <w:rFonts w:cstheme="minorHAnsi"/>
          <w:sz w:val="16"/>
          <w:szCs w:val="16"/>
        </w:rPr>
      </w:pPr>
    </w:p>
    <w:p w14:paraId="4AB06523" w14:textId="77777777" w:rsidR="00487661" w:rsidRPr="00BF68FC" w:rsidRDefault="00487661" w:rsidP="00487661">
      <w:pPr>
        <w:jc w:val="both"/>
        <w:rPr>
          <w:rFonts w:cstheme="minorHAnsi"/>
          <w:sz w:val="20"/>
          <w:szCs w:val="20"/>
        </w:rPr>
      </w:pPr>
      <w:r w:rsidRPr="00BF68FC">
        <w:rPr>
          <w:rFonts w:cstheme="minorHAnsi"/>
          <w:noProof/>
          <w:sz w:val="20"/>
          <w:szCs w:val="20"/>
        </w:rPr>
        <w:drawing>
          <wp:inline distT="0" distB="0" distL="0" distR="0" wp14:anchorId="1C88159E" wp14:editId="2BB20A58">
            <wp:extent cx="5731510" cy="3612515"/>
            <wp:effectExtent l="0" t="0" r="2540" b="6985"/>
            <wp:docPr id="1" name="Chart 1">
              <a:extLst xmlns:a="http://schemas.openxmlformats.org/drawingml/2006/main">
                <a:ext uri="{FF2B5EF4-FFF2-40B4-BE49-F238E27FC236}">
                  <a16:creationId xmlns:a16="http://schemas.microsoft.com/office/drawing/2014/main" id="{4DE727B3-8480-3A08-4A57-2847FC2D4C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24BD7D" w14:textId="77777777" w:rsidR="00487661" w:rsidRPr="00BF68FC" w:rsidRDefault="00487661" w:rsidP="00487661">
      <w:pPr>
        <w:jc w:val="both"/>
        <w:rPr>
          <w:rFonts w:cstheme="minorHAnsi"/>
          <w:sz w:val="20"/>
          <w:szCs w:val="20"/>
        </w:rPr>
      </w:pPr>
    </w:p>
    <w:p w14:paraId="58865314" w14:textId="77777777" w:rsidR="00487661" w:rsidRPr="00BF68FC" w:rsidRDefault="00487661" w:rsidP="00487661">
      <w:pPr>
        <w:jc w:val="both"/>
        <w:rPr>
          <w:rFonts w:cstheme="minorHAnsi"/>
          <w:sz w:val="20"/>
          <w:szCs w:val="20"/>
        </w:rPr>
      </w:pPr>
      <w:r w:rsidRPr="00BF68FC">
        <w:rPr>
          <w:rFonts w:cstheme="minorHAnsi"/>
          <w:sz w:val="20"/>
          <w:szCs w:val="20"/>
        </w:rPr>
        <w:t xml:space="preserve">The wealth inequality score represents a relative measure indicating how much more wealth inequality there is among households in a municipality than in the country as a whole. Thus the value of 0 does not represent perfect equality, as in a Gini-coefficient. Nevertheless, an increase in the wealth deviation score from one year to the next does represent an increase in wealth inequality within a municipality relative to total wealth inequality in the country. </w:t>
      </w:r>
    </w:p>
    <w:p w14:paraId="342E0B0C" w14:textId="77777777" w:rsidR="00487661" w:rsidRPr="00BF68FC" w:rsidRDefault="00487661" w:rsidP="00487661">
      <w:pPr>
        <w:pStyle w:val="Heading4"/>
        <w:rPr>
          <w:rFonts w:asciiTheme="minorHAnsi" w:hAnsiTheme="minorHAnsi" w:cstheme="minorHAnsi"/>
          <w:color w:val="auto"/>
          <w:sz w:val="20"/>
          <w:szCs w:val="20"/>
          <w:lang w:val="en-GB"/>
        </w:rPr>
      </w:pPr>
      <w:r w:rsidRPr="00BF68FC">
        <w:rPr>
          <w:rFonts w:asciiTheme="minorHAnsi" w:hAnsiTheme="minorHAnsi" w:cstheme="minorHAnsi"/>
          <w:color w:val="auto"/>
          <w:sz w:val="20"/>
          <w:szCs w:val="20"/>
          <w:lang w:val="en-GB"/>
        </w:rPr>
        <w:t>Individual-level: Generalized social trust</w:t>
      </w:r>
    </w:p>
    <w:p w14:paraId="656A8A99" w14:textId="77777777" w:rsidR="00487661" w:rsidRPr="00BF68FC" w:rsidRDefault="00487661" w:rsidP="00487661">
      <w:pPr>
        <w:jc w:val="both"/>
        <w:rPr>
          <w:rFonts w:cstheme="minorHAnsi"/>
          <w:sz w:val="20"/>
          <w:szCs w:val="20"/>
        </w:rPr>
      </w:pPr>
      <w:r w:rsidRPr="00BF68FC">
        <w:rPr>
          <w:rFonts w:cstheme="minorHAnsi"/>
          <w:sz w:val="20"/>
          <w:szCs w:val="20"/>
        </w:rPr>
        <w:t xml:space="preserve">Generalized social trust was measured via respondent’s answers to two statements: a positive statement “in general, most people can be trusted” and a negative statement “you can’t be too careful in your dealings with people”. Both items were developed by Rosenberg to quantify an individual’s misanthropy (Bekkers et al., 2022; Rosenberg, 1956). Respondents were asked to indicate their agreement with the statements via a five-point Likert-scale ranging from 1 (totally disagree) to 5 (totally agree) (Bekkers et al., 2022). We generated a variable based on the summative scores of the two items. The scale’s Cronbach’s alpha was .653.  </w:t>
      </w:r>
    </w:p>
    <w:p w14:paraId="4353F51C" w14:textId="4A2DD52B" w:rsidR="00487661" w:rsidRPr="00AE47D9" w:rsidRDefault="00AE47D9" w:rsidP="00AE47D9">
      <w:pPr>
        <w:rPr>
          <w:i/>
          <w:iCs/>
          <w:sz w:val="20"/>
          <w:szCs w:val="20"/>
        </w:rPr>
      </w:pPr>
      <w:bookmarkStart w:id="3" w:name="_Toc130996674"/>
      <w:r w:rsidRPr="00AE47D9">
        <w:rPr>
          <w:i/>
          <w:iCs/>
          <w:sz w:val="20"/>
          <w:szCs w:val="20"/>
        </w:rPr>
        <w:t xml:space="preserve">4.3 </w:t>
      </w:r>
      <w:r w:rsidR="00121886">
        <w:rPr>
          <w:i/>
          <w:iCs/>
          <w:sz w:val="20"/>
          <w:szCs w:val="20"/>
        </w:rPr>
        <w:tab/>
      </w:r>
      <w:r w:rsidR="00487661" w:rsidRPr="00AE47D9">
        <w:rPr>
          <w:i/>
          <w:iCs/>
          <w:sz w:val="20"/>
          <w:szCs w:val="20"/>
        </w:rPr>
        <w:t>Control Variables</w:t>
      </w:r>
      <w:bookmarkEnd w:id="3"/>
    </w:p>
    <w:p w14:paraId="03F88967" w14:textId="3F63828C" w:rsidR="00487661" w:rsidRDefault="00487661" w:rsidP="00AE47D9">
      <w:pPr>
        <w:jc w:val="both"/>
        <w:rPr>
          <w:rFonts w:cstheme="minorHAnsi"/>
          <w:sz w:val="20"/>
          <w:szCs w:val="20"/>
        </w:rPr>
      </w:pPr>
      <w:r w:rsidRPr="00BF68FC">
        <w:rPr>
          <w:rFonts w:cstheme="minorHAnsi"/>
          <w:sz w:val="20"/>
          <w:szCs w:val="20"/>
        </w:rPr>
        <w:t xml:space="preserve">A number of individual- and context-level control variables that could have an influence on the relationship between the dependent and independent variables were included in the multivariate analyses. At the individual-level, demographic characteristics like gender, religion, age, and education - known from previous research to be correlated with volunteering – were included to ensure any found relationships between the independent and dependent variables were not spurious </w:t>
      </w:r>
      <w:sdt>
        <w:sdtPr>
          <w:rPr>
            <w:rFonts w:cstheme="minorHAnsi"/>
            <w:sz w:val="20"/>
            <w:szCs w:val="20"/>
          </w:rPr>
          <w:id w:val="-795222328"/>
          <w:citation/>
        </w:sdtPr>
        <w:sdtContent>
          <w:r w:rsidRPr="00BF68FC">
            <w:rPr>
              <w:rFonts w:cstheme="minorHAnsi"/>
              <w:sz w:val="20"/>
              <w:szCs w:val="20"/>
            </w:rPr>
            <w:fldChar w:fldCharType="begin"/>
          </w:r>
          <w:r w:rsidRPr="00BF68FC">
            <w:rPr>
              <w:rFonts w:cstheme="minorHAnsi"/>
              <w:sz w:val="20"/>
              <w:szCs w:val="20"/>
            </w:rPr>
            <w:instrText xml:space="preserve"> CITATION Chr11 \l 1043 </w:instrText>
          </w:r>
          <w:r w:rsidRPr="00BF68FC">
            <w:rPr>
              <w:rFonts w:cstheme="minorHAnsi"/>
              <w:sz w:val="20"/>
              <w:szCs w:val="20"/>
            </w:rPr>
            <w:fldChar w:fldCharType="separate"/>
          </w:r>
          <w:r w:rsidR="00DC4C76" w:rsidRPr="00BF68FC">
            <w:rPr>
              <w:rFonts w:cstheme="minorHAnsi"/>
              <w:noProof/>
              <w:sz w:val="20"/>
              <w:szCs w:val="20"/>
            </w:rPr>
            <w:t>(Einolf &amp; Chambré, 2011)</w:t>
          </w:r>
          <w:r w:rsidRPr="00BF68FC">
            <w:rPr>
              <w:rFonts w:cstheme="minorHAnsi"/>
              <w:sz w:val="20"/>
              <w:szCs w:val="20"/>
            </w:rPr>
            <w:fldChar w:fldCharType="end"/>
          </w:r>
        </w:sdtContent>
      </w:sdt>
      <w:r w:rsidRPr="00BF68FC">
        <w:rPr>
          <w:rFonts w:cstheme="minorHAnsi"/>
          <w:sz w:val="20"/>
          <w:szCs w:val="20"/>
        </w:rPr>
        <w:t xml:space="preserve">. Age was measured in years while education was represented via seven categories ranging from 1 (primary school) to 7 (Master’s degree) representing the highest education a respondent achieved. In addition to a dichotomous “religious” variable, we include church attendance as a control variable to serve as an additional measure of an individual’s religiosity. We control for income through two variables: household income (measured as a ratio variable) and a household’s place along the income distribution, measured in five quintiles – income is expected to be negatively related to volunteering by rational choice theorists, while empirical results vary in their findings </w:t>
      </w:r>
      <w:sdt>
        <w:sdtPr>
          <w:rPr>
            <w:rFonts w:cstheme="minorHAnsi"/>
            <w:sz w:val="20"/>
            <w:szCs w:val="20"/>
          </w:rPr>
          <w:id w:val="846982432"/>
          <w:citation/>
        </w:sdtPr>
        <w:sdtContent>
          <w:r w:rsidRPr="00BF68FC">
            <w:rPr>
              <w:rFonts w:cstheme="minorHAnsi"/>
              <w:sz w:val="20"/>
              <w:szCs w:val="20"/>
            </w:rPr>
            <w:fldChar w:fldCharType="begin"/>
          </w:r>
          <w:r w:rsidRPr="00BF68FC">
            <w:rPr>
              <w:rFonts w:cstheme="minorHAnsi"/>
              <w:sz w:val="20"/>
              <w:szCs w:val="20"/>
            </w:rPr>
            <w:instrText xml:space="preserve"> CITATION Joh00 \l 1043 </w:instrText>
          </w:r>
          <w:r w:rsidRPr="00BF68FC">
            <w:rPr>
              <w:rFonts w:cstheme="minorHAnsi"/>
              <w:sz w:val="20"/>
              <w:szCs w:val="20"/>
            </w:rPr>
            <w:fldChar w:fldCharType="separate"/>
          </w:r>
          <w:r w:rsidR="00DC4C76" w:rsidRPr="00BF68FC">
            <w:rPr>
              <w:rFonts w:cstheme="minorHAnsi"/>
              <w:noProof/>
              <w:sz w:val="20"/>
              <w:szCs w:val="20"/>
            </w:rPr>
            <w:t>(Wilson, 2000)</w:t>
          </w:r>
          <w:r w:rsidRPr="00BF68FC">
            <w:rPr>
              <w:rFonts w:cstheme="minorHAnsi"/>
              <w:sz w:val="20"/>
              <w:szCs w:val="20"/>
            </w:rPr>
            <w:fldChar w:fldCharType="end"/>
          </w:r>
        </w:sdtContent>
      </w:sdt>
      <w:r w:rsidRPr="00BF68FC">
        <w:rPr>
          <w:rFonts w:cstheme="minorHAnsi"/>
          <w:sz w:val="20"/>
          <w:szCs w:val="20"/>
        </w:rPr>
        <w:t xml:space="preserve">. The measure for relative </w:t>
      </w:r>
      <w:r w:rsidRPr="00BF68FC">
        <w:rPr>
          <w:rFonts w:cstheme="minorHAnsi"/>
          <w:sz w:val="20"/>
          <w:szCs w:val="20"/>
        </w:rPr>
        <w:lastRenderedPageBreak/>
        <w:t xml:space="preserve">placement along the income distribution is only available after 2010, so it is not included in the analyses for 2006 and 2008. Controlling for wealth is difficult as most respondents prefer to skip questions asking for specific figures, leading to a lot of missing values. To provide some semblance of control for wealth, we included a dichotomous variable indicating whether or not the respondent and their partner receive income from wealth. An additional control is provided through a variable representing home ownership and a variable representing home value. We recoded the latter so as to include the cases that answered “no” to home ownership under the value “0”. In addition to this we control for self-rated financial security – individuals who feel more financially secure may be more inclined to altruism through voluntarism. An individual’s working hours may influence the amount of time they have to volunteer, so we control for working hours and whether or not an individual has a job through a ratio measure and a dichotomous variable. We recoded the variable representing working hours to include individuals that answered “no” to job status, and </w:t>
      </w:r>
      <w:proofErr w:type="spellStart"/>
      <w:r w:rsidRPr="00BF68FC">
        <w:rPr>
          <w:rFonts w:cstheme="minorHAnsi"/>
          <w:sz w:val="20"/>
          <w:szCs w:val="20"/>
        </w:rPr>
        <w:t>winsorized</w:t>
      </w:r>
      <w:proofErr w:type="spellEnd"/>
      <w:r w:rsidRPr="00BF68FC">
        <w:rPr>
          <w:rFonts w:cstheme="minorHAnsi"/>
          <w:sz w:val="20"/>
          <w:szCs w:val="20"/>
        </w:rPr>
        <w:t xml:space="preserve"> the variable at 1% (for the highest percentile) when the highest values were over 70 hours per week. Healthier individuals are more likely to volunteer and economic inequality has been linked to lower health rates, so we control for health using a variable measuring self-rated health </w:t>
      </w:r>
      <w:sdt>
        <w:sdtPr>
          <w:rPr>
            <w:rFonts w:cstheme="minorHAnsi"/>
            <w:sz w:val="20"/>
            <w:szCs w:val="20"/>
          </w:rPr>
          <w:id w:val="2019652899"/>
          <w:citation/>
        </w:sdtPr>
        <w:sdtContent>
          <w:r w:rsidRPr="00BF68FC">
            <w:rPr>
              <w:rFonts w:cstheme="minorHAnsi"/>
              <w:sz w:val="20"/>
              <w:szCs w:val="20"/>
            </w:rPr>
            <w:fldChar w:fldCharType="begin"/>
          </w:r>
          <w:r w:rsidRPr="00BF68FC">
            <w:rPr>
              <w:rFonts w:cstheme="minorHAnsi"/>
              <w:sz w:val="20"/>
              <w:szCs w:val="20"/>
            </w:rPr>
            <w:instrText xml:space="preserve"> CITATION Kat15 \l 1043 </w:instrText>
          </w:r>
          <w:r w:rsidRPr="00BF68FC">
            <w:rPr>
              <w:rFonts w:cstheme="minorHAnsi"/>
              <w:sz w:val="20"/>
              <w:szCs w:val="20"/>
            </w:rPr>
            <w:fldChar w:fldCharType="separate"/>
          </w:r>
          <w:r w:rsidR="00DC4C76" w:rsidRPr="00BF68FC">
            <w:rPr>
              <w:rFonts w:cstheme="minorHAnsi"/>
              <w:noProof/>
              <w:sz w:val="20"/>
              <w:szCs w:val="20"/>
            </w:rPr>
            <w:t>(Pickett &amp; Wilkinson, 2015)</w:t>
          </w:r>
          <w:r w:rsidRPr="00BF68FC">
            <w:rPr>
              <w:rFonts w:cstheme="minorHAnsi"/>
              <w:sz w:val="20"/>
              <w:szCs w:val="20"/>
            </w:rPr>
            <w:fldChar w:fldCharType="end"/>
          </w:r>
        </w:sdtContent>
      </w:sdt>
      <w:r w:rsidRPr="00BF68FC">
        <w:rPr>
          <w:rFonts w:cstheme="minorHAnsi"/>
          <w:sz w:val="20"/>
          <w:szCs w:val="20"/>
        </w:rPr>
        <w:t>.</w:t>
      </w:r>
      <w:r w:rsidRPr="00BF68FC">
        <w:rPr>
          <w:rFonts w:cstheme="minorHAnsi"/>
          <w:sz w:val="20"/>
          <w:szCs w:val="20"/>
        </w:rPr>
        <w:tab/>
      </w:r>
      <w:r w:rsidRPr="00BF68FC">
        <w:rPr>
          <w:rFonts w:cstheme="minorHAnsi"/>
          <w:sz w:val="20"/>
          <w:szCs w:val="20"/>
        </w:rPr>
        <w:tab/>
      </w:r>
      <w:r w:rsidRPr="00BF68FC">
        <w:rPr>
          <w:rFonts w:cstheme="minorHAnsi"/>
          <w:sz w:val="20"/>
          <w:szCs w:val="20"/>
        </w:rPr>
        <w:tab/>
      </w:r>
      <w:r w:rsidRPr="00BF68FC">
        <w:rPr>
          <w:rFonts w:cstheme="minorHAnsi"/>
          <w:sz w:val="20"/>
          <w:szCs w:val="20"/>
        </w:rPr>
        <w:tab/>
      </w:r>
      <w:r w:rsidRPr="00BF68FC">
        <w:rPr>
          <w:rFonts w:cstheme="minorHAnsi"/>
          <w:sz w:val="20"/>
          <w:szCs w:val="20"/>
        </w:rPr>
        <w:tab/>
      </w:r>
      <w:r w:rsidRPr="00BF68FC">
        <w:rPr>
          <w:rFonts w:cstheme="minorHAnsi"/>
          <w:sz w:val="20"/>
          <w:szCs w:val="20"/>
        </w:rPr>
        <w:tab/>
      </w:r>
      <w:r w:rsidR="000E6158" w:rsidRPr="00BF68FC">
        <w:rPr>
          <w:rFonts w:cstheme="minorHAnsi"/>
          <w:sz w:val="20"/>
          <w:szCs w:val="20"/>
        </w:rPr>
        <w:tab/>
      </w:r>
      <w:r w:rsidRPr="00BF68FC">
        <w:rPr>
          <w:rFonts w:cstheme="minorHAnsi"/>
          <w:sz w:val="20"/>
          <w:szCs w:val="20"/>
        </w:rPr>
        <w:t xml:space="preserve">At the municipal level, we control for income inequality using the same measure as the one constructed for wealth inequality. Putnam argues ethnic heterogeneity in communities deplete both trust and voluntarism, so I control for this using the percentage of non-Western migrants in a community </w:t>
      </w:r>
      <w:sdt>
        <w:sdtPr>
          <w:rPr>
            <w:rFonts w:cstheme="minorHAnsi"/>
            <w:sz w:val="20"/>
            <w:szCs w:val="20"/>
          </w:rPr>
          <w:id w:val="-1699920411"/>
          <w:citation/>
        </w:sdtPr>
        <w:sdtContent>
          <w:r w:rsidRPr="00BF68FC">
            <w:rPr>
              <w:rFonts w:cstheme="minorHAnsi"/>
              <w:sz w:val="20"/>
              <w:szCs w:val="20"/>
            </w:rPr>
            <w:fldChar w:fldCharType="begin"/>
          </w:r>
          <w:r w:rsidRPr="00BF68FC">
            <w:rPr>
              <w:rFonts w:cstheme="minorHAnsi"/>
              <w:sz w:val="20"/>
              <w:szCs w:val="20"/>
            </w:rPr>
            <w:instrText xml:space="preserve"> CITATION Ges09 \l 1043 </w:instrText>
          </w:r>
          <w:r w:rsidRPr="00BF68FC">
            <w:rPr>
              <w:rFonts w:cstheme="minorHAnsi"/>
              <w:sz w:val="20"/>
              <w:szCs w:val="20"/>
            </w:rPr>
            <w:fldChar w:fldCharType="separate"/>
          </w:r>
          <w:r w:rsidR="00DC4C76" w:rsidRPr="00BF68FC">
            <w:rPr>
              <w:rFonts w:cstheme="minorHAnsi"/>
              <w:noProof/>
              <w:sz w:val="20"/>
              <w:szCs w:val="20"/>
            </w:rPr>
            <w:t>(Gesthuizen, van der Meer, &amp; Scheepers, 2009)</w:t>
          </w:r>
          <w:r w:rsidRPr="00BF68FC">
            <w:rPr>
              <w:rFonts w:cstheme="minorHAnsi"/>
              <w:sz w:val="20"/>
              <w:szCs w:val="20"/>
            </w:rPr>
            <w:fldChar w:fldCharType="end"/>
          </w:r>
        </w:sdtContent>
      </w:sdt>
      <w:r w:rsidRPr="00BF68FC">
        <w:rPr>
          <w:rFonts w:cstheme="minorHAnsi"/>
          <w:sz w:val="20"/>
          <w:szCs w:val="20"/>
        </w:rPr>
        <w:t xml:space="preserve">. Smaller communities often have more active volunteers – possibly due to stronger norm enforcement – so we include community size as an additional control </w:t>
      </w:r>
      <w:sdt>
        <w:sdtPr>
          <w:rPr>
            <w:rFonts w:cstheme="minorHAnsi"/>
            <w:sz w:val="20"/>
            <w:szCs w:val="20"/>
          </w:rPr>
          <w:id w:val="1263260719"/>
          <w:citation/>
        </w:sdtPr>
        <w:sdtContent>
          <w:r w:rsidRPr="00BF68FC">
            <w:rPr>
              <w:rFonts w:cstheme="minorHAnsi"/>
              <w:sz w:val="20"/>
              <w:szCs w:val="20"/>
            </w:rPr>
            <w:fldChar w:fldCharType="begin"/>
          </w:r>
          <w:r w:rsidRPr="00BF68FC">
            <w:rPr>
              <w:rFonts w:cstheme="minorHAnsi"/>
              <w:sz w:val="20"/>
              <w:szCs w:val="20"/>
            </w:rPr>
            <w:instrText xml:space="preserve"> CITATION Joh00 \l 1043 </w:instrText>
          </w:r>
          <w:r w:rsidRPr="00BF68FC">
            <w:rPr>
              <w:rFonts w:cstheme="minorHAnsi"/>
              <w:sz w:val="20"/>
              <w:szCs w:val="20"/>
            </w:rPr>
            <w:fldChar w:fldCharType="separate"/>
          </w:r>
          <w:r w:rsidR="00DC4C76" w:rsidRPr="00BF68FC">
            <w:rPr>
              <w:rFonts w:cstheme="minorHAnsi"/>
              <w:noProof/>
              <w:sz w:val="20"/>
              <w:szCs w:val="20"/>
            </w:rPr>
            <w:t>(Wilson, 2000)</w:t>
          </w:r>
          <w:r w:rsidRPr="00BF68FC">
            <w:rPr>
              <w:rFonts w:cstheme="minorHAnsi"/>
              <w:sz w:val="20"/>
              <w:szCs w:val="20"/>
            </w:rPr>
            <w:fldChar w:fldCharType="end"/>
          </w:r>
        </w:sdtContent>
      </w:sdt>
      <w:r w:rsidRPr="00BF68FC">
        <w:rPr>
          <w:rFonts w:cstheme="minorHAnsi"/>
          <w:sz w:val="20"/>
          <w:szCs w:val="20"/>
        </w:rPr>
        <w:t xml:space="preserve">. I control for communal educational attainment by including a variable that sums up the percentages of highly educated (higher vocational education or higher) in a community – a higher number denoting a higher percentage of highly educated residents. Finally, we control for communal housing prices by including a variable denoting the average municipal housing price. </w:t>
      </w:r>
    </w:p>
    <w:p w14:paraId="67940601" w14:textId="0A820594" w:rsidR="00541434" w:rsidRDefault="00541434" w:rsidP="00AE47D9">
      <w:pPr>
        <w:jc w:val="both"/>
        <w:rPr>
          <w:rFonts w:cstheme="minorHAnsi"/>
          <w:sz w:val="20"/>
          <w:szCs w:val="20"/>
        </w:rPr>
      </w:pPr>
    </w:p>
    <w:p w14:paraId="391CBD08" w14:textId="77777777" w:rsidR="00541434" w:rsidRPr="00AE47D9" w:rsidRDefault="00541434" w:rsidP="00AE47D9">
      <w:pPr>
        <w:jc w:val="both"/>
        <w:rPr>
          <w:rFonts w:cstheme="minorHAnsi"/>
          <w:sz w:val="20"/>
          <w:szCs w:val="20"/>
        </w:rPr>
      </w:pPr>
    </w:p>
    <w:p w14:paraId="45DD2F42" w14:textId="501ADE89" w:rsidR="00D40664" w:rsidRPr="00541434" w:rsidRDefault="00541434" w:rsidP="00541434">
      <w:pPr>
        <w:rPr>
          <w:b/>
          <w:bCs/>
          <w:sz w:val="20"/>
          <w:szCs w:val="20"/>
        </w:rPr>
      </w:pPr>
      <w:r>
        <w:rPr>
          <w:b/>
          <w:bCs/>
          <w:sz w:val="20"/>
          <w:szCs w:val="20"/>
        </w:rPr>
        <w:t>5.</w:t>
      </w:r>
      <w:r w:rsidR="00121886">
        <w:rPr>
          <w:b/>
          <w:bCs/>
          <w:sz w:val="20"/>
          <w:szCs w:val="20"/>
        </w:rPr>
        <w:tab/>
      </w:r>
      <w:r w:rsidR="00953690" w:rsidRPr="00541434">
        <w:rPr>
          <w:b/>
          <w:bCs/>
          <w:sz w:val="20"/>
          <w:szCs w:val="20"/>
        </w:rPr>
        <w:t>Results</w:t>
      </w:r>
    </w:p>
    <w:p w14:paraId="355F5793" w14:textId="38543300" w:rsidR="001618FA" w:rsidRPr="00BF68FC" w:rsidRDefault="009D6AF8" w:rsidP="001618FA">
      <w:pPr>
        <w:jc w:val="both"/>
        <w:rPr>
          <w:rFonts w:cstheme="minorHAnsi"/>
          <w:sz w:val="20"/>
          <w:szCs w:val="20"/>
        </w:rPr>
      </w:pPr>
      <w:r w:rsidRPr="00BF68FC">
        <w:rPr>
          <w:rFonts w:cstheme="minorHAnsi"/>
          <w:sz w:val="20"/>
          <w:szCs w:val="20"/>
        </w:rPr>
        <w:t xml:space="preserve">Table 2 displays the results for the three FE models for propensity to volunteer. </w:t>
      </w:r>
      <w:r w:rsidR="009B1FEA" w:rsidRPr="00BF68FC">
        <w:rPr>
          <w:rFonts w:cstheme="minorHAnsi"/>
          <w:sz w:val="20"/>
          <w:szCs w:val="20"/>
          <w:lang w:val="en-US"/>
        </w:rPr>
        <w:t xml:space="preserve">Model one investigates the relationship between the variables with fixed-effects at the municipal level and for time. Wealth inequality is not significantly associated with the propensity to volunteer in this model. Trust appears significantly associated with the propensity to volunteer, indicating individuals that are more trusting are more likely to engage in voluntarism than individuals that are less trusting of unfamiliar others. Interestingly, income inequality appears to be positively associated with the propensity to volunteer – </w:t>
      </w:r>
      <w:r w:rsidR="00E11E42" w:rsidRPr="00BF68FC">
        <w:rPr>
          <w:rFonts w:cstheme="minorHAnsi"/>
          <w:sz w:val="20"/>
          <w:szCs w:val="20"/>
          <w:lang w:val="en-US"/>
        </w:rPr>
        <w:t xml:space="preserve">indicating individuals in </w:t>
      </w:r>
      <w:r w:rsidR="009B1FEA" w:rsidRPr="00BF68FC">
        <w:rPr>
          <w:rFonts w:cstheme="minorHAnsi"/>
          <w:sz w:val="20"/>
          <w:szCs w:val="20"/>
          <w:lang w:val="en-US"/>
        </w:rPr>
        <w:t>municipalities with an household income distribution that is more skewed than the national income distributio</w:t>
      </w:r>
      <w:r w:rsidR="00E11E42" w:rsidRPr="00BF68FC">
        <w:rPr>
          <w:rFonts w:cstheme="minorHAnsi"/>
          <w:sz w:val="20"/>
          <w:szCs w:val="20"/>
          <w:lang w:val="en-US"/>
        </w:rPr>
        <w:t>n are more likely to volunteer.</w:t>
      </w:r>
      <w:r w:rsidR="00E11E42" w:rsidRPr="00BF68FC">
        <w:rPr>
          <w:rFonts w:cstheme="minorHAnsi"/>
          <w:sz w:val="20"/>
          <w:szCs w:val="20"/>
          <w:lang w:val="en-US"/>
        </w:rPr>
        <w:tab/>
      </w:r>
      <w:r w:rsidR="00E11E42" w:rsidRPr="00BF68FC">
        <w:rPr>
          <w:rFonts w:cstheme="minorHAnsi"/>
          <w:sz w:val="20"/>
          <w:szCs w:val="20"/>
        </w:rPr>
        <w:t>Model t</w:t>
      </w:r>
      <w:r w:rsidR="00E11E42" w:rsidRPr="00BF68FC">
        <w:rPr>
          <w:rFonts w:cstheme="minorHAnsi"/>
          <w:sz w:val="20"/>
          <w:szCs w:val="20"/>
          <w:lang w:val="en-US"/>
        </w:rPr>
        <w:t>wo in table 2 investigates the relationship between the variables with fixed-effects at the level of individuals</w:t>
      </w:r>
      <w:r w:rsidR="00E11E42" w:rsidRPr="00BF68FC">
        <w:rPr>
          <w:rFonts w:cstheme="minorHAnsi"/>
          <w:sz w:val="20"/>
          <w:szCs w:val="20"/>
        </w:rPr>
        <w:t>.</w:t>
      </w:r>
      <w:r w:rsidR="00E11E42" w:rsidRPr="00BF68FC">
        <w:rPr>
          <w:rFonts w:cstheme="minorHAnsi"/>
          <w:sz w:val="20"/>
          <w:szCs w:val="20"/>
          <w:lang w:val="en-US"/>
        </w:rPr>
        <w:t xml:space="preserve"> An increase in the skew of municipal wealth distribution compared to the national wealth distribution is not associated with an increase in the propensity to volunteer</w:t>
      </w:r>
      <w:r w:rsidR="00E11E42" w:rsidRPr="00BF68FC">
        <w:rPr>
          <w:rFonts w:cstheme="minorHAnsi"/>
          <w:sz w:val="20"/>
          <w:szCs w:val="20"/>
        </w:rPr>
        <w:t xml:space="preserve">. </w:t>
      </w:r>
      <w:r w:rsidR="00E11E42" w:rsidRPr="00BF68FC">
        <w:rPr>
          <w:rFonts w:cstheme="minorHAnsi"/>
          <w:sz w:val="20"/>
          <w:szCs w:val="20"/>
          <w:lang w:val="en-US"/>
        </w:rPr>
        <w:t xml:space="preserve">A change in trust is similarly not significantly associated with a change in the propensity to volunteer. As changes in both wealth distribution and trust are not associated with an increase in trust, trust cannot mediate the relationship between a municipality’s wealth distribution and an individual’s propensity to volunteer. </w:t>
      </w:r>
      <w:r w:rsidR="00E11E42" w:rsidRPr="00BF68FC">
        <w:rPr>
          <w:rFonts w:cstheme="minorHAnsi"/>
          <w:sz w:val="20"/>
          <w:szCs w:val="20"/>
        </w:rPr>
        <w:t xml:space="preserve"> </w:t>
      </w:r>
      <w:r w:rsidR="00E11E42" w:rsidRPr="00BF68FC">
        <w:rPr>
          <w:rFonts w:cstheme="minorHAnsi"/>
          <w:sz w:val="20"/>
          <w:szCs w:val="20"/>
        </w:rPr>
        <w:tab/>
      </w:r>
      <w:r w:rsidR="00E11E42" w:rsidRPr="00BF68FC">
        <w:rPr>
          <w:rFonts w:cstheme="minorHAnsi"/>
          <w:sz w:val="20"/>
          <w:szCs w:val="20"/>
        </w:rPr>
        <w:tab/>
      </w:r>
      <w:r w:rsidR="00E11E42" w:rsidRPr="00BF68FC">
        <w:rPr>
          <w:rFonts w:cstheme="minorHAnsi"/>
          <w:sz w:val="20"/>
          <w:szCs w:val="20"/>
        </w:rPr>
        <w:tab/>
      </w:r>
      <w:r w:rsidR="00E11E42" w:rsidRPr="00BF68FC">
        <w:rPr>
          <w:rFonts w:cstheme="minorHAnsi"/>
          <w:sz w:val="20"/>
          <w:szCs w:val="20"/>
        </w:rPr>
        <w:tab/>
      </w:r>
      <w:r w:rsidR="00E11E42" w:rsidRPr="00BF68FC">
        <w:rPr>
          <w:rFonts w:cstheme="minorHAnsi"/>
          <w:sz w:val="20"/>
          <w:szCs w:val="20"/>
        </w:rPr>
        <w:tab/>
      </w:r>
      <w:r w:rsidR="00E11E42" w:rsidRPr="00BF68FC">
        <w:rPr>
          <w:rFonts w:cstheme="minorHAnsi"/>
          <w:sz w:val="20"/>
          <w:szCs w:val="20"/>
        </w:rPr>
        <w:tab/>
      </w:r>
      <w:r w:rsidRPr="00BF68FC">
        <w:rPr>
          <w:rFonts w:cstheme="minorHAnsi"/>
          <w:sz w:val="20"/>
          <w:szCs w:val="20"/>
        </w:rPr>
        <w:t xml:space="preserve">Model </w:t>
      </w:r>
      <w:r w:rsidR="00E11E42" w:rsidRPr="00BF68FC">
        <w:rPr>
          <w:rFonts w:cstheme="minorHAnsi"/>
          <w:sz w:val="20"/>
          <w:szCs w:val="20"/>
          <w:lang w:val="en-US"/>
        </w:rPr>
        <w:t>three</w:t>
      </w:r>
      <w:r w:rsidRPr="00BF68FC">
        <w:rPr>
          <w:rFonts w:cstheme="minorHAnsi"/>
          <w:sz w:val="20"/>
          <w:szCs w:val="20"/>
        </w:rPr>
        <w:t xml:space="preserve"> in table </w:t>
      </w:r>
      <w:r w:rsidR="00E11E42" w:rsidRPr="00BF68FC">
        <w:rPr>
          <w:rFonts w:cstheme="minorHAnsi"/>
          <w:sz w:val="20"/>
          <w:szCs w:val="20"/>
          <w:lang w:val="en-US"/>
        </w:rPr>
        <w:t>2</w:t>
      </w:r>
      <w:r w:rsidRPr="00BF68FC">
        <w:rPr>
          <w:rFonts w:cstheme="minorHAnsi"/>
          <w:sz w:val="20"/>
          <w:szCs w:val="20"/>
        </w:rPr>
        <w:t xml:space="preserve"> displays the results for the FE analysis that included</w:t>
      </w:r>
      <w:r w:rsidR="00E11E42" w:rsidRPr="00BF68FC">
        <w:rPr>
          <w:rFonts w:cstheme="minorHAnsi"/>
          <w:sz w:val="20"/>
          <w:szCs w:val="20"/>
          <w:lang w:val="en-US"/>
        </w:rPr>
        <w:t xml:space="preserve"> both individual and</w:t>
      </w:r>
      <w:r w:rsidRPr="00BF68FC">
        <w:rPr>
          <w:rFonts w:cstheme="minorHAnsi"/>
          <w:sz w:val="20"/>
          <w:szCs w:val="20"/>
        </w:rPr>
        <w:t xml:space="preserve"> time fixed</w:t>
      </w:r>
      <w:r w:rsidR="00E11E42" w:rsidRPr="00BF68FC">
        <w:rPr>
          <w:rFonts w:cstheme="minorHAnsi"/>
          <w:sz w:val="20"/>
          <w:szCs w:val="20"/>
          <w:lang w:val="en-US"/>
        </w:rPr>
        <w:t>-</w:t>
      </w:r>
      <w:r w:rsidRPr="00BF68FC">
        <w:rPr>
          <w:rFonts w:cstheme="minorHAnsi"/>
          <w:sz w:val="20"/>
          <w:szCs w:val="20"/>
        </w:rPr>
        <w:t xml:space="preserve">effects. </w:t>
      </w:r>
      <w:r w:rsidR="00251E0A" w:rsidRPr="00BF68FC">
        <w:rPr>
          <w:rFonts w:cstheme="minorHAnsi"/>
          <w:sz w:val="20"/>
          <w:szCs w:val="20"/>
          <w:lang w:val="en-US"/>
        </w:rPr>
        <w:t>A change in a municipality’s wealth distribution is once again not significantly associated with changes in an individual’s likelihood to volunteer. Changes in trust are similarly not significantly associated with changes in an individual’s likelihood to volunteer. As both variables are once again not significant, it is unlikely that trust mediates the relationship between the wealth inequality and the propensity to volunteer.</w:t>
      </w:r>
      <w:r w:rsidRPr="00BF68FC">
        <w:rPr>
          <w:rFonts w:cstheme="minorHAnsi"/>
          <w:sz w:val="20"/>
          <w:szCs w:val="20"/>
        </w:rPr>
        <w:tab/>
      </w:r>
      <w:r w:rsidRPr="00BF68FC">
        <w:rPr>
          <w:rFonts w:cstheme="minorHAnsi"/>
          <w:sz w:val="20"/>
          <w:szCs w:val="20"/>
        </w:rPr>
        <w:tab/>
      </w:r>
      <w:r w:rsidRPr="00BF68FC">
        <w:rPr>
          <w:rFonts w:cstheme="minorHAnsi"/>
          <w:sz w:val="20"/>
          <w:szCs w:val="20"/>
        </w:rPr>
        <w:tab/>
      </w:r>
      <w:r w:rsidRPr="00BF68FC">
        <w:rPr>
          <w:rFonts w:cstheme="minorHAnsi"/>
          <w:sz w:val="20"/>
          <w:szCs w:val="20"/>
        </w:rPr>
        <w:tab/>
        <w:t xml:space="preserve"> </w:t>
      </w:r>
    </w:p>
    <w:p w14:paraId="0F1E8EEA" w14:textId="49CFD0C0" w:rsidR="009D6AF8" w:rsidRPr="00BF68FC" w:rsidRDefault="009D6AF8" w:rsidP="001618FA">
      <w:pPr>
        <w:jc w:val="both"/>
        <w:rPr>
          <w:rFonts w:cstheme="minorHAnsi"/>
          <w:sz w:val="20"/>
          <w:szCs w:val="20"/>
          <w:lang w:val="en-US"/>
        </w:rPr>
      </w:pPr>
      <w:r w:rsidRPr="00BF68FC">
        <w:rPr>
          <w:rFonts w:cstheme="minorHAnsi"/>
          <w:sz w:val="20"/>
          <w:szCs w:val="20"/>
        </w:rPr>
        <w:t xml:space="preserve">Table </w:t>
      </w:r>
      <w:r w:rsidR="00343D9E" w:rsidRPr="00BF68FC">
        <w:rPr>
          <w:rFonts w:cstheme="minorHAnsi"/>
          <w:sz w:val="20"/>
          <w:szCs w:val="20"/>
          <w:lang w:val="en-US"/>
        </w:rPr>
        <w:t>3</w:t>
      </w:r>
      <w:r w:rsidRPr="00BF68FC">
        <w:rPr>
          <w:rFonts w:cstheme="minorHAnsi"/>
          <w:sz w:val="20"/>
          <w:szCs w:val="20"/>
        </w:rPr>
        <w:t xml:space="preserve"> shows the results from the FE regression on the number of voluntary hours. Model one shows the results </w:t>
      </w:r>
      <w:r w:rsidR="00431BED" w:rsidRPr="00BF68FC">
        <w:rPr>
          <w:rFonts w:cstheme="minorHAnsi"/>
          <w:sz w:val="20"/>
          <w:szCs w:val="20"/>
          <w:lang w:val="en-US"/>
        </w:rPr>
        <w:t>for the relationship between the two variables with fixed effects at the level of municipalities</w:t>
      </w:r>
      <w:r w:rsidRPr="00BF68FC">
        <w:rPr>
          <w:rFonts w:cstheme="minorHAnsi"/>
          <w:sz w:val="20"/>
          <w:szCs w:val="20"/>
        </w:rPr>
        <w:t xml:space="preserve">. </w:t>
      </w:r>
      <w:r w:rsidR="00431BED" w:rsidRPr="00BF68FC">
        <w:rPr>
          <w:rFonts w:cstheme="minorHAnsi"/>
          <w:sz w:val="20"/>
          <w:szCs w:val="20"/>
          <w:lang w:val="en-US"/>
        </w:rPr>
        <w:t xml:space="preserve">Divergences in a municipality’s wealth distribution </w:t>
      </w:r>
      <w:r w:rsidRPr="00BF68FC">
        <w:rPr>
          <w:rFonts w:cstheme="minorHAnsi"/>
          <w:sz w:val="20"/>
          <w:szCs w:val="20"/>
        </w:rPr>
        <w:t xml:space="preserve">are not significantly associated with </w:t>
      </w:r>
      <w:r w:rsidR="00431BED" w:rsidRPr="00BF68FC">
        <w:rPr>
          <w:rFonts w:cstheme="minorHAnsi"/>
          <w:sz w:val="20"/>
          <w:szCs w:val="20"/>
          <w:lang w:val="en-US"/>
        </w:rPr>
        <w:t>an higher number of voluntary hours</w:t>
      </w:r>
      <w:r w:rsidRPr="00BF68FC">
        <w:rPr>
          <w:rFonts w:cstheme="minorHAnsi"/>
          <w:sz w:val="20"/>
          <w:szCs w:val="20"/>
        </w:rPr>
        <w:t xml:space="preserve">. </w:t>
      </w:r>
      <w:r w:rsidR="00431BED" w:rsidRPr="00BF68FC">
        <w:rPr>
          <w:rFonts w:cstheme="minorHAnsi"/>
          <w:sz w:val="20"/>
          <w:szCs w:val="20"/>
          <w:lang w:val="en-US"/>
        </w:rPr>
        <w:t xml:space="preserve">Trust appears to have a positive association with the number of voluntary hours – indicating individuals that are more trusting are more likely to volunteer for more hours than individuals that are not trusting. </w:t>
      </w:r>
      <w:r w:rsidR="00431BED" w:rsidRPr="00BF68FC">
        <w:rPr>
          <w:rFonts w:cstheme="minorHAnsi"/>
          <w:sz w:val="20"/>
          <w:szCs w:val="20"/>
          <w:lang w:val="en-US"/>
        </w:rPr>
        <w:tab/>
      </w:r>
      <w:r w:rsidR="00431BED" w:rsidRPr="00BF68FC">
        <w:rPr>
          <w:rFonts w:cstheme="minorHAnsi"/>
          <w:sz w:val="20"/>
          <w:szCs w:val="20"/>
          <w:lang w:val="en-US"/>
        </w:rPr>
        <w:tab/>
      </w:r>
      <w:r w:rsidR="00431BED" w:rsidRPr="00BF68FC">
        <w:rPr>
          <w:rFonts w:cstheme="minorHAnsi"/>
          <w:sz w:val="20"/>
          <w:szCs w:val="20"/>
        </w:rPr>
        <w:lastRenderedPageBreak/>
        <w:tab/>
      </w:r>
      <w:r w:rsidRPr="00BF68FC">
        <w:rPr>
          <w:rFonts w:cstheme="minorHAnsi"/>
          <w:sz w:val="20"/>
          <w:szCs w:val="20"/>
        </w:rPr>
        <w:t>Model two shows the results of</w:t>
      </w:r>
      <w:r w:rsidR="00431BED" w:rsidRPr="00BF68FC">
        <w:rPr>
          <w:rFonts w:cstheme="minorHAnsi"/>
          <w:sz w:val="20"/>
          <w:szCs w:val="20"/>
          <w:lang w:val="en-US"/>
        </w:rPr>
        <w:t xml:space="preserve"> an investigation of the variables with fixed-effects at the level of individuals. Changes in a municipality’s wealth distribution as compared to the national wealth distribution are not associated with changes in the number of voluntary hours. Changes in an individual’s trust are similarly not significantly associated with changes in the number of voluntary hours – indicating once again that trust cannot mediate the relationship between municipal wealth distribution and the number of voluntary hours. </w:t>
      </w:r>
      <w:r w:rsidR="00982F53" w:rsidRPr="00BF68FC">
        <w:rPr>
          <w:rFonts w:cstheme="minorHAnsi"/>
          <w:sz w:val="20"/>
          <w:szCs w:val="20"/>
          <w:lang w:val="en-US"/>
        </w:rPr>
        <w:tab/>
      </w:r>
      <w:r w:rsidR="00982F53" w:rsidRPr="00BF68FC">
        <w:rPr>
          <w:rFonts w:cstheme="minorHAnsi"/>
          <w:sz w:val="20"/>
          <w:szCs w:val="20"/>
          <w:lang w:val="en-US"/>
        </w:rPr>
        <w:tab/>
      </w:r>
      <w:r w:rsidRPr="00BF68FC">
        <w:rPr>
          <w:rFonts w:cstheme="minorHAnsi"/>
          <w:sz w:val="20"/>
          <w:szCs w:val="20"/>
        </w:rPr>
        <w:t>Model three shows the results of a</w:t>
      </w:r>
      <w:r w:rsidR="00982F53" w:rsidRPr="00BF68FC">
        <w:rPr>
          <w:rFonts w:cstheme="minorHAnsi"/>
          <w:sz w:val="20"/>
          <w:szCs w:val="20"/>
          <w:lang w:val="en-US"/>
        </w:rPr>
        <w:t>n analysis with fixed-effects at the level of individuals and years.</w:t>
      </w:r>
      <w:r w:rsidRPr="00BF68FC">
        <w:rPr>
          <w:rFonts w:cstheme="minorHAnsi"/>
          <w:sz w:val="20"/>
          <w:szCs w:val="20"/>
        </w:rPr>
        <w:t xml:space="preserve"> </w:t>
      </w:r>
      <w:r w:rsidR="00982F53" w:rsidRPr="00BF68FC">
        <w:rPr>
          <w:rFonts w:cstheme="minorHAnsi"/>
          <w:sz w:val="20"/>
          <w:szCs w:val="20"/>
          <w:lang w:val="en-US"/>
        </w:rPr>
        <w:t xml:space="preserve">Changes in the municipal wealth distribution compared to the national wealth distribution are not significantly associated with changes in the number of voluntary hours. Changes in an individual’s trust are also not significantly associated with changes in the number of voluntary hours. As both variables are once again not significant, there can be no mediation. </w:t>
      </w:r>
    </w:p>
    <w:p w14:paraId="0C49778A" w14:textId="77777777" w:rsidR="00D40664" w:rsidRDefault="00D40664" w:rsidP="00953690">
      <w:pPr>
        <w:jc w:val="both"/>
        <w:rPr>
          <w:rFonts w:cstheme="minorHAnsi"/>
        </w:rPr>
      </w:pPr>
    </w:p>
    <w:p w14:paraId="145993AF" w14:textId="77777777" w:rsidR="00D40664" w:rsidRDefault="00D40664" w:rsidP="00953690">
      <w:pPr>
        <w:jc w:val="both"/>
        <w:rPr>
          <w:rFonts w:cstheme="minorHAnsi"/>
        </w:rPr>
      </w:pPr>
    </w:p>
    <w:p w14:paraId="5A68278E" w14:textId="77777777" w:rsidR="00F94C9D" w:rsidRDefault="00F94C9D" w:rsidP="00953690">
      <w:pPr>
        <w:jc w:val="both"/>
        <w:rPr>
          <w:rFonts w:cstheme="minorHAnsi"/>
        </w:rPr>
      </w:pPr>
    </w:p>
    <w:p w14:paraId="04255ECE" w14:textId="77777777" w:rsidR="00F94C9D" w:rsidRDefault="00F94C9D" w:rsidP="00953690">
      <w:pPr>
        <w:jc w:val="both"/>
        <w:rPr>
          <w:rFonts w:cstheme="minorHAnsi"/>
        </w:rPr>
      </w:pPr>
    </w:p>
    <w:p w14:paraId="69953AE8" w14:textId="77777777" w:rsidR="00F94C9D" w:rsidRDefault="00F94C9D" w:rsidP="00953690">
      <w:pPr>
        <w:jc w:val="both"/>
        <w:rPr>
          <w:rFonts w:cstheme="minorHAnsi"/>
        </w:rPr>
      </w:pPr>
    </w:p>
    <w:tbl>
      <w:tblPr>
        <w:tblStyle w:val="TableGrid"/>
        <w:tblpPr w:leftFromText="141" w:rightFromText="141" w:vertAnchor="page" w:horzAnchor="margin" w:tblpY="1917"/>
        <w:tblW w:w="9025" w:type="dxa"/>
        <w:tblLayout w:type="fixed"/>
        <w:tblLook w:val="04A0" w:firstRow="1" w:lastRow="0" w:firstColumn="1" w:lastColumn="0" w:noHBand="0" w:noVBand="1"/>
      </w:tblPr>
      <w:tblGrid>
        <w:gridCol w:w="1364"/>
        <w:gridCol w:w="239"/>
        <w:gridCol w:w="1091"/>
        <w:gridCol w:w="1134"/>
        <w:gridCol w:w="1275"/>
        <w:gridCol w:w="1134"/>
        <w:gridCol w:w="1276"/>
        <w:gridCol w:w="1276"/>
        <w:gridCol w:w="236"/>
      </w:tblGrid>
      <w:tr w:rsidR="00487661" w:rsidRPr="0070582C" w14:paraId="485A8C98" w14:textId="77777777" w:rsidTr="00144C0C">
        <w:trPr>
          <w:gridAfter w:val="1"/>
          <w:wAfter w:w="236" w:type="dxa"/>
          <w:trHeight w:val="263"/>
        </w:trPr>
        <w:tc>
          <w:tcPr>
            <w:tcW w:w="1364" w:type="dxa"/>
            <w:tcBorders>
              <w:top w:val="single" w:sz="8" w:space="0" w:color="auto"/>
              <w:left w:val="nil"/>
              <w:bottom w:val="nil"/>
              <w:right w:val="nil"/>
            </w:tcBorders>
          </w:tcPr>
          <w:p w14:paraId="3144B86D" w14:textId="77777777" w:rsidR="00487661" w:rsidRPr="0070582C" w:rsidRDefault="00487661" w:rsidP="000F4FAA">
            <w:pPr>
              <w:jc w:val="center"/>
              <w:rPr>
                <w:rFonts w:ascii="Times New Roman" w:hAnsi="Times New Roman" w:cs="Times New Roman"/>
                <w:sz w:val="16"/>
                <w:szCs w:val="16"/>
                <w:lang w:val="en-US"/>
              </w:rPr>
            </w:pPr>
          </w:p>
        </w:tc>
        <w:tc>
          <w:tcPr>
            <w:tcW w:w="239" w:type="dxa"/>
            <w:tcBorders>
              <w:top w:val="single" w:sz="8" w:space="0" w:color="auto"/>
              <w:left w:val="nil"/>
              <w:bottom w:val="nil"/>
              <w:right w:val="nil"/>
            </w:tcBorders>
          </w:tcPr>
          <w:p w14:paraId="3463ED5D" w14:textId="77777777" w:rsidR="00487661" w:rsidRPr="0070582C" w:rsidRDefault="00487661" w:rsidP="000F4FAA">
            <w:pPr>
              <w:jc w:val="center"/>
              <w:rPr>
                <w:rFonts w:ascii="Times New Roman" w:hAnsi="Times New Roman" w:cs="Times New Roman"/>
                <w:sz w:val="16"/>
                <w:szCs w:val="16"/>
                <w:lang w:val="en-US"/>
              </w:rPr>
            </w:pPr>
          </w:p>
        </w:tc>
        <w:tc>
          <w:tcPr>
            <w:tcW w:w="2225" w:type="dxa"/>
            <w:gridSpan w:val="2"/>
            <w:tcBorders>
              <w:top w:val="single" w:sz="8" w:space="0" w:color="auto"/>
              <w:left w:val="nil"/>
              <w:bottom w:val="nil"/>
              <w:right w:val="nil"/>
            </w:tcBorders>
          </w:tcPr>
          <w:p w14:paraId="7895D25D" w14:textId="7E5E5841" w:rsidR="00487661" w:rsidRPr="0070582C" w:rsidRDefault="00487661" w:rsidP="000F4FAA">
            <w:pPr>
              <w:jc w:val="center"/>
              <w:rPr>
                <w:rFonts w:asciiTheme="minorHAnsi" w:hAnsiTheme="minorHAnsi" w:cstheme="minorHAnsi"/>
                <w:i/>
                <w:iCs/>
                <w:sz w:val="16"/>
                <w:szCs w:val="16"/>
                <w:lang w:val="en-US"/>
              </w:rPr>
            </w:pPr>
          </w:p>
        </w:tc>
        <w:tc>
          <w:tcPr>
            <w:tcW w:w="2409" w:type="dxa"/>
            <w:gridSpan w:val="2"/>
            <w:tcBorders>
              <w:top w:val="single" w:sz="8" w:space="0" w:color="auto"/>
              <w:left w:val="nil"/>
              <w:bottom w:val="nil"/>
              <w:right w:val="nil"/>
            </w:tcBorders>
          </w:tcPr>
          <w:p w14:paraId="26B421DD" w14:textId="3D6CB32E" w:rsidR="00487661" w:rsidRPr="0070582C" w:rsidRDefault="00487661" w:rsidP="000F4FAA">
            <w:pPr>
              <w:jc w:val="center"/>
              <w:rPr>
                <w:rFonts w:asciiTheme="minorHAnsi" w:hAnsiTheme="minorHAnsi" w:cstheme="minorHAnsi"/>
                <w:i/>
                <w:iCs/>
                <w:sz w:val="16"/>
                <w:szCs w:val="16"/>
                <w:lang w:val="en-US"/>
              </w:rPr>
            </w:pPr>
          </w:p>
        </w:tc>
        <w:tc>
          <w:tcPr>
            <w:tcW w:w="2552" w:type="dxa"/>
            <w:gridSpan w:val="2"/>
            <w:tcBorders>
              <w:top w:val="single" w:sz="8" w:space="0" w:color="auto"/>
              <w:left w:val="nil"/>
              <w:bottom w:val="nil"/>
              <w:right w:val="nil"/>
            </w:tcBorders>
          </w:tcPr>
          <w:p w14:paraId="6783DA4C" w14:textId="402DC195" w:rsidR="00487661" w:rsidRPr="0070582C" w:rsidRDefault="00487661" w:rsidP="000F4FAA">
            <w:pPr>
              <w:jc w:val="both"/>
              <w:rPr>
                <w:rFonts w:asciiTheme="minorHAnsi" w:hAnsiTheme="minorHAnsi" w:cstheme="minorHAnsi"/>
                <w:i/>
                <w:iCs/>
                <w:sz w:val="16"/>
                <w:szCs w:val="16"/>
                <w:lang w:val="en-US"/>
              </w:rPr>
            </w:pPr>
          </w:p>
        </w:tc>
      </w:tr>
      <w:tr w:rsidR="00487661" w:rsidRPr="0070582C" w14:paraId="487C568F" w14:textId="77777777" w:rsidTr="00144C0C">
        <w:trPr>
          <w:gridAfter w:val="1"/>
          <w:wAfter w:w="236" w:type="dxa"/>
          <w:trHeight w:val="261"/>
        </w:trPr>
        <w:tc>
          <w:tcPr>
            <w:tcW w:w="1364" w:type="dxa"/>
            <w:tcBorders>
              <w:top w:val="nil"/>
              <w:left w:val="nil"/>
              <w:bottom w:val="single" w:sz="8" w:space="0" w:color="auto"/>
              <w:right w:val="nil"/>
            </w:tcBorders>
          </w:tcPr>
          <w:p w14:paraId="54D08E24" w14:textId="77777777" w:rsidR="00487661" w:rsidRPr="0070582C" w:rsidRDefault="00487661" w:rsidP="000F4FAA">
            <w:pPr>
              <w:jc w:val="center"/>
              <w:rPr>
                <w:rFonts w:ascii="Times New Roman" w:hAnsi="Times New Roman" w:cs="Times New Roman"/>
                <w:sz w:val="16"/>
                <w:szCs w:val="16"/>
                <w:lang w:val="en-US"/>
              </w:rPr>
            </w:pPr>
          </w:p>
        </w:tc>
        <w:tc>
          <w:tcPr>
            <w:tcW w:w="239" w:type="dxa"/>
            <w:tcBorders>
              <w:top w:val="nil"/>
              <w:left w:val="nil"/>
              <w:bottom w:val="single" w:sz="8" w:space="0" w:color="auto"/>
              <w:right w:val="nil"/>
            </w:tcBorders>
          </w:tcPr>
          <w:p w14:paraId="5FE9DCA2" w14:textId="77777777" w:rsidR="00487661" w:rsidRPr="0070582C" w:rsidRDefault="00487661" w:rsidP="000F4FAA">
            <w:pPr>
              <w:jc w:val="center"/>
              <w:rPr>
                <w:rFonts w:ascii="Times New Roman" w:hAnsi="Times New Roman" w:cs="Times New Roman"/>
                <w:sz w:val="16"/>
                <w:szCs w:val="16"/>
                <w:lang w:val="en-US"/>
              </w:rPr>
            </w:pPr>
          </w:p>
        </w:tc>
        <w:tc>
          <w:tcPr>
            <w:tcW w:w="2225" w:type="dxa"/>
            <w:gridSpan w:val="2"/>
            <w:tcBorders>
              <w:top w:val="nil"/>
              <w:left w:val="nil"/>
              <w:bottom w:val="single" w:sz="8" w:space="0" w:color="auto"/>
              <w:right w:val="nil"/>
            </w:tcBorders>
          </w:tcPr>
          <w:p w14:paraId="29C21FB9" w14:textId="66044BEF" w:rsidR="00487661" w:rsidRPr="0070582C" w:rsidRDefault="00144C0C" w:rsidP="000F4FAA">
            <w:pPr>
              <w:jc w:val="center"/>
              <w:rPr>
                <w:rFonts w:asciiTheme="minorHAnsi" w:hAnsiTheme="minorHAnsi" w:cstheme="minorHAnsi"/>
                <w:sz w:val="16"/>
                <w:szCs w:val="16"/>
                <w:lang w:val="en-US"/>
              </w:rPr>
            </w:pPr>
            <w:r>
              <w:rPr>
                <w:rFonts w:asciiTheme="minorHAnsi" w:hAnsiTheme="minorHAnsi" w:cstheme="minorHAnsi"/>
                <w:sz w:val="16"/>
                <w:szCs w:val="16"/>
                <w:lang w:val="en-US"/>
              </w:rPr>
              <w:t xml:space="preserve">1. </w:t>
            </w:r>
            <w:r w:rsidR="00487661" w:rsidRPr="0070582C">
              <w:rPr>
                <w:rFonts w:asciiTheme="minorHAnsi" w:hAnsiTheme="minorHAnsi" w:cstheme="minorHAnsi"/>
                <w:sz w:val="16"/>
                <w:szCs w:val="16"/>
                <w:lang w:val="en-US"/>
              </w:rPr>
              <w:t>Municipal FE</w:t>
            </w:r>
          </w:p>
        </w:tc>
        <w:tc>
          <w:tcPr>
            <w:tcW w:w="2409" w:type="dxa"/>
            <w:gridSpan w:val="2"/>
            <w:tcBorders>
              <w:top w:val="nil"/>
              <w:left w:val="nil"/>
              <w:bottom w:val="single" w:sz="8" w:space="0" w:color="auto"/>
              <w:right w:val="nil"/>
            </w:tcBorders>
          </w:tcPr>
          <w:p w14:paraId="1747D320" w14:textId="7342318A" w:rsidR="00487661" w:rsidRPr="0070582C" w:rsidRDefault="00144C0C" w:rsidP="000F4FAA">
            <w:pPr>
              <w:jc w:val="center"/>
              <w:rPr>
                <w:rFonts w:asciiTheme="minorHAnsi" w:hAnsiTheme="minorHAnsi" w:cstheme="minorHAnsi"/>
                <w:sz w:val="16"/>
                <w:szCs w:val="16"/>
                <w:lang w:val="en-US"/>
              </w:rPr>
            </w:pPr>
            <w:r>
              <w:rPr>
                <w:rFonts w:asciiTheme="minorHAnsi" w:hAnsiTheme="minorHAnsi" w:cstheme="minorHAnsi"/>
                <w:sz w:val="16"/>
                <w:szCs w:val="16"/>
                <w:lang w:val="en-US"/>
              </w:rPr>
              <w:t xml:space="preserve">2. </w:t>
            </w:r>
            <w:r w:rsidR="00487661" w:rsidRPr="0070582C">
              <w:rPr>
                <w:rFonts w:asciiTheme="minorHAnsi" w:hAnsiTheme="minorHAnsi" w:cstheme="minorHAnsi"/>
                <w:sz w:val="16"/>
                <w:szCs w:val="16"/>
                <w:lang w:val="en-US"/>
              </w:rPr>
              <w:t>Individual FE</w:t>
            </w:r>
          </w:p>
        </w:tc>
        <w:tc>
          <w:tcPr>
            <w:tcW w:w="2552" w:type="dxa"/>
            <w:gridSpan w:val="2"/>
            <w:tcBorders>
              <w:top w:val="nil"/>
              <w:left w:val="nil"/>
              <w:bottom w:val="single" w:sz="8" w:space="0" w:color="auto"/>
              <w:right w:val="nil"/>
            </w:tcBorders>
          </w:tcPr>
          <w:p w14:paraId="397B4113" w14:textId="5413A30B" w:rsidR="00487661" w:rsidRPr="0070582C" w:rsidRDefault="00144C0C" w:rsidP="000F4FAA">
            <w:pPr>
              <w:jc w:val="center"/>
              <w:rPr>
                <w:rFonts w:asciiTheme="minorHAnsi" w:hAnsiTheme="minorHAnsi" w:cstheme="minorHAnsi"/>
                <w:sz w:val="16"/>
                <w:szCs w:val="16"/>
                <w:lang w:val="en-US"/>
              </w:rPr>
            </w:pPr>
            <w:r>
              <w:rPr>
                <w:rFonts w:asciiTheme="minorHAnsi" w:hAnsiTheme="minorHAnsi" w:cstheme="minorHAnsi"/>
                <w:sz w:val="16"/>
                <w:szCs w:val="16"/>
                <w:lang w:val="en-US"/>
              </w:rPr>
              <w:t xml:space="preserve">3. </w:t>
            </w:r>
            <w:r w:rsidR="00487661" w:rsidRPr="0070582C">
              <w:rPr>
                <w:rFonts w:asciiTheme="minorHAnsi" w:hAnsiTheme="minorHAnsi" w:cstheme="minorHAnsi"/>
                <w:sz w:val="16"/>
                <w:szCs w:val="16"/>
                <w:lang w:val="en-US"/>
              </w:rPr>
              <w:t>Individual and time FE</w:t>
            </w:r>
          </w:p>
        </w:tc>
      </w:tr>
      <w:tr w:rsidR="00487661" w:rsidRPr="0070582C" w14:paraId="61A27082" w14:textId="77777777" w:rsidTr="000F4FAA">
        <w:trPr>
          <w:gridAfter w:val="1"/>
          <w:wAfter w:w="236" w:type="dxa"/>
          <w:trHeight w:val="121"/>
        </w:trPr>
        <w:tc>
          <w:tcPr>
            <w:tcW w:w="1364" w:type="dxa"/>
            <w:tcBorders>
              <w:top w:val="single" w:sz="8" w:space="0" w:color="auto"/>
              <w:left w:val="nil"/>
              <w:bottom w:val="nil"/>
              <w:right w:val="nil"/>
            </w:tcBorders>
          </w:tcPr>
          <w:p w14:paraId="651191ED"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Constant</w:t>
            </w:r>
          </w:p>
        </w:tc>
        <w:tc>
          <w:tcPr>
            <w:tcW w:w="239" w:type="dxa"/>
            <w:tcBorders>
              <w:top w:val="single" w:sz="8" w:space="0" w:color="auto"/>
              <w:left w:val="nil"/>
              <w:bottom w:val="nil"/>
              <w:right w:val="nil"/>
            </w:tcBorders>
          </w:tcPr>
          <w:p w14:paraId="6E18131A" w14:textId="77777777" w:rsidR="00487661" w:rsidRPr="0070582C" w:rsidRDefault="00487661" w:rsidP="000F4FAA">
            <w:pPr>
              <w:jc w:val="center"/>
              <w:rPr>
                <w:rFonts w:asciiTheme="minorHAnsi" w:hAnsiTheme="minorHAnsi" w:cstheme="minorHAnsi"/>
                <w:sz w:val="16"/>
                <w:szCs w:val="16"/>
                <w:lang w:val="en-US"/>
              </w:rPr>
            </w:pPr>
          </w:p>
        </w:tc>
        <w:tc>
          <w:tcPr>
            <w:tcW w:w="1091" w:type="dxa"/>
            <w:tcBorders>
              <w:top w:val="single" w:sz="8" w:space="0" w:color="auto"/>
              <w:left w:val="nil"/>
              <w:bottom w:val="nil"/>
              <w:right w:val="nil"/>
            </w:tcBorders>
          </w:tcPr>
          <w:p w14:paraId="2CA1BCC4"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-.087</w:t>
            </w:r>
          </w:p>
        </w:tc>
        <w:tc>
          <w:tcPr>
            <w:tcW w:w="1134" w:type="dxa"/>
            <w:tcBorders>
              <w:top w:val="single" w:sz="8" w:space="0" w:color="auto"/>
              <w:left w:val="nil"/>
              <w:bottom w:val="nil"/>
              <w:right w:val="nil"/>
            </w:tcBorders>
          </w:tcPr>
          <w:p w14:paraId="53D36978"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(0.327)</w:t>
            </w:r>
          </w:p>
        </w:tc>
        <w:tc>
          <w:tcPr>
            <w:tcW w:w="1275" w:type="dxa"/>
            <w:tcBorders>
              <w:top w:val="single" w:sz="8" w:space="0" w:color="auto"/>
              <w:left w:val="nil"/>
              <w:bottom w:val="nil"/>
              <w:right w:val="nil"/>
            </w:tcBorders>
          </w:tcPr>
          <w:p w14:paraId="7081F842"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1.728*</w:t>
            </w:r>
          </w:p>
        </w:tc>
        <w:tc>
          <w:tcPr>
            <w:tcW w:w="1134" w:type="dxa"/>
            <w:tcBorders>
              <w:top w:val="single" w:sz="8" w:space="0" w:color="auto"/>
              <w:left w:val="nil"/>
              <w:bottom w:val="nil"/>
              <w:right w:val="nil"/>
            </w:tcBorders>
          </w:tcPr>
          <w:p w14:paraId="451DE9BF"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(0.677)</w:t>
            </w:r>
          </w:p>
        </w:tc>
        <w:tc>
          <w:tcPr>
            <w:tcW w:w="1276" w:type="dxa"/>
            <w:tcBorders>
              <w:top w:val="single" w:sz="8" w:space="0" w:color="auto"/>
              <w:left w:val="nil"/>
              <w:bottom w:val="nil"/>
              <w:right w:val="nil"/>
            </w:tcBorders>
          </w:tcPr>
          <w:p w14:paraId="279D2246"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w:t>
            </w:r>
            <w:r>
              <w:rPr>
                <w:rFonts w:asciiTheme="minorHAnsi" w:hAnsiTheme="minorHAnsi" w:cstheme="minorHAnsi"/>
                <w:sz w:val="16"/>
                <w:szCs w:val="16"/>
                <w:lang w:val="en-US"/>
              </w:rPr>
              <w:t>1.776</w:t>
            </w:r>
          </w:p>
        </w:tc>
        <w:tc>
          <w:tcPr>
            <w:tcW w:w="1276" w:type="dxa"/>
            <w:tcBorders>
              <w:top w:val="single" w:sz="8" w:space="0" w:color="auto"/>
              <w:left w:val="nil"/>
              <w:bottom w:val="nil"/>
              <w:right w:val="nil"/>
            </w:tcBorders>
          </w:tcPr>
          <w:p w14:paraId="5238A1C2" w14:textId="77777777" w:rsidR="00487661" w:rsidRPr="0070582C" w:rsidRDefault="00487661" w:rsidP="000F4FAA">
            <w:pPr>
              <w:jc w:val="center"/>
              <w:rPr>
                <w:rFonts w:asciiTheme="minorHAnsi" w:hAnsiTheme="minorHAnsi" w:cstheme="minorHAnsi"/>
                <w:sz w:val="16"/>
                <w:szCs w:val="16"/>
                <w:lang w:val="en-US"/>
              </w:rPr>
            </w:pPr>
            <w:r>
              <w:rPr>
                <w:rFonts w:asciiTheme="minorHAnsi" w:hAnsiTheme="minorHAnsi" w:cstheme="minorHAnsi"/>
                <w:sz w:val="16"/>
                <w:szCs w:val="16"/>
                <w:lang w:val="en-US"/>
              </w:rPr>
              <w:t>(1.569)</w:t>
            </w:r>
          </w:p>
        </w:tc>
      </w:tr>
      <w:tr w:rsidR="00487661" w:rsidRPr="0070582C" w14:paraId="4E3C5E3C" w14:textId="77777777" w:rsidTr="000F4FAA">
        <w:trPr>
          <w:gridAfter w:val="1"/>
          <w:wAfter w:w="236" w:type="dxa"/>
          <w:trHeight w:val="261"/>
        </w:trPr>
        <w:tc>
          <w:tcPr>
            <w:tcW w:w="1364" w:type="dxa"/>
            <w:tcBorders>
              <w:top w:val="nil"/>
              <w:left w:val="nil"/>
              <w:bottom w:val="nil"/>
              <w:right w:val="nil"/>
            </w:tcBorders>
          </w:tcPr>
          <w:p w14:paraId="2FC30DAF"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 xml:space="preserve">Wealth Inequality </w:t>
            </w:r>
          </w:p>
        </w:tc>
        <w:tc>
          <w:tcPr>
            <w:tcW w:w="239" w:type="dxa"/>
            <w:tcBorders>
              <w:top w:val="nil"/>
              <w:left w:val="nil"/>
              <w:bottom w:val="nil"/>
              <w:right w:val="nil"/>
            </w:tcBorders>
          </w:tcPr>
          <w:p w14:paraId="68F0BFF9" w14:textId="77777777" w:rsidR="00487661" w:rsidRPr="0070582C" w:rsidRDefault="00487661" w:rsidP="000F4FAA">
            <w:pPr>
              <w:jc w:val="center"/>
              <w:rPr>
                <w:rFonts w:asciiTheme="minorHAnsi" w:hAnsiTheme="minorHAnsi" w:cstheme="minorHAnsi"/>
                <w:sz w:val="16"/>
                <w:szCs w:val="16"/>
                <w:lang w:val="en-US"/>
              </w:rPr>
            </w:pPr>
          </w:p>
        </w:tc>
        <w:tc>
          <w:tcPr>
            <w:tcW w:w="1091" w:type="dxa"/>
            <w:tcBorders>
              <w:top w:val="nil"/>
              <w:left w:val="nil"/>
              <w:bottom w:val="nil"/>
              <w:right w:val="nil"/>
            </w:tcBorders>
          </w:tcPr>
          <w:p w14:paraId="7701A5A5"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.004</w:t>
            </w:r>
          </w:p>
        </w:tc>
        <w:tc>
          <w:tcPr>
            <w:tcW w:w="1134" w:type="dxa"/>
            <w:tcBorders>
              <w:top w:val="nil"/>
              <w:left w:val="nil"/>
              <w:bottom w:val="nil"/>
              <w:right w:val="nil"/>
            </w:tcBorders>
          </w:tcPr>
          <w:p w14:paraId="153CA441"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(.004)</w:t>
            </w:r>
          </w:p>
        </w:tc>
        <w:tc>
          <w:tcPr>
            <w:tcW w:w="1275" w:type="dxa"/>
            <w:tcBorders>
              <w:top w:val="nil"/>
              <w:left w:val="nil"/>
              <w:bottom w:val="nil"/>
              <w:right w:val="nil"/>
            </w:tcBorders>
          </w:tcPr>
          <w:p w14:paraId="52760816"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-.003</w:t>
            </w:r>
          </w:p>
        </w:tc>
        <w:tc>
          <w:tcPr>
            <w:tcW w:w="1134" w:type="dxa"/>
            <w:tcBorders>
              <w:top w:val="nil"/>
              <w:left w:val="nil"/>
              <w:bottom w:val="nil"/>
              <w:right w:val="nil"/>
            </w:tcBorders>
          </w:tcPr>
          <w:p w14:paraId="15210FDB"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(.005)</w:t>
            </w:r>
          </w:p>
        </w:tc>
        <w:tc>
          <w:tcPr>
            <w:tcW w:w="1276" w:type="dxa"/>
            <w:tcBorders>
              <w:top w:val="nil"/>
              <w:left w:val="nil"/>
              <w:bottom w:val="nil"/>
              <w:right w:val="nil"/>
            </w:tcBorders>
          </w:tcPr>
          <w:p w14:paraId="306A128F"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-.004</w:t>
            </w:r>
          </w:p>
        </w:tc>
        <w:tc>
          <w:tcPr>
            <w:tcW w:w="1276" w:type="dxa"/>
            <w:tcBorders>
              <w:top w:val="nil"/>
              <w:left w:val="nil"/>
              <w:bottom w:val="nil"/>
              <w:right w:val="nil"/>
            </w:tcBorders>
          </w:tcPr>
          <w:p w14:paraId="7056D528" w14:textId="77777777" w:rsidR="00487661" w:rsidRPr="0070582C" w:rsidRDefault="00487661" w:rsidP="000F4FAA">
            <w:pPr>
              <w:jc w:val="center"/>
              <w:rPr>
                <w:rFonts w:asciiTheme="minorHAnsi" w:hAnsiTheme="minorHAnsi" w:cstheme="minorHAnsi"/>
                <w:sz w:val="16"/>
                <w:szCs w:val="16"/>
                <w:lang w:val="en-US"/>
              </w:rPr>
            </w:pPr>
            <w:r>
              <w:rPr>
                <w:rFonts w:asciiTheme="minorHAnsi" w:hAnsiTheme="minorHAnsi" w:cstheme="minorHAnsi"/>
                <w:sz w:val="16"/>
                <w:szCs w:val="16"/>
                <w:lang w:val="en-US"/>
              </w:rPr>
              <w:t>(.002)</w:t>
            </w:r>
          </w:p>
        </w:tc>
      </w:tr>
      <w:tr w:rsidR="00487661" w:rsidRPr="0070582C" w14:paraId="4F20CECF" w14:textId="77777777" w:rsidTr="000F4FAA">
        <w:trPr>
          <w:gridAfter w:val="1"/>
          <w:wAfter w:w="236" w:type="dxa"/>
          <w:trHeight w:val="135"/>
        </w:trPr>
        <w:tc>
          <w:tcPr>
            <w:tcW w:w="1364" w:type="dxa"/>
            <w:tcBorders>
              <w:top w:val="nil"/>
              <w:left w:val="nil"/>
              <w:bottom w:val="nil"/>
              <w:right w:val="nil"/>
            </w:tcBorders>
          </w:tcPr>
          <w:p w14:paraId="7CF803A0"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Trust</w:t>
            </w:r>
          </w:p>
        </w:tc>
        <w:tc>
          <w:tcPr>
            <w:tcW w:w="239" w:type="dxa"/>
            <w:tcBorders>
              <w:top w:val="nil"/>
              <w:left w:val="nil"/>
              <w:bottom w:val="nil"/>
              <w:right w:val="nil"/>
            </w:tcBorders>
          </w:tcPr>
          <w:p w14:paraId="51B01D8A" w14:textId="77777777" w:rsidR="00487661" w:rsidRPr="0070582C" w:rsidRDefault="00487661" w:rsidP="000F4FAA">
            <w:pPr>
              <w:jc w:val="center"/>
              <w:rPr>
                <w:rFonts w:asciiTheme="minorHAnsi" w:hAnsiTheme="minorHAnsi" w:cstheme="minorHAnsi"/>
                <w:sz w:val="16"/>
                <w:szCs w:val="16"/>
                <w:lang w:val="en-US"/>
              </w:rPr>
            </w:pPr>
          </w:p>
        </w:tc>
        <w:tc>
          <w:tcPr>
            <w:tcW w:w="1091" w:type="dxa"/>
            <w:tcBorders>
              <w:top w:val="nil"/>
              <w:left w:val="nil"/>
              <w:bottom w:val="nil"/>
              <w:right w:val="nil"/>
            </w:tcBorders>
          </w:tcPr>
          <w:p w14:paraId="6C6A2041"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.063***</w:t>
            </w:r>
          </w:p>
        </w:tc>
        <w:tc>
          <w:tcPr>
            <w:tcW w:w="1134" w:type="dxa"/>
            <w:tcBorders>
              <w:top w:val="nil"/>
              <w:left w:val="nil"/>
              <w:bottom w:val="nil"/>
              <w:right w:val="nil"/>
            </w:tcBorders>
          </w:tcPr>
          <w:p w14:paraId="3E6457BF"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(.008)</w:t>
            </w:r>
          </w:p>
        </w:tc>
        <w:tc>
          <w:tcPr>
            <w:tcW w:w="1275" w:type="dxa"/>
            <w:tcBorders>
              <w:top w:val="nil"/>
              <w:left w:val="nil"/>
              <w:bottom w:val="nil"/>
              <w:right w:val="nil"/>
            </w:tcBorders>
          </w:tcPr>
          <w:p w14:paraId="2A871739"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.029</w:t>
            </w:r>
          </w:p>
        </w:tc>
        <w:tc>
          <w:tcPr>
            <w:tcW w:w="1134" w:type="dxa"/>
            <w:tcBorders>
              <w:top w:val="nil"/>
              <w:left w:val="nil"/>
              <w:bottom w:val="nil"/>
              <w:right w:val="nil"/>
            </w:tcBorders>
          </w:tcPr>
          <w:p w14:paraId="1B92C192"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(.017)</w:t>
            </w:r>
          </w:p>
        </w:tc>
        <w:tc>
          <w:tcPr>
            <w:tcW w:w="1276" w:type="dxa"/>
            <w:tcBorders>
              <w:top w:val="nil"/>
              <w:left w:val="nil"/>
              <w:bottom w:val="nil"/>
              <w:right w:val="nil"/>
            </w:tcBorders>
          </w:tcPr>
          <w:p w14:paraId="6818CC0A"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w:t>
            </w:r>
            <w:r>
              <w:rPr>
                <w:rFonts w:asciiTheme="minorHAnsi" w:hAnsiTheme="minorHAnsi" w:cstheme="minorHAnsi"/>
                <w:sz w:val="16"/>
                <w:szCs w:val="16"/>
                <w:lang w:val="en-US"/>
              </w:rPr>
              <w:t>22</w:t>
            </w:r>
          </w:p>
        </w:tc>
        <w:tc>
          <w:tcPr>
            <w:tcW w:w="1276" w:type="dxa"/>
            <w:tcBorders>
              <w:top w:val="nil"/>
              <w:left w:val="nil"/>
              <w:bottom w:val="nil"/>
              <w:right w:val="nil"/>
            </w:tcBorders>
          </w:tcPr>
          <w:p w14:paraId="1A5878D9"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w:t>
            </w:r>
            <w:r>
              <w:rPr>
                <w:rFonts w:asciiTheme="minorHAnsi" w:hAnsiTheme="minorHAnsi" w:cstheme="minorHAnsi"/>
                <w:sz w:val="16"/>
                <w:szCs w:val="16"/>
                <w:lang w:val="en-US"/>
              </w:rPr>
              <w:t>012</w:t>
            </w:r>
            <w:r w:rsidRPr="0070582C">
              <w:rPr>
                <w:rFonts w:asciiTheme="minorHAnsi" w:hAnsiTheme="minorHAnsi" w:cstheme="minorHAnsi"/>
                <w:sz w:val="16"/>
                <w:szCs w:val="16"/>
                <w:lang w:val="en-US"/>
              </w:rPr>
              <w:t>)</w:t>
            </w:r>
          </w:p>
        </w:tc>
      </w:tr>
      <w:tr w:rsidR="00487661" w:rsidRPr="0070582C" w14:paraId="03BCF62E" w14:textId="77777777" w:rsidTr="000F4FAA">
        <w:trPr>
          <w:gridAfter w:val="1"/>
          <w:wAfter w:w="236" w:type="dxa"/>
          <w:trHeight w:val="96"/>
        </w:trPr>
        <w:tc>
          <w:tcPr>
            <w:tcW w:w="1364" w:type="dxa"/>
            <w:tcBorders>
              <w:top w:val="nil"/>
              <w:left w:val="nil"/>
              <w:bottom w:val="nil"/>
              <w:right w:val="nil"/>
            </w:tcBorders>
          </w:tcPr>
          <w:p w14:paraId="38AABAF5"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 xml:space="preserve">Age </w:t>
            </w:r>
          </w:p>
        </w:tc>
        <w:tc>
          <w:tcPr>
            <w:tcW w:w="239" w:type="dxa"/>
            <w:tcBorders>
              <w:top w:val="nil"/>
              <w:left w:val="nil"/>
              <w:bottom w:val="nil"/>
              <w:right w:val="nil"/>
            </w:tcBorders>
          </w:tcPr>
          <w:p w14:paraId="08D32817" w14:textId="77777777" w:rsidR="00487661" w:rsidRPr="0070582C" w:rsidRDefault="00487661" w:rsidP="000F4FAA">
            <w:pPr>
              <w:jc w:val="center"/>
              <w:rPr>
                <w:rFonts w:asciiTheme="minorHAnsi" w:hAnsiTheme="minorHAnsi" w:cstheme="minorHAnsi"/>
                <w:sz w:val="16"/>
                <w:szCs w:val="16"/>
                <w:lang w:val="en-US"/>
              </w:rPr>
            </w:pPr>
          </w:p>
        </w:tc>
        <w:tc>
          <w:tcPr>
            <w:tcW w:w="1091" w:type="dxa"/>
            <w:tcBorders>
              <w:top w:val="nil"/>
              <w:left w:val="nil"/>
              <w:bottom w:val="nil"/>
              <w:right w:val="nil"/>
            </w:tcBorders>
          </w:tcPr>
          <w:p w14:paraId="27B5C117"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-.001</w:t>
            </w:r>
          </w:p>
        </w:tc>
        <w:tc>
          <w:tcPr>
            <w:tcW w:w="1134" w:type="dxa"/>
            <w:tcBorders>
              <w:top w:val="nil"/>
              <w:left w:val="nil"/>
              <w:bottom w:val="nil"/>
              <w:right w:val="nil"/>
            </w:tcBorders>
          </w:tcPr>
          <w:p w14:paraId="02BD54D1"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(.001)</w:t>
            </w:r>
          </w:p>
        </w:tc>
        <w:tc>
          <w:tcPr>
            <w:tcW w:w="1275" w:type="dxa"/>
            <w:tcBorders>
              <w:top w:val="nil"/>
              <w:left w:val="nil"/>
              <w:bottom w:val="nil"/>
              <w:right w:val="nil"/>
            </w:tcBorders>
          </w:tcPr>
          <w:p w14:paraId="346B9803"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-.018*</w:t>
            </w:r>
          </w:p>
        </w:tc>
        <w:tc>
          <w:tcPr>
            <w:tcW w:w="1134" w:type="dxa"/>
            <w:tcBorders>
              <w:top w:val="nil"/>
              <w:left w:val="nil"/>
              <w:bottom w:val="nil"/>
              <w:right w:val="nil"/>
            </w:tcBorders>
          </w:tcPr>
          <w:p w14:paraId="1EB38CE0"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(.007)</w:t>
            </w:r>
          </w:p>
        </w:tc>
        <w:tc>
          <w:tcPr>
            <w:tcW w:w="1276" w:type="dxa"/>
            <w:tcBorders>
              <w:top w:val="nil"/>
              <w:left w:val="nil"/>
              <w:bottom w:val="nil"/>
              <w:right w:val="nil"/>
            </w:tcBorders>
          </w:tcPr>
          <w:p w14:paraId="6930396D"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-.001</w:t>
            </w:r>
          </w:p>
        </w:tc>
        <w:tc>
          <w:tcPr>
            <w:tcW w:w="1276" w:type="dxa"/>
            <w:tcBorders>
              <w:top w:val="nil"/>
              <w:left w:val="nil"/>
              <w:bottom w:val="nil"/>
              <w:right w:val="nil"/>
            </w:tcBorders>
          </w:tcPr>
          <w:p w14:paraId="7A17F272"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(.001)</w:t>
            </w:r>
          </w:p>
        </w:tc>
      </w:tr>
      <w:tr w:rsidR="00487661" w:rsidRPr="0070582C" w14:paraId="64E84A5D" w14:textId="77777777" w:rsidTr="000F4FAA">
        <w:trPr>
          <w:gridAfter w:val="1"/>
          <w:wAfter w:w="236" w:type="dxa"/>
          <w:trHeight w:val="198"/>
        </w:trPr>
        <w:tc>
          <w:tcPr>
            <w:tcW w:w="1364" w:type="dxa"/>
            <w:tcBorders>
              <w:top w:val="nil"/>
              <w:left w:val="nil"/>
              <w:bottom w:val="nil"/>
              <w:right w:val="nil"/>
            </w:tcBorders>
          </w:tcPr>
          <w:p w14:paraId="033CF272"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 xml:space="preserve">Female </w:t>
            </w:r>
          </w:p>
        </w:tc>
        <w:tc>
          <w:tcPr>
            <w:tcW w:w="239" w:type="dxa"/>
            <w:tcBorders>
              <w:top w:val="nil"/>
              <w:left w:val="nil"/>
              <w:bottom w:val="nil"/>
              <w:right w:val="nil"/>
            </w:tcBorders>
          </w:tcPr>
          <w:p w14:paraId="542DA793" w14:textId="77777777" w:rsidR="00487661" w:rsidRPr="0070582C" w:rsidRDefault="00487661" w:rsidP="000F4FAA">
            <w:pPr>
              <w:jc w:val="center"/>
              <w:rPr>
                <w:rFonts w:asciiTheme="minorHAnsi" w:hAnsiTheme="minorHAnsi" w:cstheme="minorHAnsi"/>
                <w:sz w:val="16"/>
                <w:szCs w:val="16"/>
                <w:lang w:val="en-US"/>
              </w:rPr>
            </w:pPr>
          </w:p>
        </w:tc>
        <w:tc>
          <w:tcPr>
            <w:tcW w:w="1091" w:type="dxa"/>
            <w:tcBorders>
              <w:top w:val="nil"/>
              <w:left w:val="nil"/>
              <w:bottom w:val="nil"/>
              <w:right w:val="nil"/>
            </w:tcBorders>
          </w:tcPr>
          <w:p w14:paraId="76829A07"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-.047***</w:t>
            </w:r>
          </w:p>
        </w:tc>
        <w:tc>
          <w:tcPr>
            <w:tcW w:w="1134" w:type="dxa"/>
            <w:tcBorders>
              <w:top w:val="nil"/>
              <w:left w:val="nil"/>
              <w:bottom w:val="nil"/>
              <w:right w:val="nil"/>
            </w:tcBorders>
          </w:tcPr>
          <w:p w14:paraId="0B5BF768"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(.015)</w:t>
            </w:r>
          </w:p>
        </w:tc>
        <w:tc>
          <w:tcPr>
            <w:tcW w:w="1275" w:type="dxa"/>
            <w:tcBorders>
              <w:top w:val="nil"/>
              <w:left w:val="nil"/>
              <w:bottom w:val="nil"/>
              <w:right w:val="nil"/>
            </w:tcBorders>
          </w:tcPr>
          <w:p w14:paraId="622F03CE" w14:textId="77777777" w:rsidR="00487661" w:rsidRPr="008D2A53" w:rsidRDefault="00487661" w:rsidP="000F4FAA">
            <w:pPr>
              <w:jc w:val="center"/>
              <w:rPr>
                <w:rFonts w:asciiTheme="minorHAnsi" w:hAnsiTheme="minorHAnsi" w:cstheme="minorHAnsi"/>
                <w:sz w:val="16"/>
                <w:szCs w:val="16"/>
                <w:lang w:val="en-US"/>
              </w:rPr>
            </w:pPr>
          </w:p>
        </w:tc>
        <w:tc>
          <w:tcPr>
            <w:tcW w:w="1134" w:type="dxa"/>
            <w:tcBorders>
              <w:top w:val="nil"/>
              <w:left w:val="nil"/>
              <w:bottom w:val="nil"/>
              <w:right w:val="nil"/>
            </w:tcBorders>
          </w:tcPr>
          <w:p w14:paraId="40B1EA6D" w14:textId="77777777" w:rsidR="00487661" w:rsidRPr="008D2A53" w:rsidRDefault="00487661" w:rsidP="000F4FAA">
            <w:pPr>
              <w:jc w:val="center"/>
              <w:rPr>
                <w:rFonts w:asciiTheme="minorHAnsi" w:hAnsiTheme="minorHAnsi" w:cstheme="minorHAnsi"/>
                <w:sz w:val="16"/>
                <w:szCs w:val="16"/>
                <w:lang w:val="en-US"/>
              </w:rPr>
            </w:pPr>
          </w:p>
        </w:tc>
        <w:tc>
          <w:tcPr>
            <w:tcW w:w="1276" w:type="dxa"/>
            <w:tcBorders>
              <w:top w:val="nil"/>
              <w:left w:val="nil"/>
              <w:bottom w:val="nil"/>
              <w:right w:val="nil"/>
            </w:tcBorders>
          </w:tcPr>
          <w:p w14:paraId="047B235B"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-.047**</w:t>
            </w:r>
          </w:p>
        </w:tc>
        <w:tc>
          <w:tcPr>
            <w:tcW w:w="1276" w:type="dxa"/>
            <w:tcBorders>
              <w:top w:val="nil"/>
              <w:left w:val="nil"/>
              <w:bottom w:val="nil"/>
              <w:right w:val="nil"/>
            </w:tcBorders>
          </w:tcPr>
          <w:p w14:paraId="0307FFAD"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(.015)</w:t>
            </w:r>
          </w:p>
        </w:tc>
      </w:tr>
      <w:tr w:rsidR="00487661" w:rsidRPr="0070582C" w14:paraId="6B25003A" w14:textId="77777777" w:rsidTr="000F4FAA">
        <w:trPr>
          <w:gridAfter w:val="1"/>
          <w:wAfter w:w="236" w:type="dxa"/>
          <w:trHeight w:val="143"/>
        </w:trPr>
        <w:tc>
          <w:tcPr>
            <w:tcW w:w="1364" w:type="dxa"/>
            <w:tcBorders>
              <w:top w:val="nil"/>
              <w:left w:val="nil"/>
              <w:bottom w:val="nil"/>
              <w:right w:val="nil"/>
            </w:tcBorders>
          </w:tcPr>
          <w:p w14:paraId="3E79CCAC"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 xml:space="preserve">Religion </w:t>
            </w:r>
          </w:p>
        </w:tc>
        <w:tc>
          <w:tcPr>
            <w:tcW w:w="239" w:type="dxa"/>
            <w:tcBorders>
              <w:top w:val="nil"/>
              <w:left w:val="nil"/>
              <w:bottom w:val="nil"/>
              <w:right w:val="nil"/>
            </w:tcBorders>
          </w:tcPr>
          <w:p w14:paraId="61ADA8C4" w14:textId="77777777" w:rsidR="00487661" w:rsidRPr="0070582C" w:rsidRDefault="00487661" w:rsidP="000F4FAA">
            <w:pPr>
              <w:jc w:val="center"/>
              <w:rPr>
                <w:rFonts w:asciiTheme="minorHAnsi" w:hAnsiTheme="minorHAnsi" w:cstheme="minorHAnsi"/>
                <w:sz w:val="16"/>
                <w:szCs w:val="16"/>
                <w:lang w:val="en-US"/>
              </w:rPr>
            </w:pPr>
          </w:p>
        </w:tc>
        <w:tc>
          <w:tcPr>
            <w:tcW w:w="1091" w:type="dxa"/>
            <w:tcBorders>
              <w:top w:val="nil"/>
              <w:left w:val="nil"/>
              <w:bottom w:val="nil"/>
              <w:right w:val="nil"/>
            </w:tcBorders>
          </w:tcPr>
          <w:p w14:paraId="5E304F94"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.023</w:t>
            </w:r>
          </w:p>
        </w:tc>
        <w:tc>
          <w:tcPr>
            <w:tcW w:w="1134" w:type="dxa"/>
            <w:tcBorders>
              <w:top w:val="nil"/>
              <w:left w:val="nil"/>
              <w:bottom w:val="nil"/>
              <w:right w:val="nil"/>
            </w:tcBorders>
          </w:tcPr>
          <w:p w14:paraId="7E69BB93"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(.019)</w:t>
            </w:r>
          </w:p>
        </w:tc>
        <w:tc>
          <w:tcPr>
            <w:tcW w:w="1275" w:type="dxa"/>
            <w:tcBorders>
              <w:top w:val="nil"/>
              <w:left w:val="nil"/>
              <w:bottom w:val="nil"/>
              <w:right w:val="nil"/>
            </w:tcBorders>
          </w:tcPr>
          <w:p w14:paraId="394DFC4D"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-.032</w:t>
            </w:r>
          </w:p>
        </w:tc>
        <w:tc>
          <w:tcPr>
            <w:tcW w:w="1134" w:type="dxa"/>
            <w:tcBorders>
              <w:top w:val="nil"/>
              <w:left w:val="nil"/>
              <w:bottom w:val="nil"/>
              <w:right w:val="nil"/>
            </w:tcBorders>
          </w:tcPr>
          <w:p w14:paraId="7FD4E039"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(.045)</w:t>
            </w:r>
          </w:p>
        </w:tc>
        <w:tc>
          <w:tcPr>
            <w:tcW w:w="1276" w:type="dxa"/>
            <w:tcBorders>
              <w:top w:val="nil"/>
              <w:left w:val="nil"/>
              <w:bottom w:val="nil"/>
              <w:right w:val="nil"/>
            </w:tcBorders>
          </w:tcPr>
          <w:p w14:paraId="24AAEB23"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.023</w:t>
            </w:r>
          </w:p>
        </w:tc>
        <w:tc>
          <w:tcPr>
            <w:tcW w:w="1276" w:type="dxa"/>
            <w:tcBorders>
              <w:top w:val="nil"/>
              <w:left w:val="nil"/>
              <w:bottom w:val="nil"/>
              <w:right w:val="nil"/>
            </w:tcBorders>
          </w:tcPr>
          <w:p w14:paraId="4C0B5E14"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(.019)</w:t>
            </w:r>
          </w:p>
        </w:tc>
      </w:tr>
      <w:tr w:rsidR="00487661" w:rsidRPr="0070582C" w14:paraId="290094EA" w14:textId="77777777" w:rsidTr="000F4FAA">
        <w:trPr>
          <w:gridAfter w:val="1"/>
          <w:wAfter w:w="236" w:type="dxa"/>
          <w:trHeight w:val="261"/>
        </w:trPr>
        <w:tc>
          <w:tcPr>
            <w:tcW w:w="1364" w:type="dxa"/>
            <w:tcBorders>
              <w:top w:val="nil"/>
              <w:left w:val="nil"/>
              <w:bottom w:val="nil"/>
              <w:right w:val="nil"/>
            </w:tcBorders>
          </w:tcPr>
          <w:p w14:paraId="05869E8B"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Church attendance</w:t>
            </w:r>
          </w:p>
        </w:tc>
        <w:tc>
          <w:tcPr>
            <w:tcW w:w="239" w:type="dxa"/>
            <w:tcBorders>
              <w:top w:val="nil"/>
              <w:left w:val="nil"/>
              <w:bottom w:val="nil"/>
              <w:right w:val="nil"/>
            </w:tcBorders>
          </w:tcPr>
          <w:p w14:paraId="187CFC83" w14:textId="77777777" w:rsidR="00487661" w:rsidRPr="0070582C" w:rsidRDefault="00487661" w:rsidP="000F4FAA">
            <w:pPr>
              <w:jc w:val="center"/>
              <w:rPr>
                <w:rFonts w:asciiTheme="minorHAnsi" w:hAnsiTheme="minorHAnsi" w:cstheme="minorHAnsi"/>
                <w:sz w:val="16"/>
                <w:szCs w:val="16"/>
                <w:lang w:val="en-US"/>
              </w:rPr>
            </w:pPr>
          </w:p>
        </w:tc>
        <w:tc>
          <w:tcPr>
            <w:tcW w:w="1091" w:type="dxa"/>
            <w:tcBorders>
              <w:top w:val="nil"/>
              <w:left w:val="nil"/>
              <w:bottom w:val="nil"/>
              <w:right w:val="nil"/>
            </w:tcBorders>
          </w:tcPr>
          <w:p w14:paraId="0DEFE20B"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.109</w:t>
            </w:r>
          </w:p>
        </w:tc>
        <w:tc>
          <w:tcPr>
            <w:tcW w:w="1134" w:type="dxa"/>
            <w:tcBorders>
              <w:top w:val="nil"/>
              <w:left w:val="nil"/>
              <w:bottom w:val="nil"/>
              <w:right w:val="nil"/>
            </w:tcBorders>
          </w:tcPr>
          <w:p w14:paraId="46BF792B"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(.009)</w:t>
            </w:r>
          </w:p>
        </w:tc>
        <w:tc>
          <w:tcPr>
            <w:tcW w:w="1275" w:type="dxa"/>
            <w:tcBorders>
              <w:top w:val="nil"/>
              <w:left w:val="nil"/>
              <w:bottom w:val="nil"/>
              <w:right w:val="nil"/>
            </w:tcBorders>
          </w:tcPr>
          <w:p w14:paraId="3A9830CD"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.049</w:t>
            </w:r>
          </w:p>
        </w:tc>
        <w:tc>
          <w:tcPr>
            <w:tcW w:w="1134" w:type="dxa"/>
            <w:tcBorders>
              <w:top w:val="nil"/>
              <w:left w:val="nil"/>
              <w:bottom w:val="nil"/>
              <w:right w:val="nil"/>
            </w:tcBorders>
          </w:tcPr>
          <w:p w14:paraId="7B94FB91"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(.030)</w:t>
            </w:r>
          </w:p>
        </w:tc>
        <w:tc>
          <w:tcPr>
            <w:tcW w:w="1276" w:type="dxa"/>
            <w:tcBorders>
              <w:top w:val="nil"/>
              <w:left w:val="nil"/>
              <w:bottom w:val="nil"/>
              <w:right w:val="nil"/>
            </w:tcBorders>
          </w:tcPr>
          <w:p w14:paraId="1D83D460"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.109</w:t>
            </w:r>
          </w:p>
        </w:tc>
        <w:tc>
          <w:tcPr>
            <w:tcW w:w="1276" w:type="dxa"/>
            <w:tcBorders>
              <w:top w:val="nil"/>
              <w:left w:val="nil"/>
              <w:bottom w:val="nil"/>
              <w:right w:val="nil"/>
            </w:tcBorders>
          </w:tcPr>
          <w:p w14:paraId="65773386"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(.009)</w:t>
            </w:r>
          </w:p>
        </w:tc>
      </w:tr>
      <w:tr w:rsidR="00487661" w:rsidRPr="0070582C" w14:paraId="0497088E" w14:textId="77777777" w:rsidTr="000F4FAA">
        <w:trPr>
          <w:gridAfter w:val="1"/>
          <w:wAfter w:w="236" w:type="dxa"/>
          <w:trHeight w:val="261"/>
        </w:trPr>
        <w:tc>
          <w:tcPr>
            <w:tcW w:w="1364" w:type="dxa"/>
            <w:tcBorders>
              <w:top w:val="nil"/>
              <w:left w:val="nil"/>
              <w:bottom w:val="nil"/>
              <w:right w:val="nil"/>
            </w:tcBorders>
          </w:tcPr>
          <w:p w14:paraId="165DAACE"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Household income</w:t>
            </w:r>
          </w:p>
        </w:tc>
        <w:tc>
          <w:tcPr>
            <w:tcW w:w="239" w:type="dxa"/>
            <w:tcBorders>
              <w:top w:val="nil"/>
              <w:left w:val="nil"/>
              <w:bottom w:val="nil"/>
              <w:right w:val="nil"/>
            </w:tcBorders>
          </w:tcPr>
          <w:p w14:paraId="226E537D" w14:textId="77777777" w:rsidR="00487661" w:rsidRPr="0070582C" w:rsidRDefault="00487661" w:rsidP="000F4FAA">
            <w:pPr>
              <w:jc w:val="center"/>
              <w:rPr>
                <w:rFonts w:asciiTheme="minorHAnsi" w:hAnsiTheme="minorHAnsi" w:cstheme="minorHAnsi"/>
                <w:sz w:val="16"/>
                <w:szCs w:val="16"/>
                <w:lang w:val="en-US"/>
              </w:rPr>
            </w:pPr>
          </w:p>
        </w:tc>
        <w:tc>
          <w:tcPr>
            <w:tcW w:w="1091" w:type="dxa"/>
            <w:tcBorders>
              <w:top w:val="nil"/>
              <w:left w:val="nil"/>
              <w:bottom w:val="nil"/>
              <w:right w:val="nil"/>
            </w:tcBorders>
          </w:tcPr>
          <w:p w14:paraId="7D85B427"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&lt;.000</w:t>
            </w:r>
          </w:p>
        </w:tc>
        <w:tc>
          <w:tcPr>
            <w:tcW w:w="1134" w:type="dxa"/>
            <w:tcBorders>
              <w:top w:val="nil"/>
              <w:left w:val="nil"/>
              <w:bottom w:val="nil"/>
              <w:right w:val="nil"/>
            </w:tcBorders>
          </w:tcPr>
          <w:p w14:paraId="0D5D42E4"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(&lt;.000)</w:t>
            </w:r>
          </w:p>
        </w:tc>
        <w:tc>
          <w:tcPr>
            <w:tcW w:w="1275" w:type="dxa"/>
            <w:tcBorders>
              <w:top w:val="nil"/>
              <w:left w:val="nil"/>
              <w:bottom w:val="nil"/>
              <w:right w:val="nil"/>
            </w:tcBorders>
          </w:tcPr>
          <w:p w14:paraId="4DDBEF15"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&lt;.000</w:t>
            </w:r>
          </w:p>
        </w:tc>
        <w:tc>
          <w:tcPr>
            <w:tcW w:w="1134" w:type="dxa"/>
            <w:tcBorders>
              <w:top w:val="nil"/>
              <w:left w:val="nil"/>
              <w:bottom w:val="nil"/>
              <w:right w:val="nil"/>
            </w:tcBorders>
          </w:tcPr>
          <w:p w14:paraId="096FD2B2"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(&lt;.000)</w:t>
            </w:r>
          </w:p>
        </w:tc>
        <w:tc>
          <w:tcPr>
            <w:tcW w:w="1276" w:type="dxa"/>
            <w:tcBorders>
              <w:top w:val="nil"/>
              <w:left w:val="nil"/>
              <w:bottom w:val="nil"/>
              <w:right w:val="nil"/>
            </w:tcBorders>
          </w:tcPr>
          <w:p w14:paraId="21F2B6E1"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&lt;.000</w:t>
            </w:r>
          </w:p>
        </w:tc>
        <w:tc>
          <w:tcPr>
            <w:tcW w:w="1276" w:type="dxa"/>
            <w:tcBorders>
              <w:top w:val="nil"/>
              <w:left w:val="nil"/>
              <w:bottom w:val="nil"/>
              <w:right w:val="nil"/>
            </w:tcBorders>
          </w:tcPr>
          <w:p w14:paraId="775EA2C3"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(&lt;.000)</w:t>
            </w:r>
          </w:p>
        </w:tc>
      </w:tr>
      <w:tr w:rsidR="00487661" w:rsidRPr="0070582C" w14:paraId="2B654C3C" w14:textId="77777777" w:rsidTr="000F4FAA">
        <w:trPr>
          <w:gridAfter w:val="1"/>
          <w:wAfter w:w="236" w:type="dxa"/>
          <w:trHeight w:val="214"/>
        </w:trPr>
        <w:tc>
          <w:tcPr>
            <w:tcW w:w="1364" w:type="dxa"/>
            <w:tcBorders>
              <w:top w:val="nil"/>
              <w:left w:val="nil"/>
              <w:bottom w:val="nil"/>
              <w:right w:val="nil"/>
            </w:tcBorders>
          </w:tcPr>
          <w:p w14:paraId="312FF0DA"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Working hours</w:t>
            </w:r>
          </w:p>
        </w:tc>
        <w:tc>
          <w:tcPr>
            <w:tcW w:w="239" w:type="dxa"/>
            <w:tcBorders>
              <w:top w:val="nil"/>
              <w:left w:val="nil"/>
              <w:bottom w:val="nil"/>
              <w:right w:val="nil"/>
            </w:tcBorders>
          </w:tcPr>
          <w:p w14:paraId="173796B1" w14:textId="77777777" w:rsidR="00487661" w:rsidRPr="0070582C" w:rsidRDefault="00487661" w:rsidP="000F4FAA">
            <w:pPr>
              <w:jc w:val="center"/>
              <w:rPr>
                <w:rFonts w:asciiTheme="minorHAnsi" w:hAnsiTheme="minorHAnsi" w:cstheme="minorHAnsi"/>
                <w:sz w:val="16"/>
                <w:szCs w:val="16"/>
                <w:lang w:val="en-US"/>
              </w:rPr>
            </w:pPr>
          </w:p>
        </w:tc>
        <w:tc>
          <w:tcPr>
            <w:tcW w:w="1091" w:type="dxa"/>
            <w:tcBorders>
              <w:top w:val="nil"/>
              <w:left w:val="nil"/>
              <w:bottom w:val="nil"/>
              <w:right w:val="nil"/>
            </w:tcBorders>
          </w:tcPr>
          <w:p w14:paraId="4A9CC051"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-.003***</w:t>
            </w:r>
          </w:p>
        </w:tc>
        <w:tc>
          <w:tcPr>
            <w:tcW w:w="1134" w:type="dxa"/>
            <w:tcBorders>
              <w:top w:val="nil"/>
              <w:left w:val="nil"/>
              <w:bottom w:val="nil"/>
              <w:right w:val="nil"/>
            </w:tcBorders>
          </w:tcPr>
          <w:p w14:paraId="7A8AD038"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(&lt;.000)</w:t>
            </w:r>
          </w:p>
        </w:tc>
        <w:tc>
          <w:tcPr>
            <w:tcW w:w="1275" w:type="dxa"/>
            <w:tcBorders>
              <w:top w:val="nil"/>
              <w:left w:val="nil"/>
              <w:bottom w:val="nil"/>
              <w:right w:val="nil"/>
            </w:tcBorders>
          </w:tcPr>
          <w:p w14:paraId="3A62EAA8"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-.001</w:t>
            </w:r>
          </w:p>
        </w:tc>
        <w:tc>
          <w:tcPr>
            <w:tcW w:w="1134" w:type="dxa"/>
            <w:tcBorders>
              <w:top w:val="nil"/>
              <w:left w:val="nil"/>
              <w:bottom w:val="nil"/>
              <w:right w:val="nil"/>
            </w:tcBorders>
          </w:tcPr>
          <w:p w14:paraId="7FD101AC"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(.001)</w:t>
            </w:r>
          </w:p>
        </w:tc>
        <w:tc>
          <w:tcPr>
            <w:tcW w:w="1276" w:type="dxa"/>
            <w:tcBorders>
              <w:top w:val="nil"/>
              <w:left w:val="nil"/>
              <w:bottom w:val="nil"/>
              <w:right w:val="nil"/>
            </w:tcBorders>
          </w:tcPr>
          <w:p w14:paraId="103A311A"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-.003***</w:t>
            </w:r>
          </w:p>
        </w:tc>
        <w:tc>
          <w:tcPr>
            <w:tcW w:w="1276" w:type="dxa"/>
            <w:tcBorders>
              <w:top w:val="nil"/>
              <w:left w:val="nil"/>
              <w:bottom w:val="nil"/>
              <w:right w:val="nil"/>
            </w:tcBorders>
          </w:tcPr>
          <w:p w14:paraId="237A719D"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(&lt;.000)</w:t>
            </w:r>
          </w:p>
        </w:tc>
      </w:tr>
      <w:tr w:rsidR="00487661" w:rsidRPr="0070582C" w14:paraId="34005998" w14:textId="77777777" w:rsidTr="000F4FAA">
        <w:trPr>
          <w:gridAfter w:val="1"/>
          <w:wAfter w:w="236" w:type="dxa"/>
          <w:trHeight w:val="261"/>
        </w:trPr>
        <w:tc>
          <w:tcPr>
            <w:tcW w:w="1364" w:type="dxa"/>
            <w:tcBorders>
              <w:top w:val="nil"/>
              <w:left w:val="nil"/>
              <w:bottom w:val="nil"/>
              <w:right w:val="nil"/>
            </w:tcBorders>
          </w:tcPr>
          <w:p w14:paraId="682A561D"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Income from wealth</w:t>
            </w:r>
          </w:p>
        </w:tc>
        <w:tc>
          <w:tcPr>
            <w:tcW w:w="239" w:type="dxa"/>
            <w:tcBorders>
              <w:top w:val="nil"/>
              <w:left w:val="nil"/>
              <w:bottom w:val="nil"/>
              <w:right w:val="nil"/>
            </w:tcBorders>
          </w:tcPr>
          <w:p w14:paraId="3B3678D7" w14:textId="77777777" w:rsidR="00487661" w:rsidRPr="0070582C" w:rsidRDefault="00487661" w:rsidP="000F4FAA">
            <w:pPr>
              <w:jc w:val="center"/>
              <w:rPr>
                <w:rFonts w:asciiTheme="minorHAnsi" w:hAnsiTheme="minorHAnsi" w:cstheme="minorHAnsi"/>
                <w:sz w:val="16"/>
                <w:szCs w:val="16"/>
                <w:lang w:val="en-US"/>
              </w:rPr>
            </w:pPr>
          </w:p>
        </w:tc>
        <w:tc>
          <w:tcPr>
            <w:tcW w:w="1091" w:type="dxa"/>
            <w:tcBorders>
              <w:top w:val="nil"/>
              <w:left w:val="nil"/>
              <w:bottom w:val="nil"/>
              <w:right w:val="nil"/>
            </w:tcBorders>
          </w:tcPr>
          <w:p w14:paraId="33C6B5EF"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-.004</w:t>
            </w:r>
          </w:p>
        </w:tc>
        <w:tc>
          <w:tcPr>
            <w:tcW w:w="1134" w:type="dxa"/>
            <w:tcBorders>
              <w:top w:val="nil"/>
              <w:left w:val="nil"/>
              <w:bottom w:val="nil"/>
              <w:right w:val="nil"/>
            </w:tcBorders>
          </w:tcPr>
          <w:p w14:paraId="693E65E4"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(.025)</w:t>
            </w:r>
          </w:p>
        </w:tc>
        <w:tc>
          <w:tcPr>
            <w:tcW w:w="1275" w:type="dxa"/>
            <w:tcBorders>
              <w:top w:val="nil"/>
              <w:left w:val="nil"/>
              <w:bottom w:val="nil"/>
              <w:right w:val="nil"/>
            </w:tcBorders>
          </w:tcPr>
          <w:p w14:paraId="19D7D464"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-.012</w:t>
            </w:r>
          </w:p>
        </w:tc>
        <w:tc>
          <w:tcPr>
            <w:tcW w:w="1134" w:type="dxa"/>
            <w:tcBorders>
              <w:top w:val="nil"/>
              <w:left w:val="nil"/>
              <w:bottom w:val="nil"/>
              <w:right w:val="nil"/>
            </w:tcBorders>
          </w:tcPr>
          <w:p w14:paraId="07FBBDC6"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(.045)</w:t>
            </w:r>
          </w:p>
        </w:tc>
        <w:tc>
          <w:tcPr>
            <w:tcW w:w="1276" w:type="dxa"/>
            <w:tcBorders>
              <w:top w:val="nil"/>
              <w:left w:val="nil"/>
              <w:bottom w:val="nil"/>
              <w:right w:val="nil"/>
            </w:tcBorders>
          </w:tcPr>
          <w:p w14:paraId="5FAC064E"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-.004</w:t>
            </w:r>
          </w:p>
        </w:tc>
        <w:tc>
          <w:tcPr>
            <w:tcW w:w="1276" w:type="dxa"/>
            <w:tcBorders>
              <w:top w:val="nil"/>
              <w:left w:val="nil"/>
              <w:bottom w:val="nil"/>
              <w:right w:val="nil"/>
            </w:tcBorders>
          </w:tcPr>
          <w:p w14:paraId="657AD312"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(.025)</w:t>
            </w:r>
          </w:p>
        </w:tc>
      </w:tr>
      <w:tr w:rsidR="00487661" w:rsidRPr="0070582C" w14:paraId="7E2634DD" w14:textId="77777777" w:rsidTr="000F4FAA">
        <w:trPr>
          <w:gridAfter w:val="1"/>
          <w:wAfter w:w="236" w:type="dxa"/>
          <w:trHeight w:val="207"/>
        </w:trPr>
        <w:tc>
          <w:tcPr>
            <w:tcW w:w="1364" w:type="dxa"/>
            <w:tcBorders>
              <w:top w:val="nil"/>
              <w:left w:val="nil"/>
              <w:bottom w:val="nil"/>
              <w:right w:val="nil"/>
            </w:tcBorders>
          </w:tcPr>
          <w:p w14:paraId="0C79DFF5"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 xml:space="preserve">Home value </w:t>
            </w:r>
          </w:p>
        </w:tc>
        <w:tc>
          <w:tcPr>
            <w:tcW w:w="239" w:type="dxa"/>
            <w:tcBorders>
              <w:top w:val="nil"/>
              <w:left w:val="nil"/>
              <w:bottom w:val="nil"/>
              <w:right w:val="nil"/>
            </w:tcBorders>
          </w:tcPr>
          <w:p w14:paraId="3A917546" w14:textId="77777777" w:rsidR="00487661" w:rsidRPr="0070582C" w:rsidRDefault="00487661" w:rsidP="000F4FAA">
            <w:pPr>
              <w:jc w:val="center"/>
              <w:rPr>
                <w:rFonts w:asciiTheme="minorHAnsi" w:hAnsiTheme="minorHAnsi" w:cstheme="minorHAnsi"/>
                <w:sz w:val="16"/>
                <w:szCs w:val="16"/>
                <w:lang w:val="en-US"/>
              </w:rPr>
            </w:pPr>
          </w:p>
        </w:tc>
        <w:tc>
          <w:tcPr>
            <w:tcW w:w="1091" w:type="dxa"/>
            <w:tcBorders>
              <w:top w:val="nil"/>
              <w:left w:val="nil"/>
              <w:bottom w:val="nil"/>
              <w:right w:val="nil"/>
            </w:tcBorders>
          </w:tcPr>
          <w:p w14:paraId="794CCBE7"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.008***</w:t>
            </w:r>
          </w:p>
        </w:tc>
        <w:tc>
          <w:tcPr>
            <w:tcW w:w="1134" w:type="dxa"/>
            <w:tcBorders>
              <w:top w:val="nil"/>
              <w:left w:val="nil"/>
              <w:bottom w:val="nil"/>
              <w:right w:val="nil"/>
            </w:tcBorders>
          </w:tcPr>
          <w:p w14:paraId="12375615"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(.002)</w:t>
            </w:r>
          </w:p>
        </w:tc>
        <w:tc>
          <w:tcPr>
            <w:tcW w:w="1275" w:type="dxa"/>
            <w:tcBorders>
              <w:top w:val="nil"/>
              <w:left w:val="nil"/>
              <w:bottom w:val="nil"/>
              <w:right w:val="nil"/>
            </w:tcBorders>
          </w:tcPr>
          <w:p w14:paraId="6FEE0C2A"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.006</w:t>
            </w:r>
          </w:p>
        </w:tc>
        <w:tc>
          <w:tcPr>
            <w:tcW w:w="1134" w:type="dxa"/>
            <w:tcBorders>
              <w:top w:val="nil"/>
              <w:left w:val="nil"/>
              <w:bottom w:val="nil"/>
              <w:right w:val="nil"/>
            </w:tcBorders>
          </w:tcPr>
          <w:p w14:paraId="1A558B5D"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(.008)</w:t>
            </w:r>
          </w:p>
        </w:tc>
        <w:tc>
          <w:tcPr>
            <w:tcW w:w="1276" w:type="dxa"/>
            <w:tcBorders>
              <w:top w:val="nil"/>
              <w:left w:val="nil"/>
              <w:bottom w:val="nil"/>
              <w:right w:val="nil"/>
            </w:tcBorders>
          </w:tcPr>
          <w:p w14:paraId="5ED03C09"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.008***</w:t>
            </w:r>
          </w:p>
        </w:tc>
        <w:tc>
          <w:tcPr>
            <w:tcW w:w="1276" w:type="dxa"/>
            <w:tcBorders>
              <w:top w:val="nil"/>
              <w:left w:val="nil"/>
              <w:bottom w:val="nil"/>
              <w:right w:val="nil"/>
            </w:tcBorders>
          </w:tcPr>
          <w:p w14:paraId="759C0985"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(.002)</w:t>
            </w:r>
          </w:p>
        </w:tc>
      </w:tr>
      <w:tr w:rsidR="00487661" w:rsidRPr="0070582C" w14:paraId="0FF50F17" w14:textId="77777777" w:rsidTr="000F4FAA">
        <w:trPr>
          <w:gridAfter w:val="1"/>
          <w:wAfter w:w="236" w:type="dxa"/>
          <w:trHeight w:val="261"/>
        </w:trPr>
        <w:tc>
          <w:tcPr>
            <w:tcW w:w="1364" w:type="dxa"/>
            <w:tcBorders>
              <w:top w:val="nil"/>
              <w:left w:val="nil"/>
              <w:bottom w:val="nil"/>
              <w:right w:val="nil"/>
            </w:tcBorders>
          </w:tcPr>
          <w:p w14:paraId="1AC704BD"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Place along income distribution</w:t>
            </w:r>
          </w:p>
        </w:tc>
        <w:tc>
          <w:tcPr>
            <w:tcW w:w="239" w:type="dxa"/>
            <w:tcBorders>
              <w:top w:val="nil"/>
              <w:left w:val="nil"/>
              <w:bottom w:val="nil"/>
              <w:right w:val="nil"/>
            </w:tcBorders>
          </w:tcPr>
          <w:p w14:paraId="600D8347" w14:textId="77777777" w:rsidR="00487661" w:rsidRPr="0070582C" w:rsidRDefault="00487661" w:rsidP="000F4FAA">
            <w:pPr>
              <w:jc w:val="center"/>
              <w:rPr>
                <w:rFonts w:asciiTheme="minorHAnsi" w:hAnsiTheme="minorHAnsi" w:cstheme="minorHAnsi"/>
                <w:sz w:val="16"/>
                <w:szCs w:val="16"/>
                <w:lang w:val="en-US"/>
              </w:rPr>
            </w:pPr>
          </w:p>
        </w:tc>
        <w:tc>
          <w:tcPr>
            <w:tcW w:w="1091" w:type="dxa"/>
            <w:tcBorders>
              <w:top w:val="nil"/>
              <w:left w:val="nil"/>
              <w:bottom w:val="nil"/>
              <w:right w:val="nil"/>
            </w:tcBorders>
          </w:tcPr>
          <w:p w14:paraId="0172129D" w14:textId="77777777" w:rsidR="00487661" w:rsidRPr="0070582C" w:rsidRDefault="00487661" w:rsidP="000F4FAA">
            <w:pPr>
              <w:jc w:val="center"/>
              <w:rPr>
                <w:rFonts w:asciiTheme="minorHAnsi" w:hAnsiTheme="minorHAnsi" w:cstheme="minorHAnsi"/>
                <w:sz w:val="16"/>
                <w:szCs w:val="16"/>
                <w:lang w:val="en-US"/>
              </w:rPr>
            </w:pPr>
          </w:p>
        </w:tc>
        <w:tc>
          <w:tcPr>
            <w:tcW w:w="1134" w:type="dxa"/>
            <w:tcBorders>
              <w:top w:val="nil"/>
              <w:left w:val="nil"/>
              <w:bottom w:val="nil"/>
              <w:right w:val="nil"/>
            </w:tcBorders>
          </w:tcPr>
          <w:p w14:paraId="1040C005" w14:textId="77777777" w:rsidR="00487661" w:rsidRPr="0070582C" w:rsidRDefault="00487661" w:rsidP="000F4FAA">
            <w:pPr>
              <w:jc w:val="center"/>
              <w:rPr>
                <w:rFonts w:asciiTheme="minorHAnsi" w:hAnsiTheme="minorHAnsi" w:cstheme="minorHAnsi"/>
                <w:sz w:val="16"/>
                <w:szCs w:val="16"/>
                <w:lang w:val="en-US"/>
              </w:rPr>
            </w:pPr>
          </w:p>
        </w:tc>
        <w:tc>
          <w:tcPr>
            <w:tcW w:w="1275" w:type="dxa"/>
            <w:tcBorders>
              <w:top w:val="nil"/>
              <w:left w:val="nil"/>
              <w:bottom w:val="nil"/>
              <w:right w:val="nil"/>
            </w:tcBorders>
          </w:tcPr>
          <w:p w14:paraId="1F132F06"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-.018</w:t>
            </w:r>
          </w:p>
        </w:tc>
        <w:tc>
          <w:tcPr>
            <w:tcW w:w="1134" w:type="dxa"/>
            <w:tcBorders>
              <w:top w:val="nil"/>
              <w:left w:val="nil"/>
              <w:bottom w:val="nil"/>
              <w:right w:val="nil"/>
            </w:tcBorders>
          </w:tcPr>
          <w:p w14:paraId="3DFFC8CB"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(.022)</w:t>
            </w:r>
          </w:p>
        </w:tc>
        <w:tc>
          <w:tcPr>
            <w:tcW w:w="1276" w:type="dxa"/>
            <w:tcBorders>
              <w:top w:val="nil"/>
              <w:left w:val="nil"/>
              <w:bottom w:val="nil"/>
              <w:right w:val="nil"/>
            </w:tcBorders>
          </w:tcPr>
          <w:p w14:paraId="18C6DA25" w14:textId="77777777" w:rsidR="00487661" w:rsidRPr="0070582C" w:rsidRDefault="00487661" w:rsidP="000F4FAA">
            <w:pPr>
              <w:jc w:val="center"/>
              <w:rPr>
                <w:rFonts w:asciiTheme="minorHAnsi" w:hAnsiTheme="minorHAnsi" w:cstheme="minorHAnsi"/>
                <w:sz w:val="16"/>
                <w:szCs w:val="16"/>
                <w:lang w:val="en-US"/>
              </w:rPr>
            </w:pPr>
          </w:p>
        </w:tc>
        <w:tc>
          <w:tcPr>
            <w:tcW w:w="1276" w:type="dxa"/>
            <w:tcBorders>
              <w:top w:val="nil"/>
              <w:left w:val="nil"/>
              <w:bottom w:val="nil"/>
              <w:right w:val="nil"/>
            </w:tcBorders>
          </w:tcPr>
          <w:p w14:paraId="1FAB76B0" w14:textId="77777777" w:rsidR="00487661" w:rsidRPr="0070582C" w:rsidRDefault="00487661" w:rsidP="000F4FAA">
            <w:pPr>
              <w:jc w:val="center"/>
              <w:rPr>
                <w:rFonts w:asciiTheme="minorHAnsi" w:hAnsiTheme="minorHAnsi" w:cstheme="minorHAnsi"/>
                <w:sz w:val="16"/>
                <w:szCs w:val="16"/>
                <w:lang w:val="en-US"/>
              </w:rPr>
            </w:pPr>
          </w:p>
        </w:tc>
      </w:tr>
      <w:tr w:rsidR="00487661" w:rsidRPr="0070582C" w14:paraId="6C8F8E02" w14:textId="77777777" w:rsidTr="000F4FAA">
        <w:trPr>
          <w:gridAfter w:val="1"/>
          <w:wAfter w:w="236" w:type="dxa"/>
          <w:trHeight w:val="146"/>
        </w:trPr>
        <w:tc>
          <w:tcPr>
            <w:tcW w:w="1364" w:type="dxa"/>
            <w:tcBorders>
              <w:top w:val="nil"/>
              <w:left w:val="nil"/>
              <w:bottom w:val="nil"/>
              <w:right w:val="nil"/>
            </w:tcBorders>
          </w:tcPr>
          <w:p w14:paraId="47508DF7"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 xml:space="preserve">Self-rated health </w:t>
            </w:r>
          </w:p>
        </w:tc>
        <w:tc>
          <w:tcPr>
            <w:tcW w:w="239" w:type="dxa"/>
            <w:tcBorders>
              <w:top w:val="nil"/>
              <w:left w:val="nil"/>
              <w:bottom w:val="nil"/>
              <w:right w:val="nil"/>
            </w:tcBorders>
          </w:tcPr>
          <w:p w14:paraId="786327CD" w14:textId="77777777" w:rsidR="00487661" w:rsidRPr="0070582C" w:rsidRDefault="00487661" w:rsidP="000F4FAA">
            <w:pPr>
              <w:jc w:val="center"/>
              <w:rPr>
                <w:rFonts w:asciiTheme="minorHAnsi" w:hAnsiTheme="minorHAnsi" w:cstheme="minorHAnsi"/>
                <w:sz w:val="16"/>
                <w:szCs w:val="16"/>
                <w:lang w:val="en-US"/>
              </w:rPr>
            </w:pPr>
          </w:p>
        </w:tc>
        <w:tc>
          <w:tcPr>
            <w:tcW w:w="1091" w:type="dxa"/>
            <w:tcBorders>
              <w:top w:val="nil"/>
              <w:left w:val="nil"/>
              <w:bottom w:val="nil"/>
              <w:right w:val="nil"/>
            </w:tcBorders>
          </w:tcPr>
          <w:p w14:paraId="0EFAD2F8"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.032***</w:t>
            </w:r>
          </w:p>
        </w:tc>
        <w:tc>
          <w:tcPr>
            <w:tcW w:w="1134" w:type="dxa"/>
            <w:tcBorders>
              <w:top w:val="nil"/>
              <w:left w:val="nil"/>
              <w:bottom w:val="nil"/>
              <w:right w:val="nil"/>
            </w:tcBorders>
          </w:tcPr>
          <w:p w14:paraId="477C325C"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(.009)</w:t>
            </w:r>
          </w:p>
        </w:tc>
        <w:tc>
          <w:tcPr>
            <w:tcW w:w="1275" w:type="dxa"/>
            <w:tcBorders>
              <w:top w:val="nil"/>
              <w:left w:val="nil"/>
              <w:bottom w:val="nil"/>
              <w:right w:val="nil"/>
            </w:tcBorders>
          </w:tcPr>
          <w:p w14:paraId="02A4CB18"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.022</w:t>
            </w:r>
          </w:p>
        </w:tc>
        <w:tc>
          <w:tcPr>
            <w:tcW w:w="1134" w:type="dxa"/>
            <w:tcBorders>
              <w:top w:val="nil"/>
              <w:left w:val="nil"/>
              <w:bottom w:val="nil"/>
              <w:right w:val="nil"/>
            </w:tcBorders>
          </w:tcPr>
          <w:p w14:paraId="070FF8C4"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(.021)</w:t>
            </w:r>
          </w:p>
        </w:tc>
        <w:tc>
          <w:tcPr>
            <w:tcW w:w="1276" w:type="dxa"/>
            <w:tcBorders>
              <w:top w:val="nil"/>
              <w:left w:val="nil"/>
              <w:bottom w:val="nil"/>
              <w:right w:val="nil"/>
            </w:tcBorders>
          </w:tcPr>
          <w:p w14:paraId="0AC72EA8"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.032***</w:t>
            </w:r>
          </w:p>
        </w:tc>
        <w:tc>
          <w:tcPr>
            <w:tcW w:w="1276" w:type="dxa"/>
            <w:tcBorders>
              <w:top w:val="nil"/>
              <w:left w:val="nil"/>
              <w:bottom w:val="nil"/>
              <w:right w:val="nil"/>
            </w:tcBorders>
          </w:tcPr>
          <w:p w14:paraId="16559706"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(.009)</w:t>
            </w:r>
          </w:p>
        </w:tc>
      </w:tr>
      <w:tr w:rsidR="00487661" w:rsidRPr="0070582C" w14:paraId="6A6D7976" w14:textId="77777777" w:rsidTr="000F4FAA">
        <w:trPr>
          <w:gridAfter w:val="1"/>
          <w:wAfter w:w="236" w:type="dxa"/>
          <w:trHeight w:val="107"/>
        </w:trPr>
        <w:tc>
          <w:tcPr>
            <w:tcW w:w="1364" w:type="dxa"/>
            <w:tcBorders>
              <w:top w:val="nil"/>
              <w:left w:val="nil"/>
              <w:bottom w:val="nil"/>
              <w:right w:val="nil"/>
            </w:tcBorders>
          </w:tcPr>
          <w:p w14:paraId="5A47CAF3"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Financial security</w:t>
            </w:r>
          </w:p>
        </w:tc>
        <w:tc>
          <w:tcPr>
            <w:tcW w:w="239" w:type="dxa"/>
            <w:tcBorders>
              <w:top w:val="nil"/>
              <w:left w:val="nil"/>
              <w:bottom w:val="nil"/>
              <w:right w:val="nil"/>
            </w:tcBorders>
          </w:tcPr>
          <w:p w14:paraId="0F41BF98" w14:textId="77777777" w:rsidR="00487661" w:rsidRPr="0070582C" w:rsidRDefault="00487661" w:rsidP="000F4FAA">
            <w:pPr>
              <w:jc w:val="center"/>
              <w:rPr>
                <w:rFonts w:asciiTheme="minorHAnsi" w:hAnsiTheme="minorHAnsi" w:cstheme="minorHAnsi"/>
                <w:sz w:val="16"/>
                <w:szCs w:val="16"/>
                <w:lang w:val="en-US"/>
              </w:rPr>
            </w:pPr>
          </w:p>
        </w:tc>
        <w:tc>
          <w:tcPr>
            <w:tcW w:w="1091" w:type="dxa"/>
            <w:tcBorders>
              <w:top w:val="nil"/>
              <w:left w:val="nil"/>
              <w:bottom w:val="nil"/>
              <w:right w:val="nil"/>
            </w:tcBorders>
          </w:tcPr>
          <w:p w14:paraId="685FF299" w14:textId="77777777" w:rsidR="00487661" w:rsidRPr="0070582C" w:rsidRDefault="00487661" w:rsidP="000F4FAA">
            <w:pPr>
              <w:jc w:val="center"/>
              <w:rPr>
                <w:rFonts w:asciiTheme="minorHAnsi" w:hAnsiTheme="minorHAnsi" w:cstheme="minorHAnsi"/>
                <w:sz w:val="16"/>
                <w:szCs w:val="16"/>
                <w:lang w:val="en-US"/>
              </w:rPr>
            </w:pPr>
          </w:p>
        </w:tc>
        <w:tc>
          <w:tcPr>
            <w:tcW w:w="1134" w:type="dxa"/>
            <w:tcBorders>
              <w:top w:val="nil"/>
              <w:left w:val="nil"/>
              <w:bottom w:val="nil"/>
              <w:right w:val="nil"/>
            </w:tcBorders>
          </w:tcPr>
          <w:p w14:paraId="43EAC341" w14:textId="77777777" w:rsidR="00487661" w:rsidRPr="0070582C" w:rsidRDefault="00487661" w:rsidP="000F4FAA">
            <w:pPr>
              <w:jc w:val="center"/>
              <w:rPr>
                <w:rFonts w:asciiTheme="minorHAnsi" w:hAnsiTheme="minorHAnsi" w:cstheme="minorHAnsi"/>
                <w:sz w:val="16"/>
                <w:szCs w:val="16"/>
                <w:lang w:val="en-US"/>
              </w:rPr>
            </w:pPr>
          </w:p>
        </w:tc>
        <w:tc>
          <w:tcPr>
            <w:tcW w:w="1275" w:type="dxa"/>
            <w:tcBorders>
              <w:top w:val="nil"/>
              <w:left w:val="nil"/>
              <w:bottom w:val="nil"/>
              <w:right w:val="nil"/>
            </w:tcBorders>
          </w:tcPr>
          <w:p w14:paraId="20516F21"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-.010</w:t>
            </w:r>
          </w:p>
        </w:tc>
        <w:tc>
          <w:tcPr>
            <w:tcW w:w="1134" w:type="dxa"/>
            <w:tcBorders>
              <w:top w:val="nil"/>
              <w:left w:val="nil"/>
              <w:bottom w:val="nil"/>
              <w:right w:val="nil"/>
            </w:tcBorders>
          </w:tcPr>
          <w:p w14:paraId="6F2108A5"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(.008)</w:t>
            </w:r>
          </w:p>
        </w:tc>
        <w:tc>
          <w:tcPr>
            <w:tcW w:w="1276" w:type="dxa"/>
            <w:tcBorders>
              <w:top w:val="nil"/>
              <w:left w:val="nil"/>
              <w:bottom w:val="nil"/>
              <w:right w:val="nil"/>
            </w:tcBorders>
          </w:tcPr>
          <w:p w14:paraId="6155A2F7" w14:textId="77777777" w:rsidR="00487661" w:rsidRPr="0070582C" w:rsidRDefault="00487661" w:rsidP="000F4FAA">
            <w:pPr>
              <w:jc w:val="center"/>
              <w:rPr>
                <w:rFonts w:asciiTheme="minorHAnsi" w:hAnsiTheme="minorHAnsi" w:cstheme="minorHAnsi"/>
                <w:sz w:val="16"/>
                <w:szCs w:val="16"/>
                <w:lang w:val="en-US"/>
              </w:rPr>
            </w:pPr>
          </w:p>
        </w:tc>
        <w:tc>
          <w:tcPr>
            <w:tcW w:w="1276" w:type="dxa"/>
            <w:tcBorders>
              <w:top w:val="nil"/>
              <w:left w:val="nil"/>
              <w:bottom w:val="nil"/>
              <w:right w:val="nil"/>
            </w:tcBorders>
          </w:tcPr>
          <w:p w14:paraId="2D59D5D8" w14:textId="77777777" w:rsidR="00487661" w:rsidRPr="0070582C" w:rsidRDefault="00487661" w:rsidP="000F4FAA">
            <w:pPr>
              <w:jc w:val="center"/>
              <w:rPr>
                <w:rFonts w:asciiTheme="minorHAnsi" w:hAnsiTheme="minorHAnsi" w:cstheme="minorHAnsi"/>
                <w:sz w:val="16"/>
                <w:szCs w:val="16"/>
                <w:lang w:val="en-US"/>
              </w:rPr>
            </w:pPr>
          </w:p>
        </w:tc>
      </w:tr>
      <w:tr w:rsidR="00487661" w:rsidRPr="0070582C" w14:paraId="5967A233" w14:textId="77777777" w:rsidTr="000F4FAA">
        <w:trPr>
          <w:gridAfter w:val="1"/>
          <w:wAfter w:w="236" w:type="dxa"/>
          <w:trHeight w:val="261"/>
        </w:trPr>
        <w:tc>
          <w:tcPr>
            <w:tcW w:w="1364" w:type="dxa"/>
            <w:tcBorders>
              <w:top w:val="nil"/>
              <w:left w:val="nil"/>
              <w:bottom w:val="nil"/>
              <w:right w:val="nil"/>
            </w:tcBorders>
          </w:tcPr>
          <w:p w14:paraId="04D99457"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Income inequality</w:t>
            </w:r>
          </w:p>
        </w:tc>
        <w:tc>
          <w:tcPr>
            <w:tcW w:w="239" w:type="dxa"/>
            <w:tcBorders>
              <w:top w:val="nil"/>
              <w:left w:val="nil"/>
              <w:bottom w:val="nil"/>
              <w:right w:val="nil"/>
            </w:tcBorders>
          </w:tcPr>
          <w:p w14:paraId="2A1C735F" w14:textId="77777777" w:rsidR="00487661" w:rsidRPr="0070582C" w:rsidRDefault="00487661" w:rsidP="000F4FAA">
            <w:pPr>
              <w:jc w:val="center"/>
              <w:rPr>
                <w:rFonts w:asciiTheme="minorHAnsi" w:hAnsiTheme="minorHAnsi" w:cstheme="minorHAnsi"/>
                <w:sz w:val="16"/>
                <w:szCs w:val="16"/>
                <w:lang w:val="en-US"/>
              </w:rPr>
            </w:pPr>
          </w:p>
        </w:tc>
        <w:tc>
          <w:tcPr>
            <w:tcW w:w="1091" w:type="dxa"/>
            <w:tcBorders>
              <w:top w:val="nil"/>
              <w:left w:val="nil"/>
              <w:bottom w:val="nil"/>
              <w:right w:val="nil"/>
            </w:tcBorders>
          </w:tcPr>
          <w:p w14:paraId="2082CBF8"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.010*</w:t>
            </w:r>
          </w:p>
        </w:tc>
        <w:tc>
          <w:tcPr>
            <w:tcW w:w="1134" w:type="dxa"/>
            <w:tcBorders>
              <w:top w:val="nil"/>
              <w:left w:val="nil"/>
              <w:bottom w:val="nil"/>
              <w:right w:val="nil"/>
            </w:tcBorders>
          </w:tcPr>
          <w:p w14:paraId="54D7B55F"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(.004)</w:t>
            </w:r>
          </w:p>
        </w:tc>
        <w:tc>
          <w:tcPr>
            <w:tcW w:w="1275" w:type="dxa"/>
            <w:tcBorders>
              <w:top w:val="nil"/>
              <w:left w:val="nil"/>
              <w:bottom w:val="nil"/>
              <w:right w:val="nil"/>
            </w:tcBorders>
          </w:tcPr>
          <w:p w14:paraId="7255D3E7"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-.004</w:t>
            </w:r>
          </w:p>
        </w:tc>
        <w:tc>
          <w:tcPr>
            <w:tcW w:w="1134" w:type="dxa"/>
            <w:tcBorders>
              <w:top w:val="nil"/>
              <w:left w:val="nil"/>
              <w:bottom w:val="nil"/>
              <w:right w:val="nil"/>
            </w:tcBorders>
          </w:tcPr>
          <w:p w14:paraId="61AF2F50"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(.005)</w:t>
            </w:r>
          </w:p>
        </w:tc>
        <w:tc>
          <w:tcPr>
            <w:tcW w:w="1276" w:type="dxa"/>
            <w:tcBorders>
              <w:top w:val="nil"/>
              <w:left w:val="nil"/>
              <w:bottom w:val="nil"/>
              <w:right w:val="nil"/>
            </w:tcBorders>
          </w:tcPr>
          <w:p w14:paraId="18B70D92"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.010*</w:t>
            </w:r>
          </w:p>
        </w:tc>
        <w:tc>
          <w:tcPr>
            <w:tcW w:w="1276" w:type="dxa"/>
            <w:tcBorders>
              <w:top w:val="nil"/>
              <w:left w:val="nil"/>
              <w:bottom w:val="nil"/>
              <w:right w:val="nil"/>
            </w:tcBorders>
          </w:tcPr>
          <w:p w14:paraId="41905708"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(.004)</w:t>
            </w:r>
          </w:p>
        </w:tc>
      </w:tr>
      <w:tr w:rsidR="00487661" w:rsidRPr="0070582C" w14:paraId="0A554A11" w14:textId="77777777" w:rsidTr="000F4FAA">
        <w:trPr>
          <w:gridAfter w:val="1"/>
          <w:wAfter w:w="236" w:type="dxa"/>
          <w:trHeight w:val="261"/>
        </w:trPr>
        <w:tc>
          <w:tcPr>
            <w:tcW w:w="1364" w:type="dxa"/>
            <w:tcBorders>
              <w:top w:val="nil"/>
              <w:left w:val="nil"/>
              <w:bottom w:val="nil"/>
              <w:right w:val="nil"/>
            </w:tcBorders>
          </w:tcPr>
          <w:p w14:paraId="77C665A0"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Percentage nonwestern migrants</w:t>
            </w:r>
          </w:p>
        </w:tc>
        <w:tc>
          <w:tcPr>
            <w:tcW w:w="239" w:type="dxa"/>
            <w:tcBorders>
              <w:top w:val="nil"/>
              <w:left w:val="nil"/>
              <w:bottom w:val="nil"/>
              <w:right w:val="nil"/>
            </w:tcBorders>
          </w:tcPr>
          <w:p w14:paraId="1135A8EF" w14:textId="77777777" w:rsidR="00487661" w:rsidRPr="0070582C" w:rsidRDefault="00487661" w:rsidP="000F4FAA">
            <w:pPr>
              <w:jc w:val="center"/>
              <w:rPr>
                <w:rFonts w:asciiTheme="minorHAnsi" w:hAnsiTheme="minorHAnsi" w:cstheme="minorHAnsi"/>
                <w:sz w:val="16"/>
                <w:szCs w:val="16"/>
                <w:lang w:val="en-US"/>
              </w:rPr>
            </w:pPr>
          </w:p>
        </w:tc>
        <w:tc>
          <w:tcPr>
            <w:tcW w:w="1091" w:type="dxa"/>
            <w:tcBorders>
              <w:top w:val="nil"/>
              <w:left w:val="nil"/>
              <w:bottom w:val="nil"/>
              <w:right w:val="nil"/>
            </w:tcBorders>
          </w:tcPr>
          <w:p w14:paraId="529E8B66"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.033*</w:t>
            </w:r>
          </w:p>
        </w:tc>
        <w:tc>
          <w:tcPr>
            <w:tcW w:w="1134" w:type="dxa"/>
            <w:tcBorders>
              <w:top w:val="nil"/>
              <w:left w:val="nil"/>
              <w:bottom w:val="nil"/>
              <w:right w:val="nil"/>
            </w:tcBorders>
          </w:tcPr>
          <w:p w14:paraId="2756B933"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(.016)</w:t>
            </w:r>
          </w:p>
        </w:tc>
        <w:tc>
          <w:tcPr>
            <w:tcW w:w="1275" w:type="dxa"/>
            <w:tcBorders>
              <w:top w:val="nil"/>
              <w:left w:val="nil"/>
              <w:bottom w:val="nil"/>
              <w:right w:val="nil"/>
            </w:tcBorders>
          </w:tcPr>
          <w:p w14:paraId="450B97A5"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-.007</w:t>
            </w:r>
          </w:p>
        </w:tc>
        <w:tc>
          <w:tcPr>
            <w:tcW w:w="1134" w:type="dxa"/>
            <w:tcBorders>
              <w:top w:val="nil"/>
              <w:left w:val="nil"/>
              <w:bottom w:val="nil"/>
              <w:right w:val="nil"/>
            </w:tcBorders>
          </w:tcPr>
          <w:p w14:paraId="68C55EAB"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(.012)</w:t>
            </w:r>
          </w:p>
        </w:tc>
        <w:tc>
          <w:tcPr>
            <w:tcW w:w="1276" w:type="dxa"/>
            <w:tcBorders>
              <w:top w:val="nil"/>
              <w:left w:val="nil"/>
              <w:bottom w:val="nil"/>
              <w:right w:val="nil"/>
            </w:tcBorders>
          </w:tcPr>
          <w:p w14:paraId="76CDBC21"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.033*</w:t>
            </w:r>
          </w:p>
        </w:tc>
        <w:tc>
          <w:tcPr>
            <w:tcW w:w="1276" w:type="dxa"/>
            <w:tcBorders>
              <w:top w:val="nil"/>
              <w:left w:val="nil"/>
              <w:bottom w:val="nil"/>
              <w:right w:val="nil"/>
            </w:tcBorders>
          </w:tcPr>
          <w:p w14:paraId="4DB74169"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(.016)</w:t>
            </w:r>
          </w:p>
        </w:tc>
      </w:tr>
      <w:tr w:rsidR="00487661" w:rsidRPr="0070582C" w14:paraId="7E43DC25" w14:textId="77777777" w:rsidTr="000F4FAA">
        <w:trPr>
          <w:gridAfter w:val="1"/>
          <w:wAfter w:w="236" w:type="dxa"/>
          <w:trHeight w:val="261"/>
        </w:trPr>
        <w:tc>
          <w:tcPr>
            <w:tcW w:w="1364" w:type="dxa"/>
            <w:tcBorders>
              <w:top w:val="nil"/>
              <w:left w:val="nil"/>
              <w:bottom w:val="nil"/>
              <w:right w:val="nil"/>
            </w:tcBorders>
          </w:tcPr>
          <w:p w14:paraId="05071764"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Average municipal education</w:t>
            </w:r>
          </w:p>
        </w:tc>
        <w:tc>
          <w:tcPr>
            <w:tcW w:w="239" w:type="dxa"/>
            <w:tcBorders>
              <w:top w:val="nil"/>
              <w:left w:val="nil"/>
              <w:bottom w:val="nil"/>
              <w:right w:val="nil"/>
            </w:tcBorders>
          </w:tcPr>
          <w:p w14:paraId="7C19070E" w14:textId="77777777" w:rsidR="00487661" w:rsidRPr="0070582C" w:rsidRDefault="00487661" w:rsidP="000F4FAA">
            <w:pPr>
              <w:jc w:val="center"/>
              <w:rPr>
                <w:rFonts w:asciiTheme="minorHAnsi" w:hAnsiTheme="minorHAnsi" w:cstheme="minorHAnsi"/>
                <w:sz w:val="16"/>
                <w:szCs w:val="16"/>
                <w:lang w:val="en-US"/>
              </w:rPr>
            </w:pPr>
          </w:p>
        </w:tc>
        <w:tc>
          <w:tcPr>
            <w:tcW w:w="1091" w:type="dxa"/>
            <w:tcBorders>
              <w:top w:val="nil"/>
              <w:left w:val="nil"/>
              <w:bottom w:val="nil"/>
              <w:right w:val="nil"/>
            </w:tcBorders>
          </w:tcPr>
          <w:p w14:paraId="673098F9"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.131</w:t>
            </w:r>
          </w:p>
        </w:tc>
        <w:tc>
          <w:tcPr>
            <w:tcW w:w="1134" w:type="dxa"/>
            <w:tcBorders>
              <w:top w:val="nil"/>
              <w:left w:val="nil"/>
              <w:bottom w:val="nil"/>
              <w:right w:val="nil"/>
            </w:tcBorders>
          </w:tcPr>
          <w:p w14:paraId="4E697015"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(.148)</w:t>
            </w:r>
          </w:p>
        </w:tc>
        <w:tc>
          <w:tcPr>
            <w:tcW w:w="1275" w:type="dxa"/>
            <w:tcBorders>
              <w:top w:val="nil"/>
              <w:left w:val="nil"/>
              <w:bottom w:val="nil"/>
              <w:right w:val="nil"/>
            </w:tcBorders>
          </w:tcPr>
          <w:p w14:paraId="3DFDB77C"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.009</w:t>
            </w:r>
          </w:p>
        </w:tc>
        <w:tc>
          <w:tcPr>
            <w:tcW w:w="1134" w:type="dxa"/>
            <w:tcBorders>
              <w:top w:val="nil"/>
              <w:left w:val="nil"/>
              <w:bottom w:val="nil"/>
              <w:right w:val="nil"/>
            </w:tcBorders>
          </w:tcPr>
          <w:p w14:paraId="4974F26D"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(.134)</w:t>
            </w:r>
          </w:p>
        </w:tc>
        <w:tc>
          <w:tcPr>
            <w:tcW w:w="1276" w:type="dxa"/>
            <w:tcBorders>
              <w:top w:val="nil"/>
              <w:left w:val="nil"/>
              <w:bottom w:val="nil"/>
              <w:right w:val="nil"/>
            </w:tcBorders>
          </w:tcPr>
          <w:p w14:paraId="26852C65"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.131</w:t>
            </w:r>
          </w:p>
        </w:tc>
        <w:tc>
          <w:tcPr>
            <w:tcW w:w="1276" w:type="dxa"/>
            <w:tcBorders>
              <w:top w:val="nil"/>
              <w:left w:val="nil"/>
              <w:bottom w:val="nil"/>
              <w:right w:val="nil"/>
            </w:tcBorders>
          </w:tcPr>
          <w:p w14:paraId="5E04EEA3"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(.148)</w:t>
            </w:r>
          </w:p>
        </w:tc>
      </w:tr>
      <w:tr w:rsidR="00487661" w:rsidRPr="0070582C" w14:paraId="7035647D" w14:textId="77777777" w:rsidTr="000F4FAA">
        <w:trPr>
          <w:gridAfter w:val="1"/>
          <w:wAfter w:w="236" w:type="dxa"/>
          <w:trHeight w:val="159"/>
        </w:trPr>
        <w:tc>
          <w:tcPr>
            <w:tcW w:w="1364" w:type="dxa"/>
            <w:tcBorders>
              <w:top w:val="nil"/>
              <w:left w:val="nil"/>
              <w:bottom w:val="nil"/>
              <w:right w:val="nil"/>
            </w:tcBorders>
          </w:tcPr>
          <w:p w14:paraId="0C617E17"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Community Size</w:t>
            </w:r>
          </w:p>
        </w:tc>
        <w:tc>
          <w:tcPr>
            <w:tcW w:w="239" w:type="dxa"/>
            <w:tcBorders>
              <w:top w:val="nil"/>
              <w:left w:val="nil"/>
              <w:bottom w:val="nil"/>
              <w:right w:val="nil"/>
            </w:tcBorders>
          </w:tcPr>
          <w:p w14:paraId="132EFB92" w14:textId="77777777" w:rsidR="00487661" w:rsidRPr="0070582C" w:rsidRDefault="00487661" w:rsidP="000F4FAA">
            <w:pPr>
              <w:jc w:val="center"/>
              <w:rPr>
                <w:rFonts w:asciiTheme="minorHAnsi" w:hAnsiTheme="minorHAnsi" w:cstheme="minorHAnsi"/>
                <w:sz w:val="16"/>
                <w:szCs w:val="16"/>
                <w:lang w:val="en-US"/>
              </w:rPr>
            </w:pPr>
          </w:p>
        </w:tc>
        <w:tc>
          <w:tcPr>
            <w:tcW w:w="1091" w:type="dxa"/>
            <w:tcBorders>
              <w:top w:val="nil"/>
              <w:left w:val="nil"/>
              <w:bottom w:val="nil"/>
              <w:right w:val="nil"/>
            </w:tcBorders>
          </w:tcPr>
          <w:p w14:paraId="0C75C0E5" w14:textId="77777777" w:rsidR="00487661" w:rsidRPr="0070582C" w:rsidRDefault="00487661" w:rsidP="000F4FAA">
            <w:pPr>
              <w:jc w:val="center"/>
              <w:rPr>
                <w:rFonts w:asciiTheme="minorHAnsi" w:hAnsiTheme="minorHAnsi" w:cstheme="minorHAnsi"/>
                <w:sz w:val="16"/>
                <w:szCs w:val="16"/>
                <w:lang w:val="en-US"/>
              </w:rPr>
            </w:pPr>
          </w:p>
        </w:tc>
        <w:tc>
          <w:tcPr>
            <w:tcW w:w="1134" w:type="dxa"/>
            <w:tcBorders>
              <w:top w:val="nil"/>
              <w:left w:val="nil"/>
              <w:bottom w:val="nil"/>
              <w:right w:val="nil"/>
            </w:tcBorders>
          </w:tcPr>
          <w:p w14:paraId="1C75D527" w14:textId="77777777" w:rsidR="00487661" w:rsidRPr="0070582C" w:rsidRDefault="00487661" w:rsidP="000F4FAA">
            <w:pPr>
              <w:jc w:val="center"/>
              <w:rPr>
                <w:rFonts w:asciiTheme="minorHAnsi" w:hAnsiTheme="minorHAnsi" w:cstheme="minorHAnsi"/>
                <w:sz w:val="16"/>
                <w:szCs w:val="16"/>
                <w:lang w:val="en-US"/>
              </w:rPr>
            </w:pPr>
          </w:p>
        </w:tc>
        <w:tc>
          <w:tcPr>
            <w:tcW w:w="1275" w:type="dxa"/>
            <w:tcBorders>
              <w:top w:val="nil"/>
              <w:left w:val="nil"/>
              <w:bottom w:val="nil"/>
              <w:right w:val="nil"/>
            </w:tcBorders>
          </w:tcPr>
          <w:p w14:paraId="6F7F0957"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.014</w:t>
            </w:r>
          </w:p>
        </w:tc>
        <w:tc>
          <w:tcPr>
            <w:tcW w:w="1134" w:type="dxa"/>
            <w:tcBorders>
              <w:top w:val="nil"/>
              <w:left w:val="nil"/>
              <w:bottom w:val="nil"/>
              <w:right w:val="nil"/>
            </w:tcBorders>
          </w:tcPr>
          <w:p w14:paraId="77963614"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(.053)</w:t>
            </w:r>
          </w:p>
        </w:tc>
        <w:tc>
          <w:tcPr>
            <w:tcW w:w="1276" w:type="dxa"/>
            <w:tcBorders>
              <w:top w:val="nil"/>
              <w:left w:val="nil"/>
              <w:bottom w:val="nil"/>
              <w:right w:val="nil"/>
            </w:tcBorders>
          </w:tcPr>
          <w:p w14:paraId="58A5979F" w14:textId="77777777" w:rsidR="00487661" w:rsidRPr="0070582C" w:rsidRDefault="00487661" w:rsidP="000F4FAA">
            <w:pPr>
              <w:jc w:val="center"/>
              <w:rPr>
                <w:rFonts w:asciiTheme="minorHAnsi" w:hAnsiTheme="minorHAnsi" w:cstheme="minorHAnsi"/>
                <w:sz w:val="16"/>
                <w:szCs w:val="16"/>
                <w:lang w:val="en-US"/>
              </w:rPr>
            </w:pPr>
          </w:p>
        </w:tc>
        <w:tc>
          <w:tcPr>
            <w:tcW w:w="1276" w:type="dxa"/>
            <w:tcBorders>
              <w:top w:val="nil"/>
              <w:left w:val="nil"/>
              <w:bottom w:val="nil"/>
              <w:right w:val="nil"/>
            </w:tcBorders>
          </w:tcPr>
          <w:p w14:paraId="63B6A06D" w14:textId="77777777" w:rsidR="00487661" w:rsidRPr="0070582C" w:rsidRDefault="00487661" w:rsidP="000F4FAA">
            <w:pPr>
              <w:jc w:val="center"/>
              <w:rPr>
                <w:rFonts w:asciiTheme="minorHAnsi" w:hAnsiTheme="minorHAnsi" w:cstheme="minorHAnsi"/>
                <w:sz w:val="16"/>
                <w:szCs w:val="16"/>
                <w:lang w:val="en-US"/>
              </w:rPr>
            </w:pPr>
          </w:p>
        </w:tc>
      </w:tr>
      <w:tr w:rsidR="00487661" w:rsidRPr="0070582C" w14:paraId="3473BCE1" w14:textId="77777777" w:rsidTr="000F4FAA">
        <w:trPr>
          <w:gridAfter w:val="1"/>
          <w:wAfter w:w="236" w:type="dxa"/>
          <w:trHeight w:val="261"/>
        </w:trPr>
        <w:tc>
          <w:tcPr>
            <w:tcW w:w="1364" w:type="dxa"/>
            <w:tcBorders>
              <w:top w:val="nil"/>
              <w:left w:val="nil"/>
              <w:bottom w:val="nil"/>
              <w:right w:val="nil"/>
            </w:tcBorders>
          </w:tcPr>
          <w:p w14:paraId="4B5D0905"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Average municipal housing value</w:t>
            </w:r>
          </w:p>
        </w:tc>
        <w:tc>
          <w:tcPr>
            <w:tcW w:w="239" w:type="dxa"/>
            <w:tcBorders>
              <w:top w:val="nil"/>
              <w:left w:val="nil"/>
              <w:bottom w:val="nil"/>
              <w:right w:val="nil"/>
            </w:tcBorders>
          </w:tcPr>
          <w:p w14:paraId="4B2FD72A" w14:textId="77777777" w:rsidR="00487661" w:rsidRPr="0070582C" w:rsidRDefault="00487661" w:rsidP="000F4FAA">
            <w:pPr>
              <w:jc w:val="center"/>
              <w:rPr>
                <w:rFonts w:asciiTheme="minorHAnsi" w:hAnsiTheme="minorHAnsi" w:cstheme="minorHAnsi"/>
                <w:sz w:val="16"/>
                <w:szCs w:val="16"/>
                <w:lang w:val="en-US"/>
              </w:rPr>
            </w:pPr>
          </w:p>
        </w:tc>
        <w:tc>
          <w:tcPr>
            <w:tcW w:w="1091" w:type="dxa"/>
            <w:tcBorders>
              <w:top w:val="nil"/>
              <w:left w:val="nil"/>
              <w:bottom w:val="nil"/>
              <w:right w:val="nil"/>
            </w:tcBorders>
          </w:tcPr>
          <w:p w14:paraId="055E31A4"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-.001</w:t>
            </w:r>
          </w:p>
        </w:tc>
        <w:tc>
          <w:tcPr>
            <w:tcW w:w="1134" w:type="dxa"/>
            <w:tcBorders>
              <w:top w:val="nil"/>
              <w:left w:val="nil"/>
              <w:bottom w:val="nil"/>
              <w:right w:val="nil"/>
            </w:tcBorders>
          </w:tcPr>
          <w:p w14:paraId="09A309B8"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(.001)</w:t>
            </w:r>
          </w:p>
        </w:tc>
        <w:tc>
          <w:tcPr>
            <w:tcW w:w="1275" w:type="dxa"/>
            <w:tcBorders>
              <w:top w:val="nil"/>
              <w:left w:val="nil"/>
              <w:bottom w:val="nil"/>
              <w:right w:val="nil"/>
            </w:tcBorders>
          </w:tcPr>
          <w:p w14:paraId="4EB8809B"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-.001</w:t>
            </w:r>
          </w:p>
        </w:tc>
        <w:tc>
          <w:tcPr>
            <w:tcW w:w="1134" w:type="dxa"/>
            <w:tcBorders>
              <w:top w:val="nil"/>
              <w:left w:val="nil"/>
              <w:bottom w:val="nil"/>
              <w:right w:val="nil"/>
            </w:tcBorders>
          </w:tcPr>
          <w:p w14:paraId="172A8CF5" w14:textId="77777777" w:rsidR="00487661" w:rsidRPr="008D2A53" w:rsidRDefault="00487661" w:rsidP="000F4FAA">
            <w:pPr>
              <w:jc w:val="center"/>
              <w:rPr>
                <w:rFonts w:asciiTheme="minorHAnsi" w:hAnsiTheme="minorHAnsi" w:cstheme="minorHAnsi"/>
                <w:sz w:val="16"/>
                <w:szCs w:val="16"/>
                <w:lang w:val="en-US"/>
              </w:rPr>
            </w:pPr>
            <w:r w:rsidRPr="008D2A53">
              <w:rPr>
                <w:rFonts w:asciiTheme="minorHAnsi" w:hAnsiTheme="minorHAnsi" w:cstheme="minorHAnsi"/>
                <w:sz w:val="16"/>
                <w:szCs w:val="16"/>
              </w:rPr>
              <w:t>(.001)</w:t>
            </w:r>
          </w:p>
        </w:tc>
        <w:tc>
          <w:tcPr>
            <w:tcW w:w="1276" w:type="dxa"/>
            <w:tcBorders>
              <w:top w:val="nil"/>
              <w:left w:val="nil"/>
              <w:bottom w:val="nil"/>
              <w:right w:val="nil"/>
            </w:tcBorders>
          </w:tcPr>
          <w:p w14:paraId="566E53E4"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-.001</w:t>
            </w:r>
          </w:p>
        </w:tc>
        <w:tc>
          <w:tcPr>
            <w:tcW w:w="1276" w:type="dxa"/>
            <w:tcBorders>
              <w:top w:val="nil"/>
              <w:left w:val="nil"/>
              <w:bottom w:val="nil"/>
              <w:right w:val="nil"/>
            </w:tcBorders>
          </w:tcPr>
          <w:p w14:paraId="61953734"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(.001)</w:t>
            </w:r>
          </w:p>
        </w:tc>
      </w:tr>
      <w:tr w:rsidR="00487661" w:rsidRPr="0070582C" w14:paraId="43948D97" w14:textId="77777777" w:rsidTr="000F4FAA">
        <w:trPr>
          <w:gridAfter w:val="1"/>
          <w:wAfter w:w="236" w:type="dxa"/>
          <w:trHeight w:val="127"/>
        </w:trPr>
        <w:tc>
          <w:tcPr>
            <w:tcW w:w="1364" w:type="dxa"/>
            <w:tcBorders>
              <w:top w:val="nil"/>
              <w:left w:val="nil"/>
              <w:bottom w:val="nil"/>
              <w:right w:val="nil"/>
            </w:tcBorders>
          </w:tcPr>
          <w:p w14:paraId="5721C84C"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 xml:space="preserve">Year </w:t>
            </w:r>
          </w:p>
        </w:tc>
        <w:tc>
          <w:tcPr>
            <w:tcW w:w="239" w:type="dxa"/>
            <w:tcBorders>
              <w:top w:val="nil"/>
              <w:left w:val="nil"/>
              <w:bottom w:val="nil"/>
              <w:right w:val="nil"/>
            </w:tcBorders>
          </w:tcPr>
          <w:p w14:paraId="460DED2A" w14:textId="77777777" w:rsidR="00487661" w:rsidRPr="0070582C" w:rsidRDefault="00487661" w:rsidP="000F4FAA">
            <w:pPr>
              <w:jc w:val="center"/>
              <w:rPr>
                <w:rFonts w:asciiTheme="minorHAnsi" w:hAnsiTheme="minorHAnsi" w:cstheme="minorHAnsi"/>
                <w:sz w:val="16"/>
                <w:szCs w:val="16"/>
                <w:lang w:val="en-US"/>
              </w:rPr>
            </w:pPr>
          </w:p>
        </w:tc>
        <w:tc>
          <w:tcPr>
            <w:tcW w:w="2225" w:type="dxa"/>
            <w:gridSpan w:val="2"/>
            <w:tcBorders>
              <w:top w:val="nil"/>
              <w:left w:val="nil"/>
              <w:bottom w:val="nil"/>
              <w:right w:val="nil"/>
            </w:tcBorders>
          </w:tcPr>
          <w:p w14:paraId="1F505122" w14:textId="77777777" w:rsidR="00487661" w:rsidRPr="0070582C" w:rsidRDefault="00487661" w:rsidP="000F4FAA">
            <w:pPr>
              <w:jc w:val="center"/>
              <w:rPr>
                <w:rFonts w:asciiTheme="minorHAnsi" w:hAnsiTheme="minorHAnsi" w:cstheme="minorHAnsi"/>
                <w:sz w:val="16"/>
                <w:szCs w:val="16"/>
                <w:lang w:val="en-US"/>
              </w:rPr>
            </w:pPr>
          </w:p>
        </w:tc>
        <w:tc>
          <w:tcPr>
            <w:tcW w:w="2409" w:type="dxa"/>
            <w:gridSpan w:val="2"/>
            <w:tcBorders>
              <w:top w:val="nil"/>
              <w:left w:val="nil"/>
              <w:bottom w:val="nil"/>
              <w:right w:val="nil"/>
            </w:tcBorders>
          </w:tcPr>
          <w:p w14:paraId="674535E7" w14:textId="77777777" w:rsidR="00487661" w:rsidRPr="0070582C" w:rsidRDefault="00487661" w:rsidP="000F4FAA">
            <w:pPr>
              <w:jc w:val="center"/>
              <w:rPr>
                <w:rFonts w:asciiTheme="minorHAnsi" w:hAnsiTheme="minorHAnsi" w:cstheme="minorHAnsi"/>
                <w:sz w:val="16"/>
                <w:szCs w:val="16"/>
                <w:lang w:val="en-US"/>
              </w:rPr>
            </w:pPr>
          </w:p>
        </w:tc>
        <w:tc>
          <w:tcPr>
            <w:tcW w:w="2552" w:type="dxa"/>
            <w:gridSpan w:val="2"/>
            <w:tcBorders>
              <w:top w:val="nil"/>
              <w:left w:val="nil"/>
              <w:bottom w:val="nil"/>
              <w:right w:val="nil"/>
            </w:tcBorders>
          </w:tcPr>
          <w:p w14:paraId="6531D3BB" w14:textId="77777777" w:rsidR="00487661" w:rsidRPr="0070582C" w:rsidRDefault="00487661" w:rsidP="000F4FAA">
            <w:pPr>
              <w:jc w:val="center"/>
              <w:rPr>
                <w:rFonts w:asciiTheme="minorHAnsi" w:hAnsiTheme="minorHAnsi" w:cstheme="minorHAnsi"/>
                <w:sz w:val="16"/>
                <w:szCs w:val="16"/>
                <w:lang w:val="en-US"/>
              </w:rPr>
            </w:pPr>
          </w:p>
        </w:tc>
      </w:tr>
      <w:tr w:rsidR="00487661" w:rsidRPr="0070582C" w14:paraId="3E06468D" w14:textId="77777777" w:rsidTr="000F4FAA">
        <w:trPr>
          <w:gridAfter w:val="1"/>
          <w:wAfter w:w="236" w:type="dxa"/>
          <w:trHeight w:val="86"/>
        </w:trPr>
        <w:tc>
          <w:tcPr>
            <w:tcW w:w="1364" w:type="dxa"/>
            <w:tcBorders>
              <w:top w:val="nil"/>
              <w:left w:val="nil"/>
              <w:bottom w:val="nil"/>
              <w:right w:val="nil"/>
            </w:tcBorders>
          </w:tcPr>
          <w:p w14:paraId="3508BFD5"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2008</w:t>
            </w:r>
          </w:p>
        </w:tc>
        <w:tc>
          <w:tcPr>
            <w:tcW w:w="239" w:type="dxa"/>
            <w:tcBorders>
              <w:top w:val="nil"/>
              <w:left w:val="nil"/>
              <w:bottom w:val="nil"/>
              <w:right w:val="nil"/>
            </w:tcBorders>
          </w:tcPr>
          <w:p w14:paraId="2BB43063" w14:textId="77777777" w:rsidR="00487661" w:rsidRPr="0070582C" w:rsidRDefault="00487661" w:rsidP="000F4FAA">
            <w:pPr>
              <w:jc w:val="center"/>
              <w:rPr>
                <w:rFonts w:asciiTheme="minorHAnsi" w:hAnsiTheme="minorHAnsi" w:cstheme="minorHAnsi"/>
                <w:sz w:val="16"/>
                <w:szCs w:val="16"/>
                <w:lang w:val="en-US"/>
              </w:rPr>
            </w:pPr>
          </w:p>
        </w:tc>
        <w:tc>
          <w:tcPr>
            <w:tcW w:w="2225" w:type="dxa"/>
            <w:gridSpan w:val="2"/>
            <w:tcBorders>
              <w:top w:val="nil"/>
              <w:left w:val="nil"/>
              <w:bottom w:val="nil"/>
              <w:right w:val="nil"/>
            </w:tcBorders>
          </w:tcPr>
          <w:p w14:paraId="3AB10FEB"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.009</w:t>
            </w:r>
          </w:p>
        </w:tc>
        <w:tc>
          <w:tcPr>
            <w:tcW w:w="1275" w:type="dxa"/>
            <w:tcBorders>
              <w:top w:val="nil"/>
              <w:left w:val="nil"/>
              <w:bottom w:val="nil"/>
              <w:right w:val="nil"/>
            </w:tcBorders>
          </w:tcPr>
          <w:p w14:paraId="35BC8EED" w14:textId="77777777" w:rsidR="00487661" w:rsidRPr="0070582C" w:rsidRDefault="00487661" w:rsidP="000F4FAA">
            <w:pPr>
              <w:rPr>
                <w:rFonts w:asciiTheme="minorHAnsi" w:hAnsiTheme="minorHAnsi" w:cstheme="minorHAnsi"/>
                <w:sz w:val="16"/>
                <w:szCs w:val="16"/>
                <w:lang w:val="en-US"/>
              </w:rPr>
            </w:pPr>
          </w:p>
        </w:tc>
        <w:tc>
          <w:tcPr>
            <w:tcW w:w="1134" w:type="dxa"/>
            <w:tcBorders>
              <w:top w:val="nil"/>
              <w:left w:val="nil"/>
              <w:bottom w:val="nil"/>
              <w:right w:val="nil"/>
            </w:tcBorders>
          </w:tcPr>
          <w:p w14:paraId="1DC3EACC" w14:textId="77777777" w:rsidR="00487661" w:rsidRPr="0070582C" w:rsidRDefault="00487661" w:rsidP="000F4FAA">
            <w:pPr>
              <w:jc w:val="center"/>
              <w:rPr>
                <w:rFonts w:asciiTheme="minorHAnsi" w:hAnsiTheme="minorHAnsi" w:cstheme="minorHAnsi"/>
                <w:sz w:val="16"/>
                <w:szCs w:val="16"/>
                <w:lang w:val="en-US"/>
              </w:rPr>
            </w:pPr>
          </w:p>
        </w:tc>
        <w:tc>
          <w:tcPr>
            <w:tcW w:w="1276" w:type="dxa"/>
            <w:tcBorders>
              <w:top w:val="nil"/>
              <w:left w:val="nil"/>
              <w:bottom w:val="nil"/>
              <w:right w:val="nil"/>
            </w:tcBorders>
          </w:tcPr>
          <w:p w14:paraId="00135FA4" w14:textId="77777777" w:rsidR="00487661" w:rsidRPr="0070582C" w:rsidRDefault="00487661" w:rsidP="000F4FAA">
            <w:pPr>
              <w:jc w:val="center"/>
              <w:rPr>
                <w:rFonts w:asciiTheme="minorHAnsi" w:hAnsiTheme="minorHAnsi" w:cstheme="minorHAnsi"/>
                <w:sz w:val="16"/>
                <w:szCs w:val="16"/>
                <w:lang w:val="en-US"/>
              </w:rPr>
            </w:pPr>
            <w:r>
              <w:rPr>
                <w:rFonts w:asciiTheme="minorHAnsi" w:hAnsiTheme="minorHAnsi" w:cstheme="minorHAnsi"/>
                <w:sz w:val="16"/>
                <w:szCs w:val="16"/>
                <w:lang w:val="en-US"/>
              </w:rPr>
              <w:t>.09</w:t>
            </w:r>
          </w:p>
        </w:tc>
        <w:tc>
          <w:tcPr>
            <w:tcW w:w="1276" w:type="dxa"/>
            <w:tcBorders>
              <w:top w:val="nil"/>
              <w:left w:val="nil"/>
              <w:bottom w:val="nil"/>
              <w:right w:val="nil"/>
            </w:tcBorders>
          </w:tcPr>
          <w:p w14:paraId="0248CDA8"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(.040)</w:t>
            </w:r>
          </w:p>
        </w:tc>
      </w:tr>
      <w:tr w:rsidR="00487661" w:rsidRPr="0070582C" w14:paraId="45154F87" w14:textId="77777777" w:rsidTr="000F4FAA">
        <w:trPr>
          <w:gridAfter w:val="1"/>
          <w:wAfter w:w="236" w:type="dxa"/>
          <w:trHeight w:val="52"/>
        </w:trPr>
        <w:tc>
          <w:tcPr>
            <w:tcW w:w="1364" w:type="dxa"/>
            <w:tcBorders>
              <w:top w:val="nil"/>
              <w:left w:val="nil"/>
              <w:bottom w:val="nil"/>
              <w:right w:val="nil"/>
            </w:tcBorders>
          </w:tcPr>
          <w:p w14:paraId="11CD7047"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2010</w:t>
            </w:r>
          </w:p>
        </w:tc>
        <w:tc>
          <w:tcPr>
            <w:tcW w:w="239" w:type="dxa"/>
            <w:tcBorders>
              <w:top w:val="nil"/>
              <w:left w:val="nil"/>
              <w:bottom w:val="nil"/>
              <w:right w:val="nil"/>
            </w:tcBorders>
          </w:tcPr>
          <w:p w14:paraId="11590805" w14:textId="77777777" w:rsidR="00487661" w:rsidRPr="0070582C" w:rsidRDefault="00487661" w:rsidP="000F4FAA">
            <w:pPr>
              <w:jc w:val="center"/>
              <w:rPr>
                <w:rFonts w:asciiTheme="minorHAnsi" w:hAnsiTheme="minorHAnsi" w:cstheme="minorHAnsi"/>
                <w:sz w:val="16"/>
                <w:szCs w:val="16"/>
                <w:lang w:val="en-US"/>
              </w:rPr>
            </w:pPr>
          </w:p>
        </w:tc>
        <w:tc>
          <w:tcPr>
            <w:tcW w:w="2225" w:type="dxa"/>
            <w:gridSpan w:val="2"/>
            <w:tcBorders>
              <w:top w:val="nil"/>
              <w:left w:val="nil"/>
              <w:bottom w:val="nil"/>
              <w:right w:val="nil"/>
            </w:tcBorders>
          </w:tcPr>
          <w:p w14:paraId="1F957273"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.006</w:t>
            </w:r>
          </w:p>
        </w:tc>
        <w:tc>
          <w:tcPr>
            <w:tcW w:w="1275" w:type="dxa"/>
            <w:tcBorders>
              <w:top w:val="nil"/>
              <w:left w:val="nil"/>
              <w:bottom w:val="nil"/>
              <w:right w:val="nil"/>
            </w:tcBorders>
          </w:tcPr>
          <w:p w14:paraId="435455F5" w14:textId="77777777" w:rsidR="00487661" w:rsidRPr="0070582C" w:rsidRDefault="00487661" w:rsidP="000F4FAA">
            <w:pPr>
              <w:rPr>
                <w:rFonts w:asciiTheme="minorHAnsi" w:hAnsiTheme="minorHAnsi" w:cstheme="minorHAnsi"/>
                <w:sz w:val="16"/>
                <w:szCs w:val="16"/>
                <w:lang w:val="en-US"/>
              </w:rPr>
            </w:pPr>
          </w:p>
        </w:tc>
        <w:tc>
          <w:tcPr>
            <w:tcW w:w="1134" w:type="dxa"/>
            <w:tcBorders>
              <w:top w:val="nil"/>
              <w:left w:val="nil"/>
              <w:bottom w:val="nil"/>
              <w:right w:val="nil"/>
            </w:tcBorders>
          </w:tcPr>
          <w:p w14:paraId="157269FA" w14:textId="77777777" w:rsidR="00487661" w:rsidRPr="0070582C" w:rsidRDefault="00487661" w:rsidP="000F4FAA">
            <w:pPr>
              <w:jc w:val="center"/>
              <w:rPr>
                <w:rFonts w:asciiTheme="minorHAnsi" w:hAnsiTheme="minorHAnsi" w:cstheme="minorHAnsi"/>
                <w:sz w:val="16"/>
                <w:szCs w:val="16"/>
                <w:lang w:val="en-US"/>
              </w:rPr>
            </w:pPr>
          </w:p>
        </w:tc>
        <w:tc>
          <w:tcPr>
            <w:tcW w:w="1276" w:type="dxa"/>
            <w:tcBorders>
              <w:top w:val="nil"/>
              <w:left w:val="nil"/>
              <w:bottom w:val="nil"/>
              <w:right w:val="nil"/>
            </w:tcBorders>
          </w:tcPr>
          <w:p w14:paraId="61586AB8" w14:textId="77777777" w:rsidR="00487661" w:rsidRPr="0070582C" w:rsidRDefault="00487661" w:rsidP="000F4FAA">
            <w:pPr>
              <w:jc w:val="center"/>
              <w:rPr>
                <w:rFonts w:asciiTheme="minorHAnsi" w:hAnsiTheme="minorHAnsi" w:cstheme="minorHAnsi"/>
                <w:sz w:val="16"/>
                <w:szCs w:val="16"/>
                <w:lang w:val="en-US"/>
              </w:rPr>
            </w:pPr>
            <w:r>
              <w:rPr>
                <w:rFonts w:asciiTheme="minorHAnsi" w:hAnsiTheme="minorHAnsi" w:cstheme="minorHAnsi"/>
                <w:sz w:val="16"/>
                <w:szCs w:val="16"/>
                <w:lang w:val="en-US"/>
              </w:rPr>
              <w:t>.06</w:t>
            </w:r>
          </w:p>
        </w:tc>
        <w:tc>
          <w:tcPr>
            <w:tcW w:w="1276" w:type="dxa"/>
            <w:tcBorders>
              <w:top w:val="nil"/>
              <w:left w:val="nil"/>
              <w:bottom w:val="nil"/>
              <w:right w:val="nil"/>
            </w:tcBorders>
          </w:tcPr>
          <w:p w14:paraId="1802F8F3"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(.048)</w:t>
            </w:r>
          </w:p>
        </w:tc>
      </w:tr>
      <w:tr w:rsidR="00487661" w:rsidRPr="0070582C" w14:paraId="11AA3542" w14:textId="77777777" w:rsidTr="000F4FAA">
        <w:trPr>
          <w:gridAfter w:val="1"/>
          <w:wAfter w:w="236" w:type="dxa"/>
          <w:trHeight w:val="52"/>
        </w:trPr>
        <w:tc>
          <w:tcPr>
            <w:tcW w:w="1364" w:type="dxa"/>
            <w:tcBorders>
              <w:top w:val="nil"/>
              <w:left w:val="nil"/>
              <w:bottom w:val="nil"/>
              <w:right w:val="nil"/>
            </w:tcBorders>
          </w:tcPr>
          <w:p w14:paraId="5D98D24C"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2012</w:t>
            </w:r>
          </w:p>
        </w:tc>
        <w:tc>
          <w:tcPr>
            <w:tcW w:w="239" w:type="dxa"/>
            <w:tcBorders>
              <w:top w:val="nil"/>
              <w:left w:val="nil"/>
              <w:bottom w:val="nil"/>
              <w:right w:val="nil"/>
            </w:tcBorders>
          </w:tcPr>
          <w:p w14:paraId="4AC888CC" w14:textId="77777777" w:rsidR="00487661" w:rsidRPr="0070582C" w:rsidRDefault="00487661" w:rsidP="000F4FAA">
            <w:pPr>
              <w:jc w:val="center"/>
              <w:rPr>
                <w:rFonts w:asciiTheme="minorHAnsi" w:hAnsiTheme="minorHAnsi" w:cstheme="minorHAnsi"/>
                <w:sz w:val="16"/>
                <w:szCs w:val="16"/>
                <w:lang w:val="en-US"/>
              </w:rPr>
            </w:pPr>
          </w:p>
        </w:tc>
        <w:tc>
          <w:tcPr>
            <w:tcW w:w="2225" w:type="dxa"/>
            <w:gridSpan w:val="2"/>
            <w:tcBorders>
              <w:top w:val="nil"/>
              <w:left w:val="nil"/>
              <w:bottom w:val="nil"/>
              <w:right w:val="nil"/>
            </w:tcBorders>
          </w:tcPr>
          <w:p w14:paraId="0A34D620"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-.056</w:t>
            </w:r>
          </w:p>
        </w:tc>
        <w:tc>
          <w:tcPr>
            <w:tcW w:w="1275" w:type="dxa"/>
            <w:tcBorders>
              <w:top w:val="nil"/>
              <w:left w:val="nil"/>
              <w:bottom w:val="nil"/>
              <w:right w:val="nil"/>
            </w:tcBorders>
          </w:tcPr>
          <w:p w14:paraId="28073F33" w14:textId="77777777" w:rsidR="00487661" w:rsidRPr="0070582C" w:rsidRDefault="00487661" w:rsidP="000F4FAA">
            <w:pPr>
              <w:rPr>
                <w:rFonts w:asciiTheme="minorHAnsi" w:hAnsiTheme="minorHAnsi" w:cstheme="minorHAnsi"/>
                <w:sz w:val="16"/>
                <w:szCs w:val="16"/>
                <w:lang w:val="en-US"/>
              </w:rPr>
            </w:pPr>
          </w:p>
        </w:tc>
        <w:tc>
          <w:tcPr>
            <w:tcW w:w="1134" w:type="dxa"/>
            <w:tcBorders>
              <w:top w:val="nil"/>
              <w:left w:val="nil"/>
              <w:bottom w:val="nil"/>
              <w:right w:val="nil"/>
            </w:tcBorders>
          </w:tcPr>
          <w:p w14:paraId="39105C7F" w14:textId="77777777" w:rsidR="00487661" w:rsidRPr="0070582C" w:rsidRDefault="00487661" w:rsidP="000F4FAA">
            <w:pPr>
              <w:jc w:val="center"/>
              <w:rPr>
                <w:rFonts w:asciiTheme="minorHAnsi" w:hAnsiTheme="minorHAnsi" w:cstheme="minorHAnsi"/>
                <w:sz w:val="16"/>
                <w:szCs w:val="16"/>
                <w:lang w:val="en-US"/>
              </w:rPr>
            </w:pPr>
          </w:p>
        </w:tc>
        <w:tc>
          <w:tcPr>
            <w:tcW w:w="1276" w:type="dxa"/>
            <w:tcBorders>
              <w:top w:val="nil"/>
              <w:left w:val="nil"/>
              <w:bottom w:val="nil"/>
              <w:right w:val="nil"/>
            </w:tcBorders>
          </w:tcPr>
          <w:p w14:paraId="43B94D3A" w14:textId="77777777" w:rsidR="00487661" w:rsidRPr="0070582C" w:rsidRDefault="00487661" w:rsidP="000F4FAA">
            <w:pPr>
              <w:jc w:val="center"/>
              <w:rPr>
                <w:rFonts w:asciiTheme="minorHAnsi" w:hAnsiTheme="minorHAnsi" w:cstheme="minorHAnsi"/>
                <w:sz w:val="16"/>
                <w:szCs w:val="16"/>
                <w:lang w:val="en-US"/>
              </w:rPr>
            </w:pPr>
            <w:r>
              <w:rPr>
                <w:rFonts w:asciiTheme="minorHAnsi" w:hAnsiTheme="minorHAnsi" w:cstheme="minorHAnsi"/>
                <w:sz w:val="16"/>
                <w:szCs w:val="16"/>
                <w:lang w:val="en-US"/>
              </w:rPr>
              <w:t>-.056</w:t>
            </w:r>
          </w:p>
        </w:tc>
        <w:tc>
          <w:tcPr>
            <w:tcW w:w="1276" w:type="dxa"/>
            <w:tcBorders>
              <w:top w:val="nil"/>
              <w:left w:val="nil"/>
              <w:bottom w:val="nil"/>
              <w:right w:val="nil"/>
            </w:tcBorders>
          </w:tcPr>
          <w:p w14:paraId="36D482C9"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(.042)</w:t>
            </w:r>
          </w:p>
        </w:tc>
      </w:tr>
      <w:tr w:rsidR="00487661" w:rsidRPr="0070582C" w14:paraId="03171A51" w14:textId="77777777" w:rsidTr="000F4FAA">
        <w:trPr>
          <w:gridAfter w:val="1"/>
          <w:wAfter w:w="236" w:type="dxa"/>
          <w:trHeight w:val="95"/>
        </w:trPr>
        <w:tc>
          <w:tcPr>
            <w:tcW w:w="1364" w:type="dxa"/>
            <w:tcBorders>
              <w:top w:val="nil"/>
              <w:left w:val="nil"/>
              <w:bottom w:val="nil"/>
              <w:right w:val="nil"/>
            </w:tcBorders>
          </w:tcPr>
          <w:p w14:paraId="49C9EF74"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2014</w:t>
            </w:r>
          </w:p>
        </w:tc>
        <w:tc>
          <w:tcPr>
            <w:tcW w:w="239" w:type="dxa"/>
            <w:tcBorders>
              <w:top w:val="nil"/>
              <w:left w:val="nil"/>
              <w:bottom w:val="nil"/>
              <w:right w:val="nil"/>
            </w:tcBorders>
          </w:tcPr>
          <w:p w14:paraId="62F4241C" w14:textId="77777777" w:rsidR="00487661" w:rsidRPr="0070582C" w:rsidRDefault="00487661" w:rsidP="000F4FAA">
            <w:pPr>
              <w:jc w:val="center"/>
              <w:rPr>
                <w:rFonts w:asciiTheme="minorHAnsi" w:hAnsiTheme="minorHAnsi" w:cstheme="minorHAnsi"/>
                <w:sz w:val="16"/>
                <w:szCs w:val="16"/>
                <w:lang w:val="en-US"/>
              </w:rPr>
            </w:pPr>
          </w:p>
        </w:tc>
        <w:tc>
          <w:tcPr>
            <w:tcW w:w="2225" w:type="dxa"/>
            <w:gridSpan w:val="2"/>
            <w:tcBorders>
              <w:top w:val="nil"/>
              <w:left w:val="nil"/>
              <w:bottom w:val="nil"/>
              <w:right w:val="nil"/>
            </w:tcBorders>
          </w:tcPr>
          <w:p w14:paraId="4B1A2063"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-.085*</w:t>
            </w:r>
          </w:p>
        </w:tc>
        <w:tc>
          <w:tcPr>
            <w:tcW w:w="1275" w:type="dxa"/>
            <w:tcBorders>
              <w:top w:val="nil"/>
              <w:left w:val="nil"/>
              <w:bottom w:val="nil"/>
              <w:right w:val="nil"/>
            </w:tcBorders>
          </w:tcPr>
          <w:p w14:paraId="4459441D" w14:textId="77777777" w:rsidR="00487661" w:rsidRPr="0070582C" w:rsidRDefault="00487661" w:rsidP="000F4FAA">
            <w:pPr>
              <w:rPr>
                <w:rFonts w:asciiTheme="minorHAnsi" w:hAnsiTheme="minorHAnsi" w:cstheme="minorHAnsi"/>
                <w:sz w:val="16"/>
                <w:szCs w:val="16"/>
                <w:lang w:val="en-US"/>
              </w:rPr>
            </w:pPr>
          </w:p>
        </w:tc>
        <w:tc>
          <w:tcPr>
            <w:tcW w:w="1134" w:type="dxa"/>
            <w:tcBorders>
              <w:top w:val="nil"/>
              <w:left w:val="nil"/>
              <w:bottom w:val="nil"/>
              <w:right w:val="nil"/>
            </w:tcBorders>
          </w:tcPr>
          <w:p w14:paraId="2F96F7AF" w14:textId="77777777" w:rsidR="00487661" w:rsidRPr="0070582C" w:rsidRDefault="00487661" w:rsidP="000F4FAA">
            <w:pPr>
              <w:jc w:val="center"/>
              <w:rPr>
                <w:rFonts w:asciiTheme="minorHAnsi" w:hAnsiTheme="minorHAnsi" w:cstheme="minorHAnsi"/>
                <w:sz w:val="16"/>
                <w:szCs w:val="16"/>
                <w:lang w:val="en-US"/>
              </w:rPr>
            </w:pPr>
          </w:p>
        </w:tc>
        <w:tc>
          <w:tcPr>
            <w:tcW w:w="1276" w:type="dxa"/>
            <w:tcBorders>
              <w:top w:val="nil"/>
              <w:left w:val="nil"/>
              <w:bottom w:val="nil"/>
              <w:right w:val="nil"/>
            </w:tcBorders>
          </w:tcPr>
          <w:p w14:paraId="4DA8C4AC" w14:textId="77777777" w:rsidR="00487661" w:rsidRPr="0070582C" w:rsidRDefault="00487661" w:rsidP="000F4FAA">
            <w:pPr>
              <w:jc w:val="center"/>
              <w:rPr>
                <w:rFonts w:asciiTheme="minorHAnsi" w:hAnsiTheme="minorHAnsi" w:cstheme="minorHAnsi"/>
                <w:sz w:val="16"/>
                <w:szCs w:val="16"/>
                <w:lang w:val="en-US"/>
              </w:rPr>
            </w:pPr>
            <w:r>
              <w:rPr>
                <w:rFonts w:asciiTheme="minorHAnsi" w:hAnsiTheme="minorHAnsi" w:cstheme="minorHAnsi"/>
                <w:sz w:val="16"/>
                <w:szCs w:val="16"/>
                <w:lang w:val="en-US"/>
              </w:rPr>
              <w:t>-.085*</w:t>
            </w:r>
          </w:p>
        </w:tc>
        <w:tc>
          <w:tcPr>
            <w:tcW w:w="1276" w:type="dxa"/>
            <w:tcBorders>
              <w:top w:val="nil"/>
              <w:left w:val="nil"/>
              <w:bottom w:val="nil"/>
              <w:right w:val="nil"/>
            </w:tcBorders>
          </w:tcPr>
          <w:p w14:paraId="5E8DDAFE"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(.039)</w:t>
            </w:r>
          </w:p>
        </w:tc>
      </w:tr>
      <w:tr w:rsidR="00487661" w:rsidRPr="0070582C" w14:paraId="324D9BCB" w14:textId="77777777" w:rsidTr="000F4FAA">
        <w:trPr>
          <w:gridAfter w:val="1"/>
          <w:wAfter w:w="236" w:type="dxa"/>
          <w:trHeight w:val="54"/>
        </w:trPr>
        <w:tc>
          <w:tcPr>
            <w:tcW w:w="1364" w:type="dxa"/>
            <w:tcBorders>
              <w:top w:val="nil"/>
              <w:left w:val="nil"/>
              <w:bottom w:val="nil"/>
              <w:right w:val="nil"/>
            </w:tcBorders>
          </w:tcPr>
          <w:p w14:paraId="28595950"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2016</w:t>
            </w:r>
          </w:p>
        </w:tc>
        <w:tc>
          <w:tcPr>
            <w:tcW w:w="239" w:type="dxa"/>
            <w:tcBorders>
              <w:top w:val="nil"/>
              <w:left w:val="nil"/>
              <w:bottom w:val="nil"/>
              <w:right w:val="nil"/>
            </w:tcBorders>
          </w:tcPr>
          <w:p w14:paraId="06C41B46" w14:textId="77777777" w:rsidR="00487661" w:rsidRPr="0070582C" w:rsidRDefault="00487661" w:rsidP="000F4FAA">
            <w:pPr>
              <w:jc w:val="center"/>
              <w:rPr>
                <w:rFonts w:asciiTheme="minorHAnsi" w:hAnsiTheme="minorHAnsi" w:cstheme="minorHAnsi"/>
                <w:sz w:val="16"/>
                <w:szCs w:val="16"/>
                <w:lang w:val="en-US"/>
              </w:rPr>
            </w:pPr>
          </w:p>
        </w:tc>
        <w:tc>
          <w:tcPr>
            <w:tcW w:w="2225" w:type="dxa"/>
            <w:gridSpan w:val="2"/>
            <w:tcBorders>
              <w:top w:val="nil"/>
              <w:left w:val="nil"/>
              <w:bottom w:val="nil"/>
              <w:right w:val="nil"/>
            </w:tcBorders>
          </w:tcPr>
          <w:p w14:paraId="2C57024E"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-.089*</w:t>
            </w:r>
          </w:p>
        </w:tc>
        <w:tc>
          <w:tcPr>
            <w:tcW w:w="1275" w:type="dxa"/>
            <w:tcBorders>
              <w:top w:val="nil"/>
              <w:left w:val="nil"/>
              <w:bottom w:val="nil"/>
              <w:right w:val="nil"/>
            </w:tcBorders>
          </w:tcPr>
          <w:p w14:paraId="210034D1" w14:textId="77777777" w:rsidR="00487661" w:rsidRPr="0070582C" w:rsidRDefault="00487661" w:rsidP="000F4FAA">
            <w:pPr>
              <w:rPr>
                <w:rFonts w:asciiTheme="minorHAnsi" w:hAnsiTheme="minorHAnsi" w:cstheme="minorHAnsi"/>
                <w:sz w:val="16"/>
                <w:szCs w:val="16"/>
                <w:lang w:val="en-US"/>
              </w:rPr>
            </w:pPr>
          </w:p>
        </w:tc>
        <w:tc>
          <w:tcPr>
            <w:tcW w:w="1134" w:type="dxa"/>
            <w:tcBorders>
              <w:top w:val="nil"/>
              <w:left w:val="nil"/>
              <w:bottom w:val="nil"/>
              <w:right w:val="nil"/>
            </w:tcBorders>
          </w:tcPr>
          <w:p w14:paraId="1FF6FE89" w14:textId="77777777" w:rsidR="00487661" w:rsidRPr="0070582C" w:rsidRDefault="00487661" w:rsidP="000F4FAA">
            <w:pPr>
              <w:jc w:val="center"/>
              <w:rPr>
                <w:rFonts w:asciiTheme="minorHAnsi" w:hAnsiTheme="minorHAnsi" w:cstheme="minorHAnsi"/>
                <w:sz w:val="16"/>
                <w:szCs w:val="16"/>
                <w:lang w:val="en-US"/>
              </w:rPr>
            </w:pPr>
          </w:p>
        </w:tc>
        <w:tc>
          <w:tcPr>
            <w:tcW w:w="1276" w:type="dxa"/>
            <w:tcBorders>
              <w:top w:val="nil"/>
              <w:left w:val="nil"/>
              <w:bottom w:val="nil"/>
              <w:right w:val="nil"/>
            </w:tcBorders>
          </w:tcPr>
          <w:p w14:paraId="618F819E" w14:textId="77777777" w:rsidR="00487661" w:rsidRPr="0070582C" w:rsidRDefault="00487661" w:rsidP="000F4FAA">
            <w:pPr>
              <w:jc w:val="center"/>
              <w:rPr>
                <w:rFonts w:asciiTheme="minorHAnsi" w:hAnsiTheme="minorHAnsi" w:cstheme="minorHAnsi"/>
                <w:sz w:val="16"/>
                <w:szCs w:val="16"/>
                <w:lang w:val="en-US"/>
              </w:rPr>
            </w:pPr>
            <w:r>
              <w:rPr>
                <w:rFonts w:asciiTheme="minorHAnsi" w:hAnsiTheme="minorHAnsi" w:cstheme="minorHAnsi"/>
                <w:sz w:val="16"/>
                <w:szCs w:val="16"/>
                <w:lang w:val="en-US"/>
              </w:rPr>
              <w:t>-.089*</w:t>
            </w:r>
          </w:p>
        </w:tc>
        <w:tc>
          <w:tcPr>
            <w:tcW w:w="1276" w:type="dxa"/>
            <w:tcBorders>
              <w:top w:val="nil"/>
              <w:left w:val="nil"/>
              <w:bottom w:val="nil"/>
              <w:right w:val="nil"/>
            </w:tcBorders>
          </w:tcPr>
          <w:p w14:paraId="596C7EE9"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(.043)</w:t>
            </w:r>
          </w:p>
        </w:tc>
      </w:tr>
      <w:tr w:rsidR="00487661" w:rsidRPr="0070582C" w14:paraId="2296D7B6" w14:textId="77777777" w:rsidTr="000F4FAA">
        <w:trPr>
          <w:gridAfter w:val="1"/>
          <w:wAfter w:w="236" w:type="dxa"/>
          <w:trHeight w:val="52"/>
        </w:trPr>
        <w:tc>
          <w:tcPr>
            <w:tcW w:w="1364" w:type="dxa"/>
            <w:tcBorders>
              <w:top w:val="nil"/>
              <w:left w:val="nil"/>
              <w:bottom w:val="nil"/>
              <w:right w:val="nil"/>
            </w:tcBorders>
          </w:tcPr>
          <w:p w14:paraId="665E8AD8"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2019</w:t>
            </w:r>
          </w:p>
        </w:tc>
        <w:tc>
          <w:tcPr>
            <w:tcW w:w="239" w:type="dxa"/>
            <w:tcBorders>
              <w:top w:val="nil"/>
              <w:left w:val="nil"/>
              <w:bottom w:val="nil"/>
              <w:right w:val="nil"/>
            </w:tcBorders>
          </w:tcPr>
          <w:p w14:paraId="540160FA" w14:textId="77777777" w:rsidR="00487661" w:rsidRPr="0070582C" w:rsidRDefault="00487661" w:rsidP="000F4FAA">
            <w:pPr>
              <w:jc w:val="center"/>
              <w:rPr>
                <w:rFonts w:asciiTheme="minorHAnsi" w:hAnsiTheme="minorHAnsi" w:cstheme="minorHAnsi"/>
                <w:sz w:val="16"/>
                <w:szCs w:val="16"/>
                <w:lang w:val="en-US"/>
              </w:rPr>
            </w:pPr>
          </w:p>
        </w:tc>
        <w:tc>
          <w:tcPr>
            <w:tcW w:w="2225" w:type="dxa"/>
            <w:gridSpan w:val="2"/>
            <w:tcBorders>
              <w:top w:val="nil"/>
              <w:left w:val="nil"/>
              <w:bottom w:val="nil"/>
              <w:right w:val="nil"/>
            </w:tcBorders>
          </w:tcPr>
          <w:p w14:paraId="53F22EDC"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-.172*</w:t>
            </w:r>
          </w:p>
        </w:tc>
        <w:tc>
          <w:tcPr>
            <w:tcW w:w="1275" w:type="dxa"/>
            <w:tcBorders>
              <w:top w:val="nil"/>
              <w:left w:val="nil"/>
              <w:bottom w:val="nil"/>
              <w:right w:val="nil"/>
            </w:tcBorders>
          </w:tcPr>
          <w:p w14:paraId="0CFC982C" w14:textId="77777777" w:rsidR="00487661" w:rsidRPr="0070582C" w:rsidRDefault="00487661" w:rsidP="000F4FAA">
            <w:pPr>
              <w:rPr>
                <w:rFonts w:asciiTheme="minorHAnsi" w:hAnsiTheme="minorHAnsi" w:cstheme="minorHAnsi"/>
                <w:sz w:val="16"/>
                <w:szCs w:val="16"/>
                <w:lang w:val="en-US"/>
              </w:rPr>
            </w:pPr>
          </w:p>
        </w:tc>
        <w:tc>
          <w:tcPr>
            <w:tcW w:w="1134" w:type="dxa"/>
            <w:tcBorders>
              <w:top w:val="nil"/>
              <w:left w:val="nil"/>
              <w:bottom w:val="nil"/>
              <w:right w:val="nil"/>
            </w:tcBorders>
          </w:tcPr>
          <w:p w14:paraId="51669930" w14:textId="77777777" w:rsidR="00487661" w:rsidRPr="0070582C" w:rsidRDefault="00487661" w:rsidP="000F4FAA">
            <w:pPr>
              <w:jc w:val="center"/>
              <w:rPr>
                <w:rFonts w:asciiTheme="minorHAnsi" w:hAnsiTheme="minorHAnsi" w:cstheme="minorHAnsi"/>
                <w:sz w:val="16"/>
                <w:szCs w:val="16"/>
                <w:lang w:val="en-US"/>
              </w:rPr>
            </w:pPr>
          </w:p>
        </w:tc>
        <w:tc>
          <w:tcPr>
            <w:tcW w:w="1276" w:type="dxa"/>
            <w:tcBorders>
              <w:top w:val="nil"/>
              <w:left w:val="nil"/>
              <w:bottom w:val="nil"/>
              <w:right w:val="nil"/>
            </w:tcBorders>
          </w:tcPr>
          <w:p w14:paraId="680FB208" w14:textId="77777777" w:rsidR="00487661" w:rsidRPr="0070582C" w:rsidRDefault="00487661" w:rsidP="000F4FAA">
            <w:pPr>
              <w:jc w:val="center"/>
              <w:rPr>
                <w:rFonts w:asciiTheme="minorHAnsi" w:hAnsiTheme="minorHAnsi" w:cstheme="minorHAnsi"/>
                <w:sz w:val="16"/>
                <w:szCs w:val="16"/>
                <w:lang w:val="en-US"/>
              </w:rPr>
            </w:pPr>
            <w:r>
              <w:rPr>
                <w:rFonts w:asciiTheme="minorHAnsi" w:hAnsiTheme="minorHAnsi" w:cstheme="minorHAnsi"/>
                <w:sz w:val="16"/>
                <w:szCs w:val="16"/>
                <w:lang w:val="en-US"/>
              </w:rPr>
              <w:t>-.172*</w:t>
            </w:r>
          </w:p>
        </w:tc>
        <w:tc>
          <w:tcPr>
            <w:tcW w:w="1276" w:type="dxa"/>
            <w:tcBorders>
              <w:top w:val="nil"/>
              <w:left w:val="nil"/>
              <w:bottom w:val="nil"/>
              <w:right w:val="nil"/>
            </w:tcBorders>
          </w:tcPr>
          <w:p w14:paraId="3D2DD6D1"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(.067)</w:t>
            </w:r>
          </w:p>
        </w:tc>
      </w:tr>
      <w:tr w:rsidR="00487661" w:rsidRPr="0070582C" w14:paraId="6ECA3729" w14:textId="77777777" w:rsidTr="000F4FAA">
        <w:trPr>
          <w:gridAfter w:val="1"/>
          <w:wAfter w:w="236" w:type="dxa"/>
          <w:trHeight w:val="261"/>
        </w:trPr>
        <w:tc>
          <w:tcPr>
            <w:tcW w:w="1364" w:type="dxa"/>
            <w:tcBorders>
              <w:top w:val="nil"/>
              <w:left w:val="nil"/>
              <w:bottom w:val="nil"/>
              <w:right w:val="nil"/>
            </w:tcBorders>
          </w:tcPr>
          <w:p w14:paraId="0FDE150C"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Individual fixed effects</w:t>
            </w:r>
          </w:p>
        </w:tc>
        <w:tc>
          <w:tcPr>
            <w:tcW w:w="239" w:type="dxa"/>
            <w:tcBorders>
              <w:top w:val="nil"/>
              <w:left w:val="nil"/>
              <w:bottom w:val="nil"/>
              <w:right w:val="nil"/>
            </w:tcBorders>
          </w:tcPr>
          <w:p w14:paraId="55DA1C1D" w14:textId="77777777" w:rsidR="00487661" w:rsidRPr="0070582C" w:rsidRDefault="00487661" w:rsidP="000F4FAA">
            <w:pPr>
              <w:jc w:val="center"/>
              <w:rPr>
                <w:rFonts w:asciiTheme="minorHAnsi" w:hAnsiTheme="minorHAnsi" w:cstheme="minorHAnsi"/>
                <w:sz w:val="16"/>
                <w:szCs w:val="16"/>
                <w:lang w:val="en-US"/>
              </w:rPr>
            </w:pPr>
          </w:p>
        </w:tc>
        <w:tc>
          <w:tcPr>
            <w:tcW w:w="2225" w:type="dxa"/>
            <w:gridSpan w:val="2"/>
            <w:tcBorders>
              <w:top w:val="nil"/>
              <w:left w:val="nil"/>
              <w:bottom w:val="nil"/>
              <w:right w:val="nil"/>
            </w:tcBorders>
          </w:tcPr>
          <w:p w14:paraId="2B756B90"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No</w:t>
            </w:r>
          </w:p>
        </w:tc>
        <w:tc>
          <w:tcPr>
            <w:tcW w:w="2409" w:type="dxa"/>
            <w:gridSpan w:val="2"/>
            <w:tcBorders>
              <w:top w:val="nil"/>
              <w:left w:val="nil"/>
              <w:bottom w:val="nil"/>
              <w:right w:val="nil"/>
            </w:tcBorders>
          </w:tcPr>
          <w:p w14:paraId="52AC43C9" w14:textId="77777777" w:rsidR="00487661" w:rsidRPr="0070582C" w:rsidRDefault="00487661" w:rsidP="000F4FAA">
            <w:pPr>
              <w:jc w:val="center"/>
              <w:rPr>
                <w:rFonts w:asciiTheme="minorHAnsi" w:hAnsiTheme="minorHAnsi" w:cstheme="minorHAnsi"/>
                <w:sz w:val="16"/>
                <w:szCs w:val="16"/>
                <w:lang w:val="en-US"/>
              </w:rPr>
            </w:pPr>
            <w:r>
              <w:rPr>
                <w:rFonts w:asciiTheme="minorHAnsi" w:hAnsiTheme="minorHAnsi" w:cstheme="minorHAnsi"/>
                <w:sz w:val="16"/>
                <w:szCs w:val="16"/>
                <w:lang w:val="en-US"/>
              </w:rPr>
              <w:t>Yes</w:t>
            </w:r>
          </w:p>
        </w:tc>
        <w:tc>
          <w:tcPr>
            <w:tcW w:w="2552" w:type="dxa"/>
            <w:gridSpan w:val="2"/>
            <w:tcBorders>
              <w:top w:val="nil"/>
              <w:left w:val="nil"/>
              <w:bottom w:val="nil"/>
              <w:right w:val="nil"/>
            </w:tcBorders>
          </w:tcPr>
          <w:p w14:paraId="35B15302" w14:textId="77777777" w:rsidR="00487661" w:rsidRPr="001618FA" w:rsidRDefault="00487661" w:rsidP="000F4FAA">
            <w:pPr>
              <w:jc w:val="center"/>
              <w:rPr>
                <w:rFonts w:asciiTheme="minorHAnsi" w:hAnsiTheme="minorHAnsi" w:cstheme="minorHAnsi"/>
                <w:sz w:val="16"/>
                <w:szCs w:val="16"/>
                <w:lang w:val="en-US"/>
              </w:rPr>
            </w:pPr>
            <w:r w:rsidRPr="001618FA">
              <w:rPr>
                <w:rFonts w:asciiTheme="minorHAnsi" w:hAnsiTheme="minorHAnsi" w:cstheme="minorHAnsi"/>
                <w:sz w:val="16"/>
                <w:szCs w:val="16"/>
              </w:rPr>
              <w:t>Yes</w:t>
            </w:r>
          </w:p>
        </w:tc>
      </w:tr>
      <w:tr w:rsidR="00487661" w:rsidRPr="0070582C" w14:paraId="7A56B476" w14:textId="77777777" w:rsidTr="000F4FAA">
        <w:trPr>
          <w:gridAfter w:val="1"/>
          <w:wAfter w:w="236" w:type="dxa"/>
          <w:trHeight w:val="52"/>
        </w:trPr>
        <w:tc>
          <w:tcPr>
            <w:tcW w:w="1364" w:type="dxa"/>
            <w:tcBorders>
              <w:top w:val="nil"/>
              <w:left w:val="nil"/>
              <w:bottom w:val="nil"/>
              <w:right w:val="nil"/>
            </w:tcBorders>
          </w:tcPr>
          <w:p w14:paraId="5EB30C04"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Year fixed effects</w:t>
            </w:r>
          </w:p>
        </w:tc>
        <w:tc>
          <w:tcPr>
            <w:tcW w:w="239" w:type="dxa"/>
            <w:tcBorders>
              <w:top w:val="nil"/>
              <w:left w:val="nil"/>
              <w:bottom w:val="nil"/>
              <w:right w:val="nil"/>
            </w:tcBorders>
          </w:tcPr>
          <w:p w14:paraId="15E0D37E" w14:textId="77777777" w:rsidR="00487661" w:rsidRPr="0070582C" w:rsidRDefault="00487661" w:rsidP="000F4FAA">
            <w:pPr>
              <w:jc w:val="center"/>
              <w:rPr>
                <w:rFonts w:asciiTheme="minorHAnsi" w:hAnsiTheme="minorHAnsi" w:cstheme="minorHAnsi"/>
                <w:sz w:val="16"/>
                <w:szCs w:val="16"/>
                <w:lang w:val="en-US"/>
              </w:rPr>
            </w:pPr>
          </w:p>
        </w:tc>
        <w:tc>
          <w:tcPr>
            <w:tcW w:w="2225" w:type="dxa"/>
            <w:gridSpan w:val="2"/>
            <w:tcBorders>
              <w:top w:val="nil"/>
              <w:left w:val="nil"/>
              <w:bottom w:val="nil"/>
              <w:right w:val="nil"/>
            </w:tcBorders>
          </w:tcPr>
          <w:p w14:paraId="6D1E3AAC"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Yes</w:t>
            </w:r>
          </w:p>
        </w:tc>
        <w:tc>
          <w:tcPr>
            <w:tcW w:w="2409" w:type="dxa"/>
            <w:gridSpan w:val="2"/>
            <w:tcBorders>
              <w:top w:val="nil"/>
              <w:left w:val="nil"/>
              <w:bottom w:val="nil"/>
              <w:right w:val="nil"/>
            </w:tcBorders>
          </w:tcPr>
          <w:p w14:paraId="3BBDD7A3" w14:textId="77777777" w:rsidR="00487661" w:rsidRPr="0070582C" w:rsidRDefault="00487661" w:rsidP="000F4FAA">
            <w:pPr>
              <w:jc w:val="center"/>
              <w:rPr>
                <w:rFonts w:asciiTheme="minorHAnsi" w:hAnsiTheme="minorHAnsi" w:cstheme="minorHAnsi"/>
                <w:sz w:val="16"/>
                <w:szCs w:val="16"/>
                <w:lang w:val="en-US"/>
              </w:rPr>
            </w:pPr>
            <w:r>
              <w:rPr>
                <w:rFonts w:asciiTheme="minorHAnsi" w:hAnsiTheme="minorHAnsi" w:cstheme="minorHAnsi"/>
                <w:sz w:val="16"/>
                <w:szCs w:val="16"/>
                <w:lang w:val="en-US"/>
              </w:rPr>
              <w:t>No</w:t>
            </w:r>
          </w:p>
        </w:tc>
        <w:tc>
          <w:tcPr>
            <w:tcW w:w="2552" w:type="dxa"/>
            <w:gridSpan w:val="2"/>
            <w:tcBorders>
              <w:top w:val="nil"/>
              <w:left w:val="nil"/>
              <w:bottom w:val="nil"/>
              <w:right w:val="nil"/>
            </w:tcBorders>
          </w:tcPr>
          <w:p w14:paraId="7D066B7E" w14:textId="77777777" w:rsidR="00487661" w:rsidRPr="001618FA" w:rsidRDefault="00487661" w:rsidP="000F4FAA">
            <w:pPr>
              <w:jc w:val="center"/>
              <w:rPr>
                <w:rFonts w:asciiTheme="minorHAnsi" w:hAnsiTheme="minorHAnsi" w:cstheme="minorHAnsi"/>
                <w:sz w:val="16"/>
                <w:szCs w:val="16"/>
                <w:lang w:val="en-US"/>
              </w:rPr>
            </w:pPr>
            <w:r w:rsidRPr="001618FA">
              <w:rPr>
                <w:rFonts w:asciiTheme="minorHAnsi" w:hAnsiTheme="minorHAnsi" w:cstheme="minorHAnsi"/>
                <w:sz w:val="16"/>
                <w:szCs w:val="16"/>
              </w:rPr>
              <w:t>Yes</w:t>
            </w:r>
          </w:p>
        </w:tc>
      </w:tr>
      <w:tr w:rsidR="00487661" w:rsidRPr="0070582C" w14:paraId="545CCE70" w14:textId="77777777" w:rsidTr="000F4FAA">
        <w:trPr>
          <w:gridAfter w:val="1"/>
          <w:wAfter w:w="236" w:type="dxa"/>
          <w:trHeight w:val="261"/>
        </w:trPr>
        <w:tc>
          <w:tcPr>
            <w:tcW w:w="1364" w:type="dxa"/>
            <w:tcBorders>
              <w:top w:val="nil"/>
              <w:left w:val="nil"/>
              <w:bottom w:val="single" w:sz="8" w:space="0" w:color="auto"/>
              <w:right w:val="nil"/>
            </w:tcBorders>
          </w:tcPr>
          <w:p w14:paraId="6B55FE16"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Municipal fixed effects</w:t>
            </w:r>
          </w:p>
        </w:tc>
        <w:tc>
          <w:tcPr>
            <w:tcW w:w="239" w:type="dxa"/>
            <w:tcBorders>
              <w:top w:val="nil"/>
              <w:left w:val="nil"/>
              <w:bottom w:val="single" w:sz="8" w:space="0" w:color="auto"/>
              <w:right w:val="nil"/>
            </w:tcBorders>
          </w:tcPr>
          <w:p w14:paraId="5D018F7F" w14:textId="77777777" w:rsidR="00487661" w:rsidRPr="0070582C" w:rsidRDefault="00487661" w:rsidP="000F4FAA">
            <w:pPr>
              <w:jc w:val="center"/>
              <w:rPr>
                <w:rFonts w:asciiTheme="minorHAnsi" w:hAnsiTheme="minorHAnsi" w:cstheme="minorHAnsi"/>
                <w:sz w:val="16"/>
                <w:szCs w:val="16"/>
                <w:lang w:val="en-US"/>
              </w:rPr>
            </w:pPr>
          </w:p>
        </w:tc>
        <w:tc>
          <w:tcPr>
            <w:tcW w:w="2225" w:type="dxa"/>
            <w:gridSpan w:val="2"/>
            <w:tcBorders>
              <w:top w:val="nil"/>
              <w:left w:val="nil"/>
              <w:bottom w:val="single" w:sz="8" w:space="0" w:color="auto"/>
              <w:right w:val="nil"/>
            </w:tcBorders>
          </w:tcPr>
          <w:p w14:paraId="1FEADE92"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Yes</w:t>
            </w:r>
          </w:p>
        </w:tc>
        <w:tc>
          <w:tcPr>
            <w:tcW w:w="2409" w:type="dxa"/>
            <w:gridSpan w:val="2"/>
            <w:tcBorders>
              <w:top w:val="nil"/>
              <w:left w:val="nil"/>
              <w:bottom w:val="single" w:sz="8" w:space="0" w:color="auto"/>
              <w:right w:val="nil"/>
            </w:tcBorders>
          </w:tcPr>
          <w:p w14:paraId="10693BF1" w14:textId="77777777" w:rsidR="00487661" w:rsidRPr="0070582C" w:rsidRDefault="00487661" w:rsidP="000F4FAA">
            <w:pPr>
              <w:jc w:val="center"/>
              <w:rPr>
                <w:rFonts w:asciiTheme="minorHAnsi" w:hAnsiTheme="minorHAnsi" w:cstheme="minorHAnsi"/>
                <w:sz w:val="16"/>
                <w:szCs w:val="16"/>
                <w:lang w:val="en-US"/>
              </w:rPr>
            </w:pPr>
            <w:r>
              <w:rPr>
                <w:rFonts w:asciiTheme="minorHAnsi" w:hAnsiTheme="minorHAnsi" w:cstheme="minorHAnsi"/>
                <w:sz w:val="16"/>
                <w:szCs w:val="16"/>
                <w:lang w:val="en-US"/>
              </w:rPr>
              <w:t>No</w:t>
            </w:r>
          </w:p>
        </w:tc>
        <w:tc>
          <w:tcPr>
            <w:tcW w:w="2552" w:type="dxa"/>
            <w:gridSpan w:val="2"/>
            <w:tcBorders>
              <w:top w:val="nil"/>
              <w:left w:val="nil"/>
              <w:bottom w:val="single" w:sz="8" w:space="0" w:color="auto"/>
              <w:right w:val="nil"/>
            </w:tcBorders>
          </w:tcPr>
          <w:p w14:paraId="302D492B" w14:textId="77777777" w:rsidR="00487661" w:rsidRPr="001618FA" w:rsidRDefault="00487661" w:rsidP="000F4FAA">
            <w:pPr>
              <w:jc w:val="center"/>
              <w:rPr>
                <w:rFonts w:asciiTheme="minorHAnsi" w:hAnsiTheme="minorHAnsi" w:cstheme="minorHAnsi"/>
                <w:sz w:val="16"/>
                <w:szCs w:val="16"/>
                <w:lang w:val="en-US"/>
              </w:rPr>
            </w:pPr>
            <w:r w:rsidRPr="001618FA">
              <w:rPr>
                <w:rFonts w:asciiTheme="minorHAnsi" w:hAnsiTheme="minorHAnsi" w:cstheme="minorHAnsi"/>
                <w:sz w:val="16"/>
                <w:szCs w:val="16"/>
              </w:rPr>
              <w:t>No</w:t>
            </w:r>
          </w:p>
        </w:tc>
      </w:tr>
      <w:tr w:rsidR="00487661" w:rsidRPr="0070582C" w14:paraId="203D5409" w14:textId="77777777" w:rsidTr="000F4FAA">
        <w:trPr>
          <w:trHeight w:val="378"/>
        </w:trPr>
        <w:tc>
          <w:tcPr>
            <w:tcW w:w="1364" w:type="dxa"/>
            <w:tcBorders>
              <w:top w:val="single" w:sz="8" w:space="0" w:color="auto"/>
              <w:left w:val="nil"/>
              <w:bottom w:val="nil"/>
              <w:right w:val="nil"/>
            </w:tcBorders>
          </w:tcPr>
          <w:p w14:paraId="07687409"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Number of observations</w:t>
            </w:r>
          </w:p>
        </w:tc>
        <w:tc>
          <w:tcPr>
            <w:tcW w:w="239" w:type="dxa"/>
            <w:tcBorders>
              <w:top w:val="single" w:sz="8" w:space="0" w:color="auto"/>
              <w:left w:val="nil"/>
              <w:bottom w:val="nil"/>
              <w:right w:val="nil"/>
            </w:tcBorders>
          </w:tcPr>
          <w:p w14:paraId="4D382C79" w14:textId="77777777" w:rsidR="00487661" w:rsidRPr="0070582C" w:rsidRDefault="00487661" w:rsidP="000F4FAA">
            <w:pPr>
              <w:jc w:val="center"/>
              <w:rPr>
                <w:rFonts w:asciiTheme="minorHAnsi" w:hAnsiTheme="minorHAnsi" w:cstheme="minorHAnsi"/>
                <w:sz w:val="16"/>
                <w:szCs w:val="16"/>
                <w:lang w:val="en-US"/>
              </w:rPr>
            </w:pPr>
          </w:p>
        </w:tc>
        <w:tc>
          <w:tcPr>
            <w:tcW w:w="2225" w:type="dxa"/>
            <w:gridSpan w:val="2"/>
            <w:tcBorders>
              <w:top w:val="single" w:sz="8" w:space="0" w:color="auto"/>
              <w:left w:val="nil"/>
              <w:bottom w:val="nil"/>
              <w:right w:val="nil"/>
            </w:tcBorders>
          </w:tcPr>
          <w:p w14:paraId="7F0F086D"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5004</w:t>
            </w:r>
          </w:p>
        </w:tc>
        <w:tc>
          <w:tcPr>
            <w:tcW w:w="2409" w:type="dxa"/>
            <w:gridSpan w:val="2"/>
            <w:tcBorders>
              <w:top w:val="single" w:sz="8" w:space="0" w:color="auto"/>
              <w:left w:val="nil"/>
              <w:bottom w:val="nil"/>
              <w:right w:val="nil"/>
            </w:tcBorders>
          </w:tcPr>
          <w:p w14:paraId="7EC34211"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5004</w:t>
            </w:r>
          </w:p>
        </w:tc>
        <w:tc>
          <w:tcPr>
            <w:tcW w:w="2552" w:type="dxa"/>
            <w:gridSpan w:val="2"/>
            <w:tcBorders>
              <w:top w:val="single" w:sz="8" w:space="0" w:color="auto"/>
              <w:left w:val="nil"/>
              <w:bottom w:val="nil"/>
              <w:right w:val="nil"/>
            </w:tcBorders>
          </w:tcPr>
          <w:p w14:paraId="23CA8BC6"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5004</w:t>
            </w:r>
          </w:p>
        </w:tc>
        <w:tc>
          <w:tcPr>
            <w:tcW w:w="236" w:type="dxa"/>
            <w:tcBorders>
              <w:top w:val="nil"/>
              <w:left w:val="nil"/>
              <w:bottom w:val="nil"/>
              <w:right w:val="nil"/>
            </w:tcBorders>
          </w:tcPr>
          <w:p w14:paraId="2C60FFAD" w14:textId="77777777" w:rsidR="00487661" w:rsidRPr="0070582C" w:rsidRDefault="00487661" w:rsidP="000F4FAA">
            <w:pPr>
              <w:jc w:val="center"/>
              <w:rPr>
                <w:rFonts w:ascii="Times New Roman" w:hAnsi="Times New Roman" w:cs="Times New Roman"/>
                <w:sz w:val="16"/>
                <w:szCs w:val="16"/>
                <w:lang w:val="en-US"/>
              </w:rPr>
            </w:pPr>
          </w:p>
        </w:tc>
      </w:tr>
      <w:tr w:rsidR="00487661" w:rsidRPr="0070582C" w14:paraId="3DE4F211" w14:textId="77777777" w:rsidTr="000F4FAA">
        <w:trPr>
          <w:trHeight w:val="311"/>
        </w:trPr>
        <w:tc>
          <w:tcPr>
            <w:tcW w:w="1364" w:type="dxa"/>
            <w:tcBorders>
              <w:top w:val="nil"/>
              <w:left w:val="nil"/>
              <w:bottom w:val="single" w:sz="8" w:space="0" w:color="auto"/>
              <w:right w:val="nil"/>
            </w:tcBorders>
          </w:tcPr>
          <w:p w14:paraId="6BCD9BFB"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Number of groups</w:t>
            </w:r>
          </w:p>
        </w:tc>
        <w:tc>
          <w:tcPr>
            <w:tcW w:w="239" w:type="dxa"/>
            <w:tcBorders>
              <w:top w:val="nil"/>
              <w:left w:val="nil"/>
              <w:bottom w:val="single" w:sz="8" w:space="0" w:color="auto"/>
              <w:right w:val="nil"/>
            </w:tcBorders>
          </w:tcPr>
          <w:p w14:paraId="49E5EDA9" w14:textId="77777777" w:rsidR="00487661" w:rsidRPr="0070582C" w:rsidRDefault="00487661" w:rsidP="000F4FAA">
            <w:pPr>
              <w:jc w:val="center"/>
              <w:rPr>
                <w:rFonts w:asciiTheme="minorHAnsi" w:hAnsiTheme="minorHAnsi" w:cstheme="minorHAnsi"/>
                <w:sz w:val="16"/>
                <w:szCs w:val="16"/>
                <w:lang w:val="en-US"/>
              </w:rPr>
            </w:pPr>
          </w:p>
        </w:tc>
        <w:tc>
          <w:tcPr>
            <w:tcW w:w="2225" w:type="dxa"/>
            <w:gridSpan w:val="2"/>
            <w:tcBorders>
              <w:top w:val="nil"/>
              <w:left w:val="nil"/>
              <w:bottom w:val="single" w:sz="8" w:space="0" w:color="auto"/>
              <w:right w:val="nil"/>
            </w:tcBorders>
          </w:tcPr>
          <w:p w14:paraId="14DB4171"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271</w:t>
            </w:r>
          </w:p>
        </w:tc>
        <w:tc>
          <w:tcPr>
            <w:tcW w:w="2409" w:type="dxa"/>
            <w:gridSpan w:val="2"/>
            <w:tcBorders>
              <w:top w:val="nil"/>
              <w:left w:val="nil"/>
              <w:bottom w:val="single" w:sz="8" w:space="0" w:color="auto"/>
              <w:right w:val="nil"/>
            </w:tcBorders>
          </w:tcPr>
          <w:p w14:paraId="3A6A45BF"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2333</w:t>
            </w:r>
          </w:p>
        </w:tc>
        <w:tc>
          <w:tcPr>
            <w:tcW w:w="2552" w:type="dxa"/>
            <w:gridSpan w:val="2"/>
            <w:tcBorders>
              <w:top w:val="nil"/>
              <w:left w:val="nil"/>
              <w:bottom w:val="single" w:sz="8" w:space="0" w:color="auto"/>
              <w:right w:val="nil"/>
            </w:tcBorders>
          </w:tcPr>
          <w:p w14:paraId="1A0284FC"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271</w:t>
            </w:r>
          </w:p>
        </w:tc>
        <w:tc>
          <w:tcPr>
            <w:tcW w:w="236" w:type="dxa"/>
            <w:tcBorders>
              <w:top w:val="nil"/>
              <w:left w:val="nil"/>
              <w:bottom w:val="nil"/>
              <w:right w:val="nil"/>
            </w:tcBorders>
          </w:tcPr>
          <w:p w14:paraId="6DB46DCB" w14:textId="77777777" w:rsidR="00487661" w:rsidRPr="0070582C" w:rsidRDefault="00487661" w:rsidP="000F4FAA">
            <w:pPr>
              <w:jc w:val="center"/>
              <w:rPr>
                <w:rFonts w:ascii="Times New Roman" w:hAnsi="Times New Roman" w:cs="Times New Roman"/>
                <w:sz w:val="16"/>
                <w:szCs w:val="16"/>
                <w:lang w:val="en-US"/>
              </w:rPr>
            </w:pPr>
          </w:p>
        </w:tc>
      </w:tr>
      <w:tr w:rsidR="00487661" w:rsidRPr="0070582C" w14:paraId="166719E0" w14:textId="77777777" w:rsidTr="000F4FAA">
        <w:trPr>
          <w:trHeight w:val="107"/>
        </w:trPr>
        <w:tc>
          <w:tcPr>
            <w:tcW w:w="1364" w:type="dxa"/>
            <w:tcBorders>
              <w:top w:val="single" w:sz="8" w:space="0" w:color="auto"/>
              <w:left w:val="nil"/>
              <w:bottom w:val="nil"/>
              <w:right w:val="nil"/>
            </w:tcBorders>
          </w:tcPr>
          <w:p w14:paraId="1327509E"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R</w:t>
            </w:r>
            <w:r w:rsidRPr="0070582C">
              <w:rPr>
                <w:rFonts w:asciiTheme="minorHAnsi" w:hAnsiTheme="minorHAnsi" w:cstheme="minorHAnsi"/>
                <w:sz w:val="16"/>
                <w:szCs w:val="16"/>
                <w:vertAlign w:val="superscript"/>
                <w:lang w:val="en-US"/>
              </w:rPr>
              <w:t xml:space="preserve">2 </w:t>
            </w:r>
            <w:r w:rsidRPr="0070582C">
              <w:rPr>
                <w:rFonts w:asciiTheme="minorHAnsi" w:hAnsiTheme="minorHAnsi" w:cstheme="minorHAnsi"/>
                <w:sz w:val="16"/>
                <w:szCs w:val="16"/>
                <w:lang w:val="en-US"/>
              </w:rPr>
              <w:t>(Within)</w:t>
            </w:r>
          </w:p>
        </w:tc>
        <w:tc>
          <w:tcPr>
            <w:tcW w:w="239" w:type="dxa"/>
            <w:tcBorders>
              <w:top w:val="single" w:sz="8" w:space="0" w:color="auto"/>
              <w:left w:val="nil"/>
              <w:bottom w:val="nil"/>
              <w:right w:val="nil"/>
            </w:tcBorders>
          </w:tcPr>
          <w:p w14:paraId="664C7A17" w14:textId="77777777" w:rsidR="00487661" w:rsidRPr="0070582C" w:rsidRDefault="00487661" w:rsidP="000F4FAA">
            <w:pPr>
              <w:jc w:val="center"/>
              <w:rPr>
                <w:rFonts w:asciiTheme="minorHAnsi" w:hAnsiTheme="minorHAnsi" w:cstheme="minorHAnsi"/>
                <w:sz w:val="16"/>
                <w:szCs w:val="16"/>
                <w:lang w:val="en-US"/>
              </w:rPr>
            </w:pPr>
          </w:p>
        </w:tc>
        <w:tc>
          <w:tcPr>
            <w:tcW w:w="2225" w:type="dxa"/>
            <w:gridSpan w:val="2"/>
            <w:tcBorders>
              <w:top w:val="single" w:sz="8" w:space="0" w:color="auto"/>
              <w:left w:val="nil"/>
              <w:bottom w:val="nil"/>
              <w:right w:val="nil"/>
            </w:tcBorders>
          </w:tcPr>
          <w:p w14:paraId="1EF4A324" w14:textId="77777777" w:rsidR="00487661" w:rsidRPr="0070582C" w:rsidRDefault="00487661" w:rsidP="000F4FAA">
            <w:pPr>
              <w:jc w:val="center"/>
              <w:rPr>
                <w:rFonts w:asciiTheme="minorHAnsi" w:hAnsiTheme="minorHAnsi" w:cstheme="minorHAnsi"/>
                <w:sz w:val="16"/>
                <w:szCs w:val="16"/>
                <w:lang w:val="en-US"/>
              </w:rPr>
            </w:pPr>
            <w:r w:rsidRPr="0070582C">
              <w:rPr>
                <w:rFonts w:ascii="Times New Roman" w:hAnsi="Times New Roman" w:cs="Times New Roman"/>
                <w:sz w:val="16"/>
                <w:szCs w:val="16"/>
                <w:lang w:val="en-US"/>
              </w:rPr>
              <w:t>.098</w:t>
            </w:r>
          </w:p>
        </w:tc>
        <w:tc>
          <w:tcPr>
            <w:tcW w:w="2409" w:type="dxa"/>
            <w:gridSpan w:val="2"/>
            <w:tcBorders>
              <w:top w:val="single" w:sz="8" w:space="0" w:color="auto"/>
              <w:left w:val="nil"/>
              <w:bottom w:val="nil"/>
              <w:right w:val="nil"/>
            </w:tcBorders>
          </w:tcPr>
          <w:p w14:paraId="2A236D4D"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.017</w:t>
            </w:r>
          </w:p>
        </w:tc>
        <w:tc>
          <w:tcPr>
            <w:tcW w:w="2552" w:type="dxa"/>
            <w:gridSpan w:val="2"/>
            <w:tcBorders>
              <w:top w:val="single" w:sz="8" w:space="0" w:color="auto"/>
              <w:left w:val="nil"/>
              <w:bottom w:val="nil"/>
              <w:right w:val="nil"/>
            </w:tcBorders>
          </w:tcPr>
          <w:p w14:paraId="2C24F8EB"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.098</w:t>
            </w:r>
          </w:p>
        </w:tc>
        <w:tc>
          <w:tcPr>
            <w:tcW w:w="236" w:type="dxa"/>
            <w:tcBorders>
              <w:top w:val="nil"/>
              <w:left w:val="nil"/>
              <w:bottom w:val="nil"/>
              <w:right w:val="nil"/>
            </w:tcBorders>
          </w:tcPr>
          <w:p w14:paraId="216E0FF6" w14:textId="77777777" w:rsidR="00487661" w:rsidRPr="0070582C" w:rsidRDefault="00487661" w:rsidP="000F4FAA">
            <w:pPr>
              <w:jc w:val="center"/>
              <w:rPr>
                <w:rFonts w:ascii="Times New Roman" w:hAnsi="Times New Roman" w:cs="Times New Roman"/>
                <w:sz w:val="16"/>
                <w:szCs w:val="16"/>
                <w:lang w:val="en-US"/>
              </w:rPr>
            </w:pPr>
          </w:p>
        </w:tc>
      </w:tr>
      <w:tr w:rsidR="00487661" w:rsidRPr="0070582C" w14:paraId="3293BD85" w14:textId="77777777" w:rsidTr="000F4FAA">
        <w:trPr>
          <w:trHeight w:val="52"/>
        </w:trPr>
        <w:tc>
          <w:tcPr>
            <w:tcW w:w="1364" w:type="dxa"/>
            <w:tcBorders>
              <w:top w:val="nil"/>
              <w:left w:val="nil"/>
              <w:bottom w:val="nil"/>
              <w:right w:val="nil"/>
            </w:tcBorders>
          </w:tcPr>
          <w:p w14:paraId="0C58611F"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R</w:t>
            </w:r>
            <w:r w:rsidRPr="0070582C">
              <w:rPr>
                <w:rFonts w:asciiTheme="minorHAnsi" w:hAnsiTheme="minorHAnsi" w:cstheme="minorHAnsi"/>
                <w:sz w:val="16"/>
                <w:szCs w:val="16"/>
                <w:vertAlign w:val="superscript"/>
                <w:lang w:val="en-US"/>
              </w:rPr>
              <w:t xml:space="preserve">2 </w:t>
            </w:r>
            <w:r w:rsidRPr="0070582C">
              <w:rPr>
                <w:rFonts w:asciiTheme="minorHAnsi" w:hAnsiTheme="minorHAnsi" w:cstheme="minorHAnsi"/>
                <w:sz w:val="16"/>
                <w:szCs w:val="16"/>
                <w:lang w:val="en-US"/>
              </w:rPr>
              <w:t>(Between)</w:t>
            </w:r>
          </w:p>
        </w:tc>
        <w:tc>
          <w:tcPr>
            <w:tcW w:w="239" w:type="dxa"/>
            <w:tcBorders>
              <w:top w:val="nil"/>
              <w:left w:val="nil"/>
              <w:bottom w:val="nil"/>
              <w:right w:val="nil"/>
            </w:tcBorders>
          </w:tcPr>
          <w:p w14:paraId="3592A553" w14:textId="77777777" w:rsidR="00487661" w:rsidRPr="0070582C" w:rsidRDefault="00487661" w:rsidP="000F4FAA">
            <w:pPr>
              <w:jc w:val="center"/>
              <w:rPr>
                <w:rFonts w:asciiTheme="minorHAnsi" w:hAnsiTheme="minorHAnsi" w:cstheme="minorHAnsi"/>
                <w:sz w:val="16"/>
                <w:szCs w:val="16"/>
                <w:lang w:val="en-US"/>
              </w:rPr>
            </w:pPr>
          </w:p>
        </w:tc>
        <w:tc>
          <w:tcPr>
            <w:tcW w:w="2225" w:type="dxa"/>
            <w:gridSpan w:val="2"/>
            <w:tcBorders>
              <w:top w:val="nil"/>
              <w:left w:val="nil"/>
              <w:bottom w:val="nil"/>
              <w:right w:val="nil"/>
            </w:tcBorders>
          </w:tcPr>
          <w:p w14:paraId="55DD2A6E" w14:textId="77777777" w:rsidR="00487661" w:rsidRPr="0070582C" w:rsidRDefault="00487661" w:rsidP="000F4FAA">
            <w:pPr>
              <w:jc w:val="center"/>
              <w:rPr>
                <w:rFonts w:asciiTheme="minorHAnsi" w:hAnsiTheme="minorHAnsi" w:cstheme="minorHAnsi"/>
                <w:sz w:val="16"/>
                <w:szCs w:val="16"/>
                <w:lang w:val="en-US"/>
              </w:rPr>
            </w:pPr>
            <w:r w:rsidRPr="0070582C">
              <w:rPr>
                <w:rFonts w:ascii="Times New Roman" w:hAnsi="Times New Roman" w:cs="Times New Roman"/>
                <w:sz w:val="16"/>
                <w:szCs w:val="16"/>
                <w:lang w:val="en-US"/>
              </w:rPr>
              <w:t>.005</w:t>
            </w:r>
          </w:p>
        </w:tc>
        <w:tc>
          <w:tcPr>
            <w:tcW w:w="2409" w:type="dxa"/>
            <w:gridSpan w:val="2"/>
            <w:tcBorders>
              <w:top w:val="nil"/>
              <w:left w:val="nil"/>
              <w:bottom w:val="nil"/>
              <w:right w:val="nil"/>
            </w:tcBorders>
          </w:tcPr>
          <w:p w14:paraId="20B1B087"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.004</w:t>
            </w:r>
          </w:p>
        </w:tc>
        <w:tc>
          <w:tcPr>
            <w:tcW w:w="2552" w:type="dxa"/>
            <w:gridSpan w:val="2"/>
            <w:tcBorders>
              <w:top w:val="nil"/>
              <w:left w:val="nil"/>
              <w:bottom w:val="nil"/>
              <w:right w:val="nil"/>
            </w:tcBorders>
          </w:tcPr>
          <w:p w14:paraId="5BCDFA77"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.005</w:t>
            </w:r>
          </w:p>
        </w:tc>
        <w:tc>
          <w:tcPr>
            <w:tcW w:w="236" w:type="dxa"/>
            <w:tcBorders>
              <w:top w:val="nil"/>
              <w:left w:val="nil"/>
              <w:bottom w:val="nil"/>
              <w:right w:val="nil"/>
            </w:tcBorders>
          </w:tcPr>
          <w:p w14:paraId="080E95C1" w14:textId="77777777" w:rsidR="00487661" w:rsidRPr="0070582C" w:rsidRDefault="00487661" w:rsidP="000F4FAA">
            <w:pPr>
              <w:jc w:val="center"/>
              <w:rPr>
                <w:rFonts w:ascii="Times New Roman" w:hAnsi="Times New Roman" w:cs="Times New Roman"/>
                <w:sz w:val="16"/>
                <w:szCs w:val="16"/>
                <w:lang w:val="en-US"/>
              </w:rPr>
            </w:pPr>
          </w:p>
        </w:tc>
      </w:tr>
      <w:tr w:rsidR="00487661" w:rsidRPr="0070582C" w14:paraId="0D7AE0F3" w14:textId="77777777" w:rsidTr="000F4FAA">
        <w:trPr>
          <w:trHeight w:val="52"/>
        </w:trPr>
        <w:tc>
          <w:tcPr>
            <w:tcW w:w="1364" w:type="dxa"/>
            <w:tcBorders>
              <w:top w:val="nil"/>
              <w:left w:val="nil"/>
              <w:bottom w:val="nil"/>
              <w:right w:val="nil"/>
            </w:tcBorders>
          </w:tcPr>
          <w:p w14:paraId="68DA57D4"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R</w:t>
            </w:r>
            <w:r w:rsidRPr="0070582C">
              <w:rPr>
                <w:rFonts w:asciiTheme="minorHAnsi" w:hAnsiTheme="minorHAnsi" w:cstheme="minorHAnsi"/>
                <w:sz w:val="16"/>
                <w:szCs w:val="16"/>
                <w:vertAlign w:val="superscript"/>
                <w:lang w:val="en-US"/>
              </w:rPr>
              <w:t xml:space="preserve">2 </w:t>
            </w:r>
            <w:r w:rsidRPr="0070582C">
              <w:rPr>
                <w:rFonts w:asciiTheme="minorHAnsi" w:hAnsiTheme="minorHAnsi" w:cstheme="minorHAnsi"/>
                <w:sz w:val="16"/>
                <w:szCs w:val="16"/>
                <w:lang w:val="en-US"/>
              </w:rPr>
              <w:t>(Total)</w:t>
            </w:r>
          </w:p>
        </w:tc>
        <w:tc>
          <w:tcPr>
            <w:tcW w:w="239" w:type="dxa"/>
            <w:tcBorders>
              <w:top w:val="nil"/>
              <w:left w:val="nil"/>
              <w:bottom w:val="nil"/>
              <w:right w:val="nil"/>
            </w:tcBorders>
          </w:tcPr>
          <w:p w14:paraId="1B6848EB" w14:textId="77777777" w:rsidR="00487661" w:rsidRPr="0070582C" w:rsidRDefault="00487661" w:rsidP="000F4FAA">
            <w:pPr>
              <w:jc w:val="center"/>
              <w:rPr>
                <w:rFonts w:asciiTheme="minorHAnsi" w:hAnsiTheme="minorHAnsi" w:cstheme="minorHAnsi"/>
                <w:sz w:val="16"/>
                <w:szCs w:val="16"/>
                <w:lang w:val="en-US"/>
              </w:rPr>
            </w:pPr>
          </w:p>
        </w:tc>
        <w:tc>
          <w:tcPr>
            <w:tcW w:w="2225" w:type="dxa"/>
            <w:gridSpan w:val="2"/>
            <w:tcBorders>
              <w:top w:val="nil"/>
              <w:left w:val="nil"/>
              <w:bottom w:val="nil"/>
              <w:right w:val="nil"/>
            </w:tcBorders>
          </w:tcPr>
          <w:p w14:paraId="0AC21E3D" w14:textId="77777777" w:rsidR="00487661" w:rsidRPr="0070582C" w:rsidRDefault="00487661" w:rsidP="000F4FAA">
            <w:pPr>
              <w:jc w:val="center"/>
              <w:rPr>
                <w:rFonts w:asciiTheme="minorHAnsi" w:hAnsiTheme="minorHAnsi" w:cstheme="minorHAnsi"/>
                <w:sz w:val="16"/>
                <w:szCs w:val="16"/>
                <w:lang w:val="en-US"/>
              </w:rPr>
            </w:pPr>
            <w:r w:rsidRPr="0070582C">
              <w:rPr>
                <w:rFonts w:ascii="Times New Roman" w:hAnsi="Times New Roman" w:cs="Times New Roman"/>
                <w:sz w:val="16"/>
                <w:szCs w:val="16"/>
                <w:lang w:val="en-US"/>
              </w:rPr>
              <w:t>.012</w:t>
            </w:r>
          </w:p>
        </w:tc>
        <w:tc>
          <w:tcPr>
            <w:tcW w:w="2409" w:type="dxa"/>
            <w:gridSpan w:val="2"/>
            <w:tcBorders>
              <w:top w:val="nil"/>
              <w:left w:val="nil"/>
              <w:bottom w:val="nil"/>
              <w:right w:val="nil"/>
            </w:tcBorders>
          </w:tcPr>
          <w:p w14:paraId="540ECCD8"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.003</w:t>
            </w:r>
          </w:p>
        </w:tc>
        <w:tc>
          <w:tcPr>
            <w:tcW w:w="2552" w:type="dxa"/>
            <w:gridSpan w:val="2"/>
            <w:tcBorders>
              <w:top w:val="nil"/>
              <w:left w:val="nil"/>
              <w:bottom w:val="nil"/>
              <w:right w:val="nil"/>
            </w:tcBorders>
          </w:tcPr>
          <w:p w14:paraId="56D56DA2" w14:textId="77777777" w:rsidR="00487661" w:rsidRPr="0070582C" w:rsidRDefault="00487661" w:rsidP="000F4FAA">
            <w:pPr>
              <w:jc w:val="center"/>
              <w:rPr>
                <w:rFonts w:asciiTheme="minorHAnsi" w:hAnsiTheme="minorHAnsi" w:cstheme="minorHAnsi"/>
                <w:sz w:val="16"/>
                <w:szCs w:val="16"/>
                <w:lang w:val="en-US"/>
              </w:rPr>
            </w:pPr>
            <w:r w:rsidRPr="0070582C">
              <w:rPr>
                <w:rFonts w:asciiTheme="minorHAnsi" w:hAnsiTheme="minorHAnsi" w:cstheme="minorHAnsi"/>
                <w:sz w:val="16"/>
                <w:szCs w:val="16"/>
                <w:lang w:val="en-US"/>
              </w:rPr>
              <w:t>.012</w:t>
            </w:r>
          </w:p>
        </w:tc>
        <w:tc>
          <w:tcPr>
            <w:tcW w:w="236" w:type="dxa"/>
            <w:tcBorders>
              <w:top w:val="nil"/>
              <w:left w:val="nil"/>
              <w:bottom w:val="nil"/>
              <w:right w:val="nil"/>
            </w:tcBorders>
          </w:tcPr>
          <w:p w14:paraId="54DBC0A8" w14:textId="77777777" w:rsidR="00487661" w:rsidRPr="0070582C" w:rsidRDefault="00487661" w:rsidP="000F4FAA">
            <w:pPr>
              <w:jc w:val="center"/>
              <w:rPr>
                <w:rFonts w:ascii="Times New Roman" w:hAnsi="Times New Roman" w:cs="Times New Roman"/>
                <w:sz w:val="16"/>
                <w:szCs w:val="16"/>
                <w:lang w:val="en-US"/>
              </w:rPr>
            </w:pPr>
          </w:p>
        </w:tc>
      </w:tr>
      <w:tr w:rsidR="00487661" w:rsidRPr="0070582C" w14:paraId="08305FF1" w14:textId="77777777" w:rsidTr="000F4FAA">
        <w:trPr>
          <w:trHeight w:val="290"/>
        </w:trPr>
        <w:tc>
          <w:tcPr>
            <w:tcW w:w="1364" w:type="dxa"/>
            <w:tcBorders>
              <w:top w:val="nil"/>
              <w:left w:val="nil"/>
              <w:bottom w:val="single" w:sz="8" w:space="0" w:color="auto"/>
              <w:right w:val="nil"/>
            </w:tcBorders>
          </w:tcPr>
          <w:p w14:paraId="3E147DAE" w14:textId="77777777" w:rsidR="00487661" w:rsidRPr="0070582C" w:rsidRDefault="00487661" w:rsidP="000F4FAA">
            <w:pPr>
              <w:jc w:val="center"/>
              <w:rPr>
                <w:rFonts w:asciiTheme="minorHAnsi" w:hAnsiTheme="minorHAnsi" w:cstheme="minorHAnsi"/>
                <w:sz w:val="16"/>
                <w:szCs w:val="16"/>
                <w:lang w:val="en-US"/>
              </w:rPr>
            </w:pPr>
          </w:p>
        </w:tc>
        <w:tc>
          <w:tcPr>
            <w:tcW w:w="239" w:type="dxa"/>
            <w:tcBorders>
              <w:top w:val="nil"/>
              <w:left w:val="nil"/>
              <w:bottom w:val="single" w:sz="8" w:space="0" w:color="auto"/>
              <w:right w:val="nil"/>
            </w:tcBorders>
          </w:tcPr>
          <w:p w14:paraId="332646EA" w14:textId="77777777" w:rsidR="00487661" w:rsidRPr="0070582C" w:rsidRDefault="00487661" w:rsidP="000F4FAA">
            <w:pPr>
              <w:jc w:val="center"/>
              <w:rPr>
                <w:rFonts w:asciiTheme="minorHAnsi" w:hAnsiTheme="minorHAnsi" w:cstheme="minorHAnsi"/>
                <w:sz w:val="16"/>
                <w:szCs w:val="16"/>
                <w:lang w:val="en-US"/>
              </w:rPr>
            </w:pPr>
          </w:p>
        </w:tc>
        <w:tc>
          <w:tcPr>
            <w:tcW w:w="2225" w:type="dxa"/>
            <w:gridSpan w:val="2"/>
            <w:tcBorders>
              <w:top w:val="nil"/>
              <w:left w:val="nil"/>
              <w:bottom w:val="single" w:sz="8" w:space="0" w:color="auto"/>
              <w:right w:val="nil"/>
            </w:tcBorders>
          </w:tcPr>
          <w:p w14:paraId="5E7B5C84" w14:textId="77777777" w:rsidR="00487661" w:rsidRPr="0070582C" w:rsidRDefault="00487661" w:rsidP="000F4FAA">
            <w:pPr>
              <w:jc w:val="center"/>
              <w:rPr>
                <w:rFonts w:asciiTheme="minorHAnsi" w:hAnsiTheme="minorHAnsi" w:cstheme="minorHAnsi"/>
                <w:sz w:val="16"/>
                <w:szCs w:val="16"/>
                <w:lang w:val="en-US"/>
              </w:rPr>
            </w:pPr>
          </w:p>
        </w:tc>
        <w:tc>
          <w:tcPr>
            <w:tcW w:w="2409" w:type="dxa"/>
            <w:gridSpan w:val="2"/>
            <w:tcBorders>
              <w:top w:val="nil"/>
              <w:left w:val="nil"/>
              <w:bottom w:val="single" w:sz="8" w:space="0" w:color="auto"/>
              <w:right w:val="nil"/>
            </w:tcBorders>
          </w:tcPr>
          <w:p w14:paraId="3D99282B" w14:textId="77777777" w:rsidR="00487661" w:rsidRPr="0070582C" w:rsidRDefault="00487661" w:rsidP="000F4FAA">
            <w:pPr>
              <w:jc w:val="center"/>
              <w:rPr>
                <w:rFonts w:asciiTheme="minorHAnsi" w:hAnsiTheme="minorHAnsi" w:cstheme="minorHAnsi"/>
                <w:sz w:val="16"/>
                <w:szCs w:val="16"/>
                <w:lang w:val="en-US"/>
              </w:rPr>
            </w:pPr>
          </w:p>
        </w:tc>
        <w:tc>
          <w:tcPr>
            <w:tcW w:w="2552" w:type="dxa"/>
            <w:gridSpan w:val="2"/>
            <w:tcBorders>
              <w:top w:val="nil"/>
              <w:left w:val="nil"/>
              <w:bottom w:val="single" w:sz="8" w:space="0" w:color="auto"/>
              <w:right w:val="nil"/>
            </w:tcBorders>
          </w:tcPr>
          <w:p w14:paraId="37A6C8E5" w14:textId="77777777" w:rsidR="00487661" w:rsidRPr="0070582C" w:rsidRDefault="00487661" w:rsidP="000F4FAA">
            <w:pPr>
              <w:jc w:val="center"/>
              <w:rPr>
                <w:rFonts w:asciiTheme="minorHAnsi" w:hAnsiTheme="minorHAnsi" w:cstheme="minorHAnsi"/>
                <w:sz w:val="16"/>
                <w:szCs w:val="16"/>
                <w:lang w:val="en-US"/>
              </w:rPr>
            </w:pPr>
          </w:p>
        </w:tc>
        <w:tc>
          <w:tcPr>
            <w:tcW w:w="236" w:type="dxa"/>
            <w:tcBorders>
              <w:top w:val="nil"/>
              <w:left w:val="nil"/>
              <w:bottom w:val="nil"/>
              <w:right w:val="nil"/>
            </w:tcBorders>
          </w:tcPr>
          <w:p w14:paraId="1475D9C7" w14:textId="77777777" w:rsidR="00487661" w:rsidRPr="0070582C" w:rsidRDefault="00487661" w:rsidP="000F4FAA">
            <w:pPr>
              <w:jc w:val="center"/>
              <w:rPr>
                <w:rFonts w:ascii="Times New Roman" w:hAnsi="Times New Roman" w:cs="Times New Roman"/>
                <w:sz w:val="16"/>
                <w:szCs w:val="16"/>
                <w:lang w:val="en-US"/>
              </w:rPr>
            </w:pPr>
          </w:p>
        </w:tc>
      </w:tr>
    </w:tbl>
    <w:p w14:paraId="6CFB4FFB" w14:textId="0C3AD6F6" w:rsidR="00AE47D9" w:rsidRDefault="00AE47D9" w:rsidP="00AE47D9">
      <w:pPr>
        <w:jc w:val="both"/>
        <w:rPr>
          <w:rFonts w:cstheme="minorHAnsi"/>
          <w:sz w:val="16"/>
          <w:szCs w:val="16"/>
        </w:rPr>
      </w:pPr>
      <w:r w:rsidRPr="00AE47D9">
        <w:rPr>
          <w:rFonts w:cstheme="minorHAnsi"/>
          <w:sz w:val="16"/>
          <w:szCs w:val="16"/>
        </w:rPr>
        <w:t xml:space="preserve">Figure </w:t>
      </w:r>
      <w:r>
        <w:rPr>
          <w:rFonts w:cstheme="minorHAnsi"/>
          <w:sz w:val="16"/>
          <w:szCs w:val="16"/>
        </w:rPr>
        <w:t>2</w:t>
      </w:r>
      <w:r w:rsidRPr="00AE47D9">
        <w:rPr>
          <w:rFonts w:cstheme="minorHAnsi"/>
          <w:sz w:val="16"/>
          <w:szCs w:val="16"/>
        </w:rPr>
        <w:t xml:space="preserve">. </w:t>
      </w:r>
      <w:r>
        <w:rPr>
          <w:rFonts w:cstheme="minorHAnsi"/>
          <w:sz w:val="16"/>
          <w:szCs w:val="16"/>
        </w:rPr>
        <w:t>Fixed effects analysis on the propensity to volunteer</w:t>
      </w:r>
    </w:p>
    <w:p w14:paraId="48555596" w14:textId="1F090046" w:rsidR="00AE47D9" w:rsidRDefault="000F4FAA" w:rsidP="00AE47D9">
      <w:pPr>
        <w:jc w:val="both"/>
        <w:rPr>
          <w:rFonts w:cstheme="minorHAnsi"/>
          <w:sz w:val="16"/>
          <w:szCs w:val="16"/>
        </w:rPr>
      </w:pPr>
      <w:r>
        <w:rPr>
          <w:rFonts w:cstheme="minorHAnsi"/>
          <w:noProof/>
        </w:rPr>
        <mc:AlternateContent>
          <mc:Choice Requires="wps">
            <w:drawing>
              <wp:anchor distT="0" distB="0" distL="114300" distR="114300" simplePos="0" relativeHeight="251672576" behindDoc="0" locked="0" layoutInCell="1" allowOverlap="1" wp14:anchorId="6698FFC4" wp14:editId="375C4716">
                <wp:simplePos x="0" y="0"/>
                <wp:positionH relativeFrom="margin">
                  <wp:align>left</wp:align>
                </wp:positionH>
                <wp:positionV relativeFrom="paragraph">
                  <wp:posOffset>7017621</wp:posOffset>
                </wp:positionV>
                <wp:extent cx="3088005" cy="40068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8005" cy="400685"/>
                        </a:xfrm>
                        <a:prstGeom prst="rect">
                          <a:avLst/>
                        </a:prstGeom>
                        <a:solidFill>
                          <a:schemeClr val="lt1"/>
                        </a:solidFill>
                        <a:ln w="6350">
                          <a:noFill/>
                        </a:ln>
                      </wps:spPr>
                      <wps:txbx>
                        <w:txbxContent>
                          <w:p w14:paraId="39EB6C09" w14:textId="77777777" w:rsidR="000F4FAA" w:rsidRPr="00AE47D9" w:rsidRDefault="000F4FAA" w:rsidP="000F4FAA">
                            <w:pPr>
                              <w:rPr>
                                <w:sz w:val="16"/>
                                <w:szCs w:val="16"/>
                                <w:lang w:val="fr-FR"/>
                              </w:rPr>
                            </w:pPr>
                            <w:r w:rsidRPr="00AE47D9">
                              <w:rPr>
                                <w:sz w:val="16"/>
                                <w:szCs w:val="16"/>
                                <w:lang w:val="fr-FR"/>
                              </w:rPr>
                              <w:t xml:space="preserve">Notes: Sig.:. *** </w:t>
                            </w:r>
                            <w:r w:rsidRPr="00AE47D9">
                              <w:rPr>
                                <w:i/>
                                <w:iCs/>
                                <w:sz w:val="16"/>
                                <w:szCs w:val="16"/>
                                <w:lang w:val="fr-FR"/>
                              </w:rPr>
                              <w:t xml:space="preserve">p </w:t>
                            </w:r>
                            <w:r w:rsidRPr="00AE47D9">
                              <w:rPr>
                                <w:sz w:val="16"/>
                                <w:szCs w:val="16"/>
                                <w:lang w:val="fr-FR"/>
                              </w:rPr>
                              <w:t xml:space="preserve">&lt; 0.001; ** </w:t>
                            </w:r>
                            <w:r w:rsidRPr="00AE47D9">
                              <w:rPr>
                                <w:i/>
                                <w:iCs/>
                                <w:sz w:val="16"/>
                                <w:szCs w:val="16"/>
                                <w:lang w:val="fr-FR"/>
                              </w:rPr>
                              <w:t xml:space="preserve">p </w:t>
                            </w:r>
                            <w:r w:rsidRPr="00AE47D9">
                              <w:rPr>
                                <w:sz w:val="16"/>
                                <w:szCs w:val="16"/>
                                <w:lang w:val="fr-FR"/>
                              </w:rPr>
                              <w:t xml:space="preserve">&lt; 0.01; * </w:t>
                            </w:r>
                            <w:r w:rsidRPr="00AE47D9">
                              <w:rPr>
                                <w:i/>
                                <w:iCs/>
                                <w:sz w:val="16"/>
                                <w:szCs w:val="16"/>
                                <w:lang w:val="fr-FR"/>
                              </w:rPr>
                              <w:t xml:space="preserve">p </w:t>
                            </w:r>
                            <w:r w:rsidRPr="00AE47D9">
                              <w:rPr>
                                <w:sz w:val="16"/>
                                <w:szCs w:val="16"/>
                                <w:lang w:val="fr-FR"/>
                              </w:rPr>
                              <w:t>&lt;</w:t>
                            </w:r>
                            <w:r w:rsidRPr="00AE47D9">
                              <w:rPr>
                                <w:i/>
                                <w:iCs/>
                                <w:sz w:val="16"/>
                                <w:szCs w:val="16"/>
                                <w:lang w:val="fr-FR"/>
                              </w:rPr>
                              <w:t xml:space="preserve"> </w:t>
                            </w:r>
                            <w:r w:rsidRPr="00AE47D9">
                              <w:rPr>
                                <w:sz w:val="16"/>
                                <w:szCs w:val="16"/>
                                <w:lang w:val="fr-FR"/>
                              </w:rPr>
                              <w:t>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98FFC4" id="_x0000_t202" coordsize="21600,21600" o:spt="202" path="m,l,21600r21600,l21600,xe">
                <v:stroke joinstyle="miter"/>
                <v:path gradientshapeok="t" o:connecttype="rect"/>
              </v:shapetype>
              <v:shape id="Text Box 4" o:spid="_x0000_s1026" type="#_x0000_t202" style="position:absolute;left:0;text-align:left;margin-left:0;margin-top:552.55pt;width:243.15pt;height:31.5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" fillcolor="white [3201]" stroked="f" strokeweight=".5pt">
                <v:textbox>
                  <w:txbxContent>
                    <w:p w14:paraId="39EB6C09" w14:textId="77777777" w:rsidR="000F4FAA" w:rsidRPr="00AE47D9" w:rsidRDefault="000F4FAA" w:rsidP="000F4FAA">
                      <w:pPr>
                        <w:rPr>
                          <w:sz w:val="16"/>
                          <w:szCs w:val="16"/>
                          <w:lang w:val="fr-FR"/>
                        </w:rPr>
                      </w:pPr>
                      <w:r w:rsidRPr="00AE47D9">
                        <w:rPr>
                          <w:sz w:val="16"/>
                          <w:szCs w:val="16"/>
                          <w:lang w:val="fr-FR"/>
                        </w:rPr>
                        <w:t xml:space="preserve">Notes: </w:t>
                      </w:r>
                      <w:proofErr w:type="spellStart"/>
                      <w:r w:rsidRPr="00AE47D9">
                        <w:rPr>
                          <w:sz w:val="16"/>
                          <w:szCs w:val="16"/>
                          <w:lang w:val="fr-FR"/>
                        </w:rPr>
                        <w:t>Sig</w:t>
                      </w:r>
                      <w:proofErr w:type="spellEnd"/>
                      <w:r w:rsidRPr="00AE47D9">
                        <w:rPr>
                          <w:sz w:val="16"/>
                          <w:szCs w:val="16"/>
                          <w:lang w:val="fr-FR"/>
                        </w:rPr>
                        <w:t xml:space="preserve">.:. *** </w:t>
                      </w:r>
                      <w:r w:rsidRPr="00AE47D9">
                        <w:rPr>
                          <w:i/>
                          <w:iCs/>
                          <w:sz w:val="16"/>
                          <w:szCs w:val="16"/>
                          <w:lang w:val="fr-FR"/>
                        </w:rPr>
                        <w:t xml:space="preserve">p </w:t>
                      </w:r>
                      <w:r w:rsidRPr="00AE47D9">
                        <w:rPr>
                          <w:sz w:val="16"/>
                          <w:szCs w:val="16"/>
                          <w:lang w:val="fr-FR"/>
                        </w:rPr>
                        <w:t xml:space="preserve">&lt; 0.001; ** </w:t>
                      </w:r>
                      <w:r w:rsidRPr="00AE47D9">
                        <w:rPr>
                          <w:i/>
                          <w:iCs/>
                          <w:sz w:val="16"/>
                          <w:szCs w:val="16"/>
                          <w:lang w:val="fr-FR"/>
                        </w:rPr>
                        <w:t xml:space="preserve">p </w:t>
                      </w:r>
                      <w:r w:rsidRPr="00AE47D9">
                        <w:rPr>
                          <w:sz w:val="16"/>
                          <w:szCs w:val="16"/>
                          <w:lang w:val="fr-FR"/>
                        </w:rPr>
                        <w:t xml:space="preserve">&lt; 0.01; * </w:t>
                      </w:r>
                      <w:r w:rsidRPr="00AE47D9">
                        <w:rPr>
                          <w:i/>
                          <w:iCs/>
                          <w:sz w:val="16"/>
                          <w:szCs w:val="16"/>
                          <w:lang w:val="fr-FR"/>
                        </w:rPr>
                        <w:t xml:space="preserve">p </w:t>
                      </w:r>
                      <w:r w:rsidRPr="00AE47D9">
                        <w:rPr>
                          <w:sz w:val="16"/>
                          <w:szCs w:val="16"/>
                          <w:lang w:val="fr-FR"/>
                        </w:rPr>
                        <w:t>&lt;</w:t>
                      </w:r>
                      <w:r w:rsidRPr="00AE47D9">
                        <w:rPr>
                          <w:i/>
                          <w:iCs/>
                          <w:sz w:val="16"/>
                          <w:szCs w:val="16"/>
                          <w:lang w:val="fr-FR"/>
                        </w:rPr>
                        <w:t xml:space="preserve"> </w:t>
                      </w:r>
                      <w:r w:rsidRPr="00AE47D9">
                        <w:rPr>
                          <w:sz w:val="16"/>
                          <w:szCs w:val="16"/>
                          <w:lang w:val="fr-FR"/>
                        </w:rPr>
                        <w:t>0.05</w:t>
                      </w:r>
                    </w:p>
                  </w:txbxContent>
                </v:textbox>
                <w10:wrap anchorx="margin"/>
              </v:shape>
            </w:pict>
          </mc:Fallback>
        </mc:AlternateContent>
      </w:r>
    </w:p>
    <w:p w14:paraId="526E76EF" w14:textId="6C5BF669" w:rsidR="00AE47D9" w:rsidRDefault="00AE47D9" w:rsidP="00AE47D9">
      <w:pPr>
        <w:jc w:val="both"/>
        <w:rPr>
          <w:rFonts w:cstheme="minorHAnsi"/>
          <w:sz w:val="16"/>
          <w:szCs w:val="16"/>
        </w:rPr>
      </w:pPr>
    </w:p>
    <w:p w14:paraId="04281C19" w14:textId="77777777" w:rsidR="00AE47D9" w:rsidRDefault="00AE47D9" w:rsidP="00AE47D9">
      <w:pPr>
        <w:jc w:val="both"/>
        <w:rPr>
          <w:rFonts w:cstheme="minorHAnsi"/>
          <w:sz w:val="16"/>
          <w:szCs w:val="16"/>
        </w:rPr>
      </w:pPr>
    </w:p>
    <w:p w14:paraId="194415BC" w14:textId="77777777" w:rsidR="00AE47D9" w:rsidRDefault="00AE47D9" w:rsidP="00AE47D9">
      <w:pPr>
        <w:jc w:val="both"/>
        <w:rPr>
          <w:rFonts w:cstheme="minorHAnsi"/>
          <w:sz w:val="16"/>
          <w:szCs w:val="16"/>
        </w:rPr>
      </w:pPr>
    </w:p>
    <w:p w14:paraId="0BAFF4DF" w14:textId="77777777" w:rsidR="00AE47D9" w:rsidRDefault="00AE47D9" w:rsidP="00AE47D9">
      <w:pPr>
        <w:jc w:val="both"/>
        <w:rPr>
          <w:rFonts w:cstheme="minorHAnsi"/>
          <w:sz w:val="16"/>
          <w:szCs w:val="16"/>
        </w:rPr>
      </w:pPr>
    </w:p>
    <w:p w14:paraId="1940E4FA" w14:textId="77777777" w:rsidR="000F4FAA" w:rsidRPr="000F4FAA" w:rsidRDefault="000F4FAA" w:rsidP="00953690">
      <w:pPr>
        <w:jc w:val="both"/>
        <w:rPr>
          <w:rFonts w:cstheme="minorHAnsi"/>
          <w:lang w:val="nl-NL"/>
        </w:rPr>
      </w:pPr>
    </w:p>
    <w:p w14:paraId="69187587" w14:textId="3972036F" w:rsidR="00F94C9D" w:rsidRDefault="00F94C9D" w:rsidP="00953690">
      <w:pPr>
        <w:jc w:val="both"/>
        <w:rPr>
          <w:rFonts w:cstheme="minorHAnsi"/>
        </w:rPr>
      </w:pPr>
    </w:p>
    <w:p w14:paraId="48513993" w14:textId="18DA54B5" w:rsidR="00F94C9D" w:rsidRDefault="000F4FAA" w:rsidP="00144C0C">
      <w:pPr>
        <w:jc w:val="both"/>
        <w:rPr>
          <w:rFonts w:cstheme="minorHAnsi"/>
          <w:sz w:val="16"/>
          <w:szCs w:val="16"/>
          <w:lang w:val="en-US"/>
        </w:rPr>
      </w:pPr>
      <w:r w:rsidRPr="00AE47D9">
        <w:rPr>
          <w:rFonts w:cstheme="minorHAnsi"/>
          <w:sz w:val="16"/>
          <w:szCs w:val="16"/>
          <w:lang w:val="en-US"/>
        </w:rPr>
        <w:lastRenderedPageBreak/>
        <w:t>Figure 3. Fixed effects analysis o</w:t>
      </w:r>
      <w:r>
        <w:rPr>
          <w:rFonts w:cstheme="minorHAnsi"/>
          <w:sz w:val="16"/>
          <w:szCs w:val="16"/>
          <w:lang w:val="en-US"/>
        </w:rPr>
        <w:t>n the number of voluntary hours</w:t>
      </w:r>
    </w:p>
    <w:tbl>
      <w:tblPr>
        <w:tblStyle w:val="TableGrid"/>
        <w:tblpPr w:leftFromText="141" w:rightFromText="141" w:vertAnchor="page" w:horzAnchor="margin" w:tblpY="1876"/>
        <w:tblW w:w="9025" w:type="dxa"/>
        <w:tblLayout w:type="fixed"/>
        <w:tblLook w:val="04A0" w:firstRow="1" w:lastRow="0" w:firstColumn="1" w:lastColumn="0" w:noHBand="0" w:noVBand="1"/>
      </w:tblPr>
      <w:tblGrid>
        <w:gridCol w:w="1364"/>
        <w:gridCol w:w="239"/>
        <w:gridCol w:w="1091"/>
        <w:gridCol w:w="1134"/>
        <w:gridCol w:w="1275"/>
        <w:gridCol w:w="1134"/>
        <w:gridCol w:w="1276"/>
        <w:gridCol w:w="1276"/>
        <w:gridCol w:w="236"/>
      </w:tblGrid>
      <w:tr w:rsidR="00144C0C" w:rsidRPr="00427FC7" w14:paraId="53F08CAA" w14:textId="77777777" w:rsidTr="00144C0C">
        <w:trPr>
          <w:gridAfter w:val="1"/>
          <w:wAfter w:w="236" w:type="dxa"/>
          <w:trHeight w:val="261"/>
        </w:trPr>
        <w:tc>
          <w:tcPr>
            <w:tcW w:w="1364" w:type="dxa"/>
            <w:tcBorders>
              <w:top w:val="single" w:sz="8" w:space="0" w:color="auto"/>
              <w:left w:val="nil"/>
              <w:bottom w:val="nil"/>
              <w:right w:val="nil"/>
            </w:tcBorders>
          </w:tcPr>
          <w:p w14:paraId="66451B7A" w14:textId="77777777" w:rsidR="00144C0C" w:rsidRPr="00AE47D9" w:rsidRDefault="00144C0C" w:rsidP="00144C0C">
            <w:pPr>
              <w:jc w:val="center"/>
              <w:rPr>
                <w:rFonts w:ascii="Times New Roman" w:hAnsi="Times New Roman" w:cs="Times New Roman"/>
                <w:sz w:val="16"/>
                <w:szCs w:val="16"/>
                <w:lang w:val="en-US"/>
              </w:rPr>
            </w:pPr>
          </w:p>
        </w:tc>
        <w:tc>
          <w:tcPr>
            <w:tcW w:w="239" w:type="dxa"/>
            <w:tcBorders>
              <w:top w:val="single" w:sz="8" w:space="0" w:color="auto"/>
              <w:left w:val="nil"/>
              <w:bottom w:val="nil"/>
              <w:right w:val="nil"/>
            </w:tcBorders>
          </w:tcPr>
          <w:p w14:paraId="043C02B2" w14:textId="77777777" w:rsidR="00144C0C" w:rsidRPr="00AE47D9" w:rsidRDefault="00144C0C" w:rsidP="00144C0C">
            <w:pPr>
              <w:jc w:val="center"/>
              <w:rPr>
                <w:rFonts w:ascii="Times New Roman" w:hAnsi="Times New Roman" w:cs="Times New Roman"/>
                <w:sz w:val="16"/>
                <w:szCs w:val="16"/>
                <w:lang w:val="en-US"/>
              </w:rPr>
            </w:pPr>
          </w:p>
        </w:tc>
        <w:tc>
          <w:tcPr>
            <w:tcW w:w="2225" w:type="dxa"/>
            <w:gridSpan w:val="2"/>
            <w:tcBorders>
              <w:top w:val="single" w:sz="4" w:space="0" w:color="auto"/>
              <w:left w:val="nil"/>
              <w:bottom w:val="nil"/>
              <w:right w:val="nil"/>
            </w:tcBorders>
          </w:tcPr>
          <w:p w14:paraId="0D40254F" w14:textId="77777777" w:rsidR="00144C0C" w:rsidRPr="00612C27" w:rsidRDefault="00144C0C" w:rsidP="00144C0C">
            <w:pPr>
              <w:rPr>
                <w:rFonts w:asciiTheme="minorHAnsi" w:hAnsiTheme="minorHAnsi" w:cstheme="minorHAnsi"/>
                <w:sz w:val="16"/>
                <w:szCs w:val="16"/>
              </w:rPr>
            </w:pPr>
          </w:p>
        </w:tc>
        <w:tc>
          <w:tcPr>
            <w:tcW w:w="2409" w:type="dxa"/>
            <w:gridSpan w:val="2"/>
            <w:tcBorders>
              <w:top w:val="single" w:sz="4" w:space="0" w:color="auto"/>
              <w:left w:val="nil"/>
              <w:bottom w:val="nil"/>
              <w:right w:val="nil"/>
            </w:tcBorders>
          </w:tcPr>
          <w:p w14:paraId="70E3F57A" w14:textId="77777777" w:rsidR="00144C0C" w:rsidRPr="00612C27" w:rsidRDefault="00144C0C" w:rsidP="00144C0C">
            <w:pPr>
              <w:jc w:val="center"/>
              <w:rPr>
                <w:rFonts w:asciiTheme="minorHAnsi" w:hAnsiTheme="minorHAnsi" w:cstheme="minorHAnsi"/>
                <w:sz w:val="16"/>
                <w:szCs w:val="16"/>
              </w:rPr>
            </w:pPr>
          </w:p>
        </w:tc>
        <w:tc>
          <w:tcPr>
            <w:tcW w:w="2552" w:type="dxa"/>
            <w:gridSpan w:val="2"/>
            <w:tcBorders>
              <w:top w:val="single" w:sz="4" w:space="0" w:color="auto"/>
              <w:left w:val="nil"/>
              <w:bottom w:val="nil"/>
              <w:right w:val="nil"/>
            </w:tcBorders>
          </w:tcPr>
          <w:p w14:paraId="744D48D8" w14:textId="77777777" w:rsidR="00144C0C" w:rsidRPr="00612C27" w:rsidRDefault="00144C0C" w:rsidP="00144C0C">
            <w:pPr>
              <w:jc w:val="center"/>
              <w:rPr>
                <w:rFonts w:asciiTheme="minorHAnsi" w:hAnsiTheme="minorHAnsi" w:cstheme="minorHAnsi"/>
                <w:sz w:val="16"/>
                <w:szCs w:val="16"/>
              </w:rPr>
            </w:pPr>
          </w:p>
        </w:tc>
      </w:tr>
      <w:tr w:rsidR="00144C0C" w:rsidRPr="00427FC7" w14:paraId="11FA3E4F" w14:textId="77777777" w:rsidTr="00144C0C">
        <w:trPr>
          <w:gridAfter w:val="1"/>
          <w:wAfter w:w="236" w:type="dxa"/>
          <w:trHeight w:val="261"/>
        </w:trPr>
        <w:tc>
          <w:tcPr>
            <w:tcW w:w="1364" w:type="dxa"/>
            <w:tcBorders>
              <w:top w:val="nil"/>
              <w:left w:val="nil"/>
              <w:bottom w:val="single" w:sz="8" w:space="0" w:color="auto"/>
              <w:right w:val="nil"/>
            </w:tcBorders>
          </w:tcPr>
          <w:p w14:paraId="4E513BE2" w14:textId="77777777" w:rsidR="00144C0C" w:rsidRPr="00427FC7" w:rsidRDefault="00144C0C" w:rsidP="00144C0C">
            <w:pPr>
              <w:jc w:val="center"/>
              <w:rPr>
                <w:rFonts w:ascii="Times New Roman" w:hAnsi="Times New Roman" w:cs="Times New Roman"/>
                <w:sz w:val="16"/>
                <w:szCs w:val="16"/>
              </w:rPr>
            </w:pPr>
          </w:p>
        </w:tc>
        <w:tc>
          <w:tcPr>
            <w:tcW w:w="239" w:type="dxa"/>
            <w:tcBorders>
              <w:top w:val="nil"/>
              <w:left w:val="nil"/>
              <w:bottom w:val="single" w:sz="8" w:space="0" w:color="auto"/>
              <w:right w:val="nil"/>
            </w:tcBorders>
          </w:tcPr>
          <w:p w14:paraId="1D733D0C" w14:textId="77777777" w:rsidR="00144C0C" w:rsidRPr="00427FC7" w:rsidRDefault="00144C0C" w:rsidP="00144C0C">
            <w:pPr>
              <w:jc w:val="center"/>
              <w:rPr>
                <w:rFonts w:ascii="Times New Roman" w:hAnsi="Times New Roman" w:cs="Times New Roman"/>
                <w:sz w:val="16"/>
                <w:szCs w:val="16"/>
              </w:rPr>
            </w:pPr>
          </w:p>
        </w:tc>
        <w:tc>
          <w:tcPr>
            <w:tcW w:w="2225" w:type="dxa"/>
            <w:gridSpan w:val="2"/>
            <w:tcBorders>
              <w:top w:val="nil"/>
              <w:left w:val="nil"/>
              <w:bottom w:val="single" w:sz="4" w:space="0" w:color="auto"/>
              <w:right w:val="nil"/>
            </w:tcBorders>
          </w:tcPr>
          <w:p w14:paraId="68F9B712" w14:textId="77777777" w:rsidR="00144C0C" w:rsidRPr="00612C27" w:rsidRDefault="00144C0C" w:rsidP="00144C0C">
            <w:pPr>
              <w:jc w:val="center"/>
              <w:rPr>
                <w:rFonts w:asciiTheme="minorHAnsi" w:hAnsiTheme="minorHAnsi" w:cstheme="minorHAnsi"/>
                <w:sz w:val="16"/>
                <w:szCs w:val="16"/>
                <w:lang w:val="en-US"/>
              </w:rPr>
            </w:pPr>
            <w:r>
              <w:rPr>
                <w:rFonts w:asciiTheme="minorHAnsi" w:hAnsiTheme="minorHAnsi" w:cstheme="minorHAnsi"/>
                <w:sz w:val="16"/>
                <w:szCs w:val="16"/>
                <w:lang w:val="en-US"/>
              </w:rPr>
              <w:t xml:space="preserve">1. </w:t>
            </w:r>
            <w:r w:rsidRPr="00612C27">
              <w:rPr>
                <w:rFonts w:asciiTheme="minorHAnsi" w:hAnsiTheme="minorHAnsi" w:cstheme="minorHAnsi"/>
                <w:sz w:val="16"/>
                <w:szCs w:val="16"/>
                <w:lang w:val="en-US"/>
              </w:rPr>
              <w:t>Municipal FE</w:t>
            </w:r>
          </w:p>
        </w:tc>
        <w:tc>
          <w:tcPr>
            <w:tcW w:w="2409" w:type="dxa"/>
            <w:gridSpan w:val="2"/>
            <w:tcBorders>
              <w:top w:val="nil"/>
              <w:left w:val="nil"/>
              <w:bottom w:val="single" w:sz="4" w:space="0" w:color="auto"/>
              <w:right w:val="nil"/>
            </w:tcBorders>
          </w:tcPr>
          <w:p w14:paraId="4EF112D7" w14:textId="77777777" w:rsidR="00144C0C" w:rsidRPr="00612C27" w:rsidRDefault="00144C0C" w:rsidP="00144C0C">
            <w:pPr>
              <w:jc w:val="center"/>
              <w:rPr>
                <w:rFonts w:asciiTheme="minorHAnsi" w:hAnsiTheme="minorHAnsi" w:cstheme="minorHAnsi"/>
                <w:sz w:val="16"/>
                <w:szCs w:val="16"/>
                <w:lang w:val="en-US"/>
              </w:rPr>
            </w:pPr>
            <w:r>
              <w:rPr>
                <w:rFonts w:asciiTheme="minorHAnsi" w:hAnsiTheme="minorHAnsi" w:cstheme="minorHAnsi"/>
                <w:sz w:val="16"/>
                <w:szCs w:val="16"/>
                <w:lang w:val="en-US"/>
              </w:rPr>
              <w:t xml:space="preserve">2. </w:t>
            </w:r>
            <w:r w:rsidRPr="00612C27">
              <w:rPr>
                <w:rFonts w:asciiTheme="minorHAnsi" w:hAnsiTheme="minorHAnsi" w:cstheme="minorHAnsi"/>
                <w:sz w:val="16"/>
                <w:szCs w:val="16"/>
                <w:lang w:val="en-US"/>
              </w:rPr>
              <w:t>Individual FE</w:t>
            </w:r>
          </w:p>
        </w:tc>
        <w:tc>
          <w:tcPr>
            <w:tcW w:w="2552" w:type="dxa"/>
            <w:gridSpan w:val="2"/>
            <w:tcBorders>
              <w:top w:val="nil"/>
              <w:left w:val="nil"/>
              <w:bottom w:val="single" w:sz="4" w:space="0" w:color="auto"/>
              <w:right w:val="nil"/>
            </w:tcBorders>
          </w:tcPr>
          <w:p w14:paraId="116CB220" w14:textId="77777777" w:rsidR="00144C0C" w:rsidRPr="00612C27" w:rsidRDefault="00144C0C" w:rsidP="00144C0C">
            <w:pPr>
              <w:jc w:val="center"/>
              <w:rPr>
                <w:rFonts w:asciiTheme="minorHAnsi" w:hAnsiTheme="minorHAnsi" w:cstheme="minorHAnsi"/>
                <w:sz w:val="16"/>
                <w:szCs w:val="16"/>
                <w:lang w:val="en-US"/>
              </w:rPr>
            </w:pPr>
            <w:r>
              <w:rPr>
                <w:rFonts w:asciiTheme="minorHAnsi" w:hAnsiTheme="minorHAnsi" w:cstheme="minorHAnsi"/>
                <w:sz w:val="16"/>
                <w:szCs w:val="16"/>
                <w:lang w:val="en-US"/>
              </w:rPr>
              <w:t xml:space="preserve">3. </w:t>
            </w:r>
            <w:r w:rsidRPr="00612C27">
              <w:rPr>
                <w:rFonts w:asciiTheme="minorHAnsi" w:hAnsiTheme="minorHAnsi" w:cstheme="minorHAnsi"/>
                <w:sz w:val="16"/>
                <w:szCs w:val="16"/>
                <w:lang w:val="en-US"/>
              </w:rPr>
              <w:t>Individual and time FE</w:t>
            </w:r>
          </w:p>
        </w:tc>
      </w:tr>
      <w:tr w:rsidR="00144C0C" w:rsidRPr="00427FC7" w14:paraId="0344E0EB" w14:textId="77777777" w:rsidTr="00144C0C">
        <w:trPr>
          <w:gridAfter w:val="1"/>
          <w:wAfter w:w="236" w:type="dxa"/>
          <w:trHeight w:val="121"/>
        </w:trPr>
        <w:tc>
          <w:tcPr>
            <w:tcW w:w="1364" w:type="dxa"/>
            <w:tcBorders>
              <w:top w:val="single" w:sz="8" w:space="0" w:color="auto"/>
              <w:left w:val="nil"/>
              <w:bottom w:val="nil"/>
              <w:right w:val="nil"/>
            </w:tcBorders>
          </w:tcPr>
          <w:p w14:paraId="48351785"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Constant</w:t>
            </w:r>
          </w:p>
        </w:tc>
        <w:tc>
          <w:tcPr>
            <w:tcW w:w="239" w:type="dxa"/>
            <w:tcBorders>
              <w:top w:val="single" w:sz="8" w:space="0" w:color="auto"/>
              <w:left w:val="nil"/>
              <w:bottom w:val="nil"/>
              <w:right w:val="nil"/>
            </w:tcBorders>
          </w:tcPr>
          <w:p w14:paraId="37D41359" w14:textId="77777777" w:rsidR="00144C0C" w:rsidRPr="00343D9E" w:rsidRDefault="00144C0C" w:rsidP="00144C0C">
            <w:pPr>
              <w:jc w:val="center"/>
              <w:rPr>
                <w:rFonts w:asciiTheme="minorHAnsi" w:hAnsiTheme="minorHAnsi" w:cstheme="minorHAnsi"/>
                <w:sz w:val="16"/>
                <w:szCs w:val="16"/>
              </w:rPr>
            </w:pPr>
          </w:p>
        </w:tc>
        <w:tc>
          <w:tcPr>
            <w:tcW w:w="1091" w:type="dxa"/>
            <w:tcBorders>
              <w:top w:val="single" w:sz="4" w:space="0" w:color="auto"/>
              <w:left w:val="nil"/>
              <w:bottom w:val="nil"/>
              <w:right w:val="nil"/>
            </w:tcBorders>
          </w:tcPr>
          <w:p w14:paraId="5DF7027D"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-.206</w:t>
            </w:r>
          </w:p>
        </w:tc>
        <w:tc>
          <w:tcPr>
            <w:tcW w:w="1134" w:type="dxa"/>
            <w:tcBorders>
              <w:top w:val="single" w:sz="4" w:space="0" w:color="auto"/>
              <w:left w:val="nil"/>
              <w:bottom w:val="nil"/>
              <w:right w:val="nil"/>
            </w:tcBorders>
          </w:tcPr>
          <w:p w14:paraId="68276859"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(13.042)</w:t>
            </w:r>
          </w:p>
        </w:tc>
        <w:tc>
          <w:tcPr>
            <w:tcW w:w="1275" w:type="dxa"/>
            <w:tcBorders>
              <w:top w:val="single" w:sz="4" w:space="0" w:color="auto"/>
              <w:left w:val="nil"/>
              <w:bottom w:val="nil"/>
              <w:right w:val="nil"/>
            </w:tcBorders>
          </w:tcPr>
          <w:p w14:paraId="4ADB1099"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84.577**</w:t>
            </w:r>
          </w:p>
        </w:tc>
        <w:tc>
          <w:tcPr>
            <w:tcW w:w="1134" w:type="dxa"/>
            <w:tcBorders>
              <w:top w:val="single" w:sz="4" w:space="0" w:color="auto"/>
              <w:left w:val="nil"/>
              <w:bottom w:val="nil"/>
              <w:right w:val="nil"/>
            </w:tcBorders>
          </w:tcPr>
          <w:p w14:paraId="5118977F"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(28.953)</w:t>
            </w:r>
          </w:p>
        </w:tc>
        <w:tc>
          <w:tcPr>
            <w:tcW w:w="1276" w:type="dxa"/>
            <w:tcBorders>
              <w:top w:val="single" w:sz="4" w:space="0" w:color="auto"/>
              <w:left w:val="nil"/>
              <w:bottom w:val="nil"/>
              <w:right w:val="nil"/>
            </w:tcBorders>
          </w:tcPr>
          <w:p w14:paraId="3778BBC7"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20.708</w:t>
            </w:r>
          </w:p>
        </w:tc>
        <w:tc>
          <w:tcPr>
            <w:tcW w:w="1276" w:type="dxa"/>
            <w:tcBorders>
              <w:top w:val="single" w:sz="4" w:space="0" w:color="auto"/>
              <w:left w:val="nil"/>
              <w:bottom w:val="nil"/>
              <w:right w:val="nil"/>
            </w:tcBorders>
          </w:tcPr>
          <w:p w14:paraId="2DC89690"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(64.810)</w:t>
            </w:r>
          </w:p>
        </w:tc>
      </w:tr>
      <w:tr w:rsidR="00144C0C" w:rsidRPr="00427FC7" w14:paraId="18FD07DB" w14:textId="77777777" w:rsidTr="00144C0C">
        <w:trPr>
          <w:gridAfter w:val="1"/>
          <w:wAfter w:w="236" w:type="dxa"/>
          <w:trHeight w:val="261"/>
        </w:trPr>
        <w:tc>
          <w:tcPr>
            <w:tcW w:w="1364" w:type="dxa"/>
            <w:tcBorders>
              <w:top w:val="nil"/>
              <w:left w:val="nil"/>
              <w:bottom w:val="nil"/>
              <w:right w:val="nil"/>
            </w:tcBorders>
          </w:tcPr>
          <w:p w14:paraId="0475393E"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 xml:space="preserve">Wealth Inequality </w:t>
            </w:r>
          </w:p>
        </w:tc>
        <w:tc>
          <w:tcPr>
            <w:tcW w:w="239" w:type="dxa"/>
            <w:tcBorders>
              <w:top w:val="nil"/>
              <w:left w:val="nil"/>
              <w:bottom w:val="nil"/>
              <w:right w:val="nil"/>
            </w:tcBorders>
          </w:tcPr>
          <w:p w14:paraId="2021B6E6" w14:textId="77777777" w:rsidR="00144C0C" w:rsidRPr="00343D9E" w:rsidRDefault="00144C0C" w:rsidP="00144C0C">
            <w:pPr>
              <w:jc w:val="center"/>
              <w:rPr>
                <w:rFonts w:asciiTheme="minorHAnsi" w:hAnsiTheme="minorHAnsi" w:cstheme="minorHAnsi"/>
                <w:sz w:val="16"/>
                <w:szCs w:val="16"/>
              </w:rPr>
            </w:pPr>
          </w:p>
        </w:tc>
        <w:tc>
          <w:tcPr>
            <w:tcW w:w="1091" w:type="dxa"/>
            <w:tcBorders>
              <w:top w:val="nil"/>
              <w:left w:val="nil"/>
              <w:bottom w:val="nil"/>
              <w:right w:val="nil"/>
            </w:tcBorders>
          </w:tcPr>
          <w:p w14:paraId="487268F1"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-.222</w:t>
            </w:r>
          </w:p>
        </w:tc>
        <w:tc>
          <w:tcPr>
            <w:tcW w:w="1134" w:type="dxa"/>
            <w:tcBorders>
              <w:top w:val="nil"/>
              <w:left w:val="nil"/>
              <w:bottom w:val="nil"/>
              <w:right w:val="nil"/>
            </w:tcBorders>
          </w:tcPr>
          <w:p w14:paraId="6830B682"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(.153)</w:t>
            </w:r>
          </w:p>
        </w:tc>
        <w:tc>
          <w:tcPr>
            <w:tcW w:w="1275" w:type="dxa"/>
            <w:tcBorders>
              <w:top w:val="nil"/>
              <w:left w:val="nil"/>
              <w:bottom w:val="nil"/>
              <w:right w:val="nil"/>
            </w:tcBorders>
          </w:tcPr>
          <w:p w14:paraId="2FD6905D"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-.003</w:t>
            </w:r>
          </w:p>
        </w:tc>
        <w:tc>
          <w:tcPr>
            <w:tcW w:w="1134" w:type="dxa"/>
            <w:tcBorders>
              <w:top w:val="nil"/>
              <w:left w:val="nil"/>
              <w:bottom w:val="nil"/>
              <w:right w:val="nil"/>
            </w:tcBorders>
          </w:tcPr>
          <w:p w14:paraId="556D1248"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(.191)</w:t>
            </w:r>
          </w:p>
        </w:tc>
        <w:tc>
          <w:tcPr>
            <w:tcW w:w="1276" w:type="dxa"/>
            <w:tcBorders>
              <w:top w:val="nil"/>
              <w:left w:val="nil"/>
              <w:bottom w:val="nil"/>
              <w:right w:val="nil"/>
            </w:tcBorders>
          </w:tcPr>
          <w:p w14:paraId="54632D78"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-.153</w:t>
            </w:r>
          </w:p>
        </w:tc>
        <w:tc>
          <w:tcPr>
            <w:tcW w:w="1276" w:type="dxa"/>
            <w:tcBorders>
              <w:top w:val="nil"/>
              <w:left w:val="nil"/>
              <w:bottom w:val="nil"/>
              <w:right w:val="nil"/>
            </w:tcBorders>
          </w:tcPr>
          <w:p w14:paraId="7BD44236"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(.096)</w:t>
            </w:r>
          </w:p>
        </w:tc>
      </w:tr>
      <w:tr w:rsidR="00144C0C" w:rsidRPr="00427FC7" w14:paraId="17562875" w14:textId="77777777" w:rsidTr="00144C0C">
        <w:trPr>
          <w:gridAfter w:val="1"/>
          <w:wAfter w:w="236" w:type="dxa"/>
          <w:trHeight w:val="135"/>
        </w:trPr>
        <w:tc>
          <w:tcPr>
            <w:tcW w:w="1364" w:type="dxa"/>
            <w:tcBorders>
              <w:top w:val="nil"/>
              <w:left w:val="nil"/>
              <w:bottom w:val="nil"/>
              <w:right w:val="nil"/>
            </w:tcBorders>
          </w:tcPr>
          <w:p w14:paraId="3E232850"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Trust</w:t>
            </w:r>
          </w:p>
        </w:tc>
        <w:tc>
          <w:tcPr>
            <w:tcW w:w="239" w:type="dxa"/>
            <w:tcBorders>
              <w:top w:val="nil"/>
              <w:left w:val="nil"/>
              <w:bottom w:val="nil"/>
              <w:right w:val="nil"/>
            </w:tcBorders>
          </w:tcPr>
          <w:p w14:paraId="65CE510A" w14:textId="77777777" w:rsidR="00144C0C" w:rsidRPr="00343D9E" w:rsidRDefault="00144C0C" w:rsidP="00144C0C">
            <w:pPr>
              <w:jc w:val="center"/>
              <w:rPr>
                <w:rFonts w:asciiTheme="minorHAnsi" w:hAnsiTheme="minorHAnsi" w:cstheme="minorHAnsi"/>
                <w:sz w:val="16"/>
                <w:szCs w:val="16"/>
              </w:rPr>
            </w:pPr>
          </w:p>
        </w:tc>
        <w:tc>
          <w:tcPr>
            <w:tcW w:w="1091" w:type="dxa"/>
            <w:tcBorders>
              <w:top w:val="nil"/>
              <w:left w:val="nil"/>
              <w:bottom w:val="nil"/>
              <w:right w:val="nil"/>
            </w:tcBorders>
          </w:tcPr>
          <w:p w14:paraId="3707CD84"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1.105**</w:t>
            </w:r>
          </w:p>
        </w:tc>
        <w:tc>
          <w:tcPr>
            <w:tcW w:w="1134" w:type="dxa"/>
            <w:tcBorders>
              <w:top w:val="nil"/>
              <w:left w:val="nil"/>
              <w:bottom w:val="nil"/>
              <w:right w:val="nil"/>
            </w:tcBorders>
          </w:tcPr>
          <w:p w14:paraId="41641579"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(.329)</w:t>
            </w:r>
          </w:p>
        </w:tc>
        <w:tc>
          <w:tcPr>
            <w:tcW w:w="1275" w:type="dxa"/>
            <w:tcBorders>
              <w:top w:val="nil"/>
              <w:left w:val="nil"/>
              <w:bottom w:val="nil"/>
              <w:right w:val="nil"/>
            </w:tcBorders>
          </w:tcPr>
          <w:p w14:paraId="3798989A"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.029</w:t>
            </w:r>
          </w:p>
        </w:tc>
        <w:tc>
          <w:tcPr>
            <w:tcW w:w="1134" w:type="dxa"/>
            <w:tcBorders>
              <w:top w:val="nil"/>
              <w:left w:val="nil"/>
              <w:bottom w:val="nil"/>
              <w:right w:val="nil"/>
            </w:tcBorders>
          </w:tcPr>
          <w:p w14:paraId="74231705"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(.724)</w:t>
            </w:r>
          </w:p>
        </w:tc>
        <w:tc>
          <w:tcPr>
            <w:tcW w:w="1276" w:type="dxa"/>
            <w:tcBorders>
              <w:top w:val="nil"/>
              <w:left w:val="nil"/>
              <w:bottom w:val="nil"/>
              <w:right w:val="nil"/>
            </w:tcBorders>
          </w:tcPr>
          <w:p w14:paraId="01371B2C"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.221</w:t>
            </w:r>
          </w:p>
        </w:tc>
        <w:tc>
          <w:tcPr>
            <w:tcW w:w="1276" w:type="dxa"/>
            <w:tcBorders>
              <w:top w:val="nil"/>
              <w:left w:val="nil"/>
              <w:bottom w:val="nil"/>
              <w:right w:val="nil"/>
            </w:tcBorders>
          </w:tcPr>
          <w:p w14:paraId="3A1A204E"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(.478)</w:t>
            </w:r>
          </w:p>
        </w:tc>
      </w:tr>
      <w:tr w:rsidR="00144C0C" w:rsidRPr="00427FC7" w14:paraId="09B65C9A" w14:textId="77777777" w:rsidTr="00144C0C">
        <w:trPr>
          <w:gridAfter w:val="1"/>
          <w:wAfter w:w="236" w:type="dxa"/>
          <w:trHeight w:val="96"/>
        </w:trPr>
        <w:tc>
          <w:tcPr>
            <w:tcW w:w="1364" w:type="dxa"/>
            <w:tcBorders>
              <w:top w:val="nil"/>
              <w:left w:val="nil"/>
              <w:bottom w:val="nil"/>
              <w:right w:val="nil"/>
            </w:tcBorders>
          </w:tcPr>
          <w:p w14:paraId="5F5AC075"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 xml:space="preserve">Age </w:t>
            </w:r>
          </w:p>
        </w:tc>
        <w:tc>
          <w:tcPr>
            <w:tcW w:w="239" w:type="dxa"/>
            <w:tcBorders>
              <w:top w:val="nil"/>
              <w:left w:val="nil"/>
              <w:bottom w:val="nil"/>
              <w:right w:val="nil"/>
            </w:tcBorders>
          </w:tcPr>
          <w:p w14:paraId="37962BEF" w14:textId="77777777" w:rsidR="00144C0C" w:rsidRPr="00343D9E" w:rsidRDefault="00144C0C" w:rsidP="00144C0C">
            <w:pPr>
              <w:jc w:val="center"/>
              <w:rPr>
                <w:rFonts w:asciiTheme="minorHAnsi" w:hAnsiTheme="minorHAnsi" w:cstheme="minorHAnsi"/>
                <w:sz w:val="16"/>
                <w:szCs w:val="16"/>
              </w:rPr>
            </w:pPr>
          </w:p>
        </w:tc>
        <w:tc>
          <w:tcPr>
            <w:tcW w:w="1091" w:type="dxa"/>
            <w:tcBorders>
              <w:top w:val="nil"/>
              <w:left w:val="nil"/>
              <w:bottom w:val="nil"/>
              <w:right w:val="nil"/>
            </w:tcBorders>
          </w:tcPr>
          <w:p w14:paraId="17204B17"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.079**</w:t>
            </w:r>
          </w:p>
        </w:tc>
        <w:tc>
          <w:tcPr>
            <w:tcW w:w="1134" w:type="dxa"/>
            <w:tcBorders>
              <w:top w:val="nil"/>
              <w:left w:val="nil"/>
              <w:bottom w:val="nil"/>
              <w:right w:val="nil"/>
            </w:tcBorders>
          </w:tcPr>
          <w:p w14:paraId="4CED6DF9"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(.023)</w:t>
            </w:r>
          </w:p>
        </w:tc>
        <w:tc>
          <w:tcPr>
            <w:tcW w:w="1275" w:type="dxa"/>
            <w:tcBorders>
              <w:top w:val="nil"/>
              <w:left w:val="nil"/>
              <w:bottom w:val="nil"/>
              <w:right w:val="nil"/>
            </w:tcBorders>
          </w:tcPr>
          <w:p w14:paraId="4BA0C146"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-1.016**</w:t>
            </w:r>
          </w:p>
        </w:tc>
        <w:tc>
          <w:tcPr>
            <w:tcW w:w="1134" w:type="dxa"/>
            <w:tcBorders>
              <w:top w:val="nil"/>
              <w:left w:val="nil"/>
              <w:bottom w:val="nil"/>
              <w:right w:val="nil"/>
            </w:tcBorders>
          </w:tcPr>
          <w:p w14:paraId="71236FC5"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(.319)</w:t>
            </w:r>
          </w:p>
        </w:tc>
        <w:tc>
          <w:tcPr>
            <w:tcW w:w="1276" w:type="dxa"/>
            <w:tcBorders>
              <w:top w:val="nil"/>
              <w:left w:val="nil"/>
              <w:bottom w:val="nil"/>
              <w:right w:val="nil"/>
            </w:tcBorders>
          </w:tcPr>
          <w:p w14:paraId="7783D47F"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-.158</w:t>
            </w:r>
          </w:p>
        </w:tc>
        <w:tc>
          <w:tcPr>
            <w:tcW w:w="1276" w:type="dxa"/>
            <w:tcBorders>
              <w:top w:val="nil"/>
              <w:left w:val="nil"/>
              <w:bottom w:val="nil"/>
              <w:right w:val="nil"/>
            </w:tcBorders>
          </w:tcPr>
          <w:p w14:paraId="177BF6C3"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(1.399)</w:t>
            </w:r>
          </w:p>
        </w:tc>
      </w:tr>
      <w:tr w:rsidR="00144C0C" w:rsidRPr="00427FC7" w14:paraId="4CFA9A3A" w14:textId="77777777" w:rsidTr="00144C0C">
        <w:trPr>
          <w:gridAfter w:val="1"/>
          <w:wAfter w:w="236" w:type="dxa"/>
          <w:trHeight w:val="198"/>
        </w:trPr>
        <w:tc>
          <w:tcPr>
            <w:tcW w:w="1364" w:type="dxa"/>
            <w:tcBorders>
              <w:top w:val="nil"/>
              <w:left w:val="nil"/>
              <w:bottom w:val="nil"/>
              <w:right w:val="nil"/>
            </w:tcBorders>
          </w:tcPr>
          <w:p w14:paraId="340B378B"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 xml:space="preserve">Female </w:t>
            </w:r>
          </w:p>
        </w:tc>
        <w:tc>
          <w:tcPr>
            <w:tcW w:w="239" w:type="dxa"/>
            <w:tcBorders>
              <w:top w:val="nil"/>
              <w:left w:val="nil"/>
              <w:bottom w:val="nil"/>
              <w:right w:val="nil"/>
            </w:tcBorders>
          </w:tcPr>
          <w:p w14:paraId="2D5EA0CB" w14:textId="77777777" w:rsidR="00144C0C" w:rsidRPr="00343D9E" w:rsidRDefault="00144C0C" w:rsidP="00144C0C">
            <w:pPr>
              <w:jc w:val="center"/>
              <w:rPr>
                <w:rFonts w:asciiTheme="minorHAnsi" w:hAnsiTheme="minorHAnsi" w:cstheme="minorHAnsi"/>
                <w:sz w:val="16"/>
                <w:szCs w:val="16"/>
              </w:rPr>
            </w:pPr>
          </w:p>
        </w:tc>
        <w:tc>
          <w:tcPr>
            <w:tcW w:w="1091" w:type="dxa"/>
            <w:tcBorders>
              <w:top w:val="nil"/>
              <w:left w:val="nil"/>
              <w:bottom w:val="nil"/>
              <w:right w:val="nil"/>
            </w:tcBorders>
          </w:tcPr>
          <w:p w14:paraId="224B68A9"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-2.623***</w:t>
            </w:r>
          </w:p>
        </w:tc>
        <w:tc>
          <w:tcPr>
            <w:tcW w:w="1134" w:type="dxa"/>
            <w:tcBorders>
              <w:top w:val="nil"/>
              <w:left w:val="nil"/>
              <w:bottom w:val="nil"/>
              <w:right w:val="nil"/>
            </w:tcBorders>
          </w:tcPr>
          <w:p w14:paraId="41FAD7DD"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(.617)</w:t>
            </w:r>
          </w:p>
        </w:tc>
        <w:tc>
          <w:tcPr>
            <w:tcW w:w="1275" w:type="dxa"/>
            <w:tcBorders>
              <w:top w:val="nil"/>
              <w:left w:val="nil"/>
              <w:bottom w:val="nil"/>
              <w:right w:val="nil"/>
            </w:tcBorders>
          </w:tcPr>
          <w:p w14:paraId="4F38032A" w14:textId="77777777" w:rsidR="00144C0C" w:rsidRPr="00343D9E" w:rsidRDefault="00144C0C" w:rsidP="00144C0C">
            <w:pPr>
              <w:jc w:val="center"/>
              <w:rPr>
                <w:rFonts w:asciiTheme="minorHAnsi" w:hAnsiTheme="minorHAnsi" w:cstheme="minorHAnsi"/>
                <w:sz w:val="16"/>
                <w:szCs w:val="16"/>
              </w:rPr>
            </w:pPr>
          </w:p>
        </w:tc>
        <w:tc>
          <w:tcPr>
            <w:tcW w:w="1134" w:type="dxa"/>
            <w:tcBorders>
              <w:top w:val="nil"/>
              <w:left w:val="nil"/>
              <w:bottom w:val="nil"/>
              <w:right w:val="nil"/>
            </w:tcBorders>
          </w:tcPr>
          <w:p w14:paraId="32DE3FD8" w14:textId="77777777" w:rsidR="00144C0C" w:rsidRPr="00343D9E" w:rsidRDefault="00144C0C" w:rsidP="00144C0C">
            <w:pPr>
              <w:jc w:val="center"/>
              <w:rPr>
                <w:rFonts w:asciiTheme="minorHAnsi" w:hAnsiTheme="minorHAnsi" w:cstheme="minorHAnsi"/>
                <w:sz w:val="16"/>
                <w:szCs w:val="16"/>
              </w:rPr>
            </w:pPr>
          </w:p>
        </w:tc>
        <w:tc>
          <w:tcPr>
            <w:tcW w:w="1276" w:type="dxa"/>
            <w:tcBorders>
              <w:top w:val="nil"/>
              <w:left w:val="nil"/>
              <w:bottom w:val="nil"/>
              <w:right w:val="nil"/>
            </w:tcBorders>
          </w:tcPr>
          <w:p w14:paraId="1344164A" w14:textId="77777777" w:rsidR="00144C0C" w:rsidRPr="00343D9E" w:rsidRDefault="00144C0C" w:rsidP="00144C0C">
            <w:pPr>
              <w:jc w:val="center"/>
              <w:rPr>
                <w:rFonts w:asciiTheme="minorHAnsi" w:hAnsiTheme="minorHAnsi" w:cstheme="minorHAnsi"/>
                <w:sz w:val="16"/>
                <w:szCs w:val="16"/>
              </w:rPr>
            </w:pPr>
          </w:p>
        </w:tc>
        <w:tc>
          <w:tcPr>
            <w:tcW w:w="1276" w:type="dxa"/>
            <w:tcBorders>
              <w:top w:val="nil"/>
              <w:left w:val="nil"/>
              <w:bottom w:val="nil"/>
              <w:right w:val="nil"/>
            </w:tcBorders>
          </w:tcPr>
          <w:p w14:paraId="3617E009"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(1.197)</w:t>
            </w:r>
          </w:p>
        </w:tc>
      </w:tr>
      <w:tr w:rsidR="00144C0C" w:rsidRPr="00427FC7" w14:paraId="05FBED6C" w14:textId="77777777" w:rsidTr="00144C0C">
        <w:trPr>
          <w:gridAfter w:val="1"/>
          <w:wAfter w:w="236" w:type="dxa"/>
          <w:trHeight w:val="143"/>
        </w:trPr>
        <w:tc>
          <w:tcPr>
            <w:tcW w:w="1364" w:type="dxa"/>
            <w:tcBorders>
              <w:top w:val="nil"/>
              <w:left w:val="nil"/>
              <w:bottom w:val="nil"/>
              <w:right w:val="nil"/>
            </w:tcBorders>
          </w:tcPr>
          <w:p w14:paraId="44FB7E8F"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 xml:space="preserve">Religion </w:t>
            </w:r>
          </w:p>
        </w:tc>
        <w:tc>
          <w:tcPr>
            <w:tcW w:w="239" w:type="dxa"/>
            <w:tcBorders>
              <w:top w:val="nil"/>
              <w:left w:val="nil"/>
              <w:bottom w:val="nil"/>
              <w:right w:val="nil"/>
            </w:tcBorders>
          </w:tcPr>
          <w:p w14:paraId="7F330578" w14:textId="77777777" w:rsidR="00144C0C" w:rsidRPr="00343D9E" w:rsidRDefault="00144C0C" w:rsidP="00144C0C">
            <w:pPr>
              <w:jc w:val="center"/>
              <w:rPr>
                <w:rFonts w:asciiTheme="minorHAnsi" w:hAnsiTheme="minorHAnsi" w:cstheme="minorHAnsi"/>
                <w:sz w:val="16"/>
                <w:szCs w:val="16"/>
              </w:rPr>
            </w:pPr>
          </w:p>
        </w:tc>
        <w:tc>
          <w:tcPr>
            <w:tcW w:w="1091" w:type="dxa"/>
            <w:tcBorders>
              <w:top w:val="nil"/>
              <w:left w:val="nil"/>
              <w:bottom w:val="nil"/>
              <w:right w:val="nil"/>
            </w:tcBorders>
          </w:tcPr>
          <w:p w14:paraId="6365BE68"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-.959</w:t>
            </w:r>
          </w:p>
        </w:tc>
        <w:tc>
          <w:tcPr>
            <w:tcW w:w="1134" w:type="dxa"/>
            <w:tcBorders>
              <w:top w:val="nil"/>
              <w:left w:val="nil"/>
              <w:bottom w:val="nil"/>
              <w:right w:val="nil"/>
            </w:tcBorders>
          </w:tcPr>
          <w:p w14:paraId="514698B0"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(.752)</w:t>
            </w:r>
          </w:p>
        </w:tc>
        <w:tc>
          <w:tcPr>
            <w:tcW w:w="1275" w:type="dxa"/>
            <w:tcBorders>
              <w:top w:val="nil"/>
              <w:left w:val="nil"/>
              <w:bottom w:val="nil"/>
              <w:right w:val="nil"/>
            </w:tcBorders>
          </w:tcPr>
          <w:p w14:paraId="1C5C69E9"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.235</w:t>
            </w:r>
          </w:p>
        </w:tc>
        <w:tc>
          <w:tcPr>
            <w:tcW w:w="1134" w:type="dxa"/>
            <w:tcBorders>
              <w:top w:val="nil"/>
              <w:left w:val="nil"/>
              <w:bottom w:val="nil"/>
              <w:right w:val="nil"/>
            </w:tcBorders>
          </w:tcPr>
          <w:p w14:paraId="2057DE8C"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(1.975)</w:t>
            </w:r>
          </w:p>
        </w:tc>
        <w:tc>
          <w:tcPr>
            <w:tcW w:w="1276" w:type="dxa"/>
            <w:tcBorders>
              <w:top w:val="nil"/>
              <w:left w:val="nil"/>
              <w:bottom w:val="nil"/>
              <w:right w:val="nil"/>
            </w:tcBorders>
          </w:tcPr>
          <w:p w14:paraId="66015E99"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-.917</w:t>
            </w:r>
          </w:p>
        </w:tc>
        <w:tc>
          <w:tcPr>
            <w:tcW w:w="1276" w:type="dxa"/>
            <w:tcBorders>
              <w:top w:val="nil"/>
              <w:left w:val="nil"/>
              <w:bottom w:val="nil"/>
              <w:right w:val="nil"/>
            </w:tcBorders>
          </w:tcPr>
          <w:p w14:paraId="5D970732"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(.679)</w:t>
            </w:r>
          </w:p>
        </w:tc>
      </w:tr>
      <w:tr w:rsidR="00144C0C" w:rsidRPr="00427FC7" w14:paraId="5F541A86" w14:textId="77777777" w:rsidTr="00144C0C">
        <w:trPr>
          <w:gridAfter w:val="1"/>
          <w:wAfter w:w="236" w:type="dxa"/>
          <w:trHeight w:val="261"/>
        </w:trPr>
        <w:tc>
          <w:tcPr>
            <w:tcW w:w="1364" w:type="dxa"/>
            <w:tcBorders>
              <w:top w:val="nil"/>
              <w:left w:val="nil"/>
              <w:bottom w:val="nil"/>
              <w:right w:val="nil"/>
            </w:tcBorders>
          </w:tcPr>
          <w:p w14:paraId="2CCFFD0F"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Church attendance</w:t>
            </w:r>
          </w:p>
        </w:tc>
        <w:tc>
          <w:tcPr>
            <w:tcW w:w="239" w:type="dxa"/>
            <w:tcBorders>
              <w:top w:val="nil"/>
              <w:left w:val="nil"/>
              <w:bottom w:val="nil"/>
              <w:right w:val="nil"/>
            </w:tcBorders>
          </w:tcPr>
          <w:p w14:paraId="422C0476" w14:textId="77777777" w:rsidR="00144C0C" w:rsidRPr="00343D9E" w:rsidRDefault="00144C0C" w:rsidP="00144C0C">
            <w:pPr>
              <w:jc w:val="center"/>
              <w:rPr>
                <w:rFonts w:asciiTheme="minorHAnsi" w:hAnsiTheme="minorHAnsi" w:cstheme="minorHAnsi"/>
                <w:sz w:val="16"/>
                <w:szCs w:val="16"/>
              </w:rPr>
            </w:pPr>
          </w:p>
        </w:tc>
        <w:tc>
          <w:tcPr>
            <w:tcW w:w="1091" w:type="dxa"/>
            <w:tcBorders>
              <w:top w:val="nil"/>
              <w:left w:val="nil"/>
              <w:bottom w:val="nil"/>
              <w:right w:val="nil"/>
            </w:tcBorders>
          </w:tcPr>
          <w:p w14:paraId="2DB3FECE"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3.160***</w:t>
            </w:r>
          </w:p>
        </w:tc>
        <w:tc>
          <w:tcPr>
            <w:tcW w:w="1134" w:type="dxa"/>
            <w:tcBorders>
              <w:top w:val="nil"/>
              <w:left w:val="nil"/>
              <w:bottom w:val="nil"/>
              <w:right w:val="nil"/>
            </w:tcBorders>
          </w:tcPr>
          <w:p w14:paraId="6D42F9CD"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(.341)</w:t>
            </w:r>
          </w:p>
        </w:tc>
        <w:tc>
          <w:tcPr>
            <w:tcW w:w="1275" w:type="dxa"/>
            <w:tcBorders>
              <w:top w:val="nil"/>
              <w:left w:val="nil"/>
              <w:bottom w:val="nil"/>
              <w:right w:val="nil"/>
            </w:tcBorders>
          </w:tcPr>
          <w:p w14:paraId="3D762CED"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1.147</w:t>
            </w:r>
          </w:p>
        </w:tc>
        <w:tc>
          <w:tcPr>
            <w:tcW w:w="1134" w:type="dxa"/>
            <w:tcBorders>
              <w:top w:val="nil"/>
              <w:left w:val="nil"/>
              <w:bottom w:val="nil"/>
              <w:right w:val="nil"/>
            </w:tcBorders>
          </w:tcPr>
          <w:p w14:paraId="79A658E2"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(1.312)</w:t>
            </w:r>
          </w:p>
        </w:tc>
        <w:tc>
          <w:tcPr>
            <w:tcW w:w="1276" w:type="dxa"/>
            <w:tcBorders>
              <w:top w:val="nil"/>
              <w:left w:val="nil"/>
              <w:bottom w:val="nil"/>
              <w:right w:val="nil"/>
            </w:tcBorders>
          </w:tcPr>
          <w:p w14:paraId="7DACDFAB"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3.160***</w:t>
            </w:r>
          </w:p>
        </w:tc>
        <w:tc>
          <w:tcPr>
            <w:tcW w:w="1276" w:type="dxa"/>
            <w:tcBorders>
              <w:top w:val="nil"/>
              <w:left w:val="nil"/>
              <w:bottom w:val="nil"/>
              <w:right w:val="nil"/>
            </w:tcBorders>
          </w:tcPr>
          <w:p w14:paraId="6C0D8FD7"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(.341)</w:t>
            </w:r>
          </w:p>
        </w:tc>
      </w:tr>
      <w:tr w:rsidR="00144C0C" w:rsidRPr="00427FC7" w14:paraId="79D74BB4" w14:textId="77777777" w:rsidTr="00144C0C">
        <w:trPr>
          <w:gridAfter w:val="1"/>
          <w:wAfter w:w="236" w:type="dxa"/>
          <w:trHeight w:val="261"/>
        </w:trPr>
        <w:tc>
          <w:tcPr>
            <w:tcW w:w="1364" w:type="dxa"/>
            <w:tcBorders>
              <w:top w:val="nil"/>
              <w:left w:val="nil"/>
              <w:bottom w:val="nil"/>
              <w:right w:val="nil"/>
            </w:tcBorders>
          </w:tcPr>
          <w:p w14:paraId="388A646A"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Household income</w:t>
            </w:r>
          </w:p>
        </w:tc>
        <w:tc>
          <w:tcPr>
            <w:tcW w:w="239" w:type="dxa"/>
            <w:tcBorders>
              <w:top w:val="nil"/>
              <w:left w:val="nil"/>
              <w:bottom w:val="nil"/>
              <w:right w:val="nil"/>
            </w:tcBorders>
          </w:tcPr>
          <w:p w14:paraId="303B1944" w14:textId="77777777" w:rsidR="00144C0C" w:rsidRPr="00343D9E" w:rsidRDefault="00144C0C" w:rsidP="00144C0C">
            <w:pPr>
              <w:jc w:val="center"/>
              <w:rPr>
                <w:rFonts w:asciiTheme="minorHAnsi" w:hAnsiTheme="minorHAnsi" w:cstheme="minorHAnsi"/>
                <w:sz w:val="16"/>
                <w:szCs w:val="16"/>
              </w:rPr>
            </w:pPr>
          </w:p>
        </w:tc>
        <w:tc>
          <w:tcPr>
            <w:tcW w:w="1091" w:type="dxa"/>
            <w:tcBorders>
              <w:top w:val="nil"/>
              <w:left w:val="nil"/>
              <w:bottom w:val="nil"/>
              <w:right w:val="nil"/>
            </w:tcBorders>
          </w:tcPr>
          <w:p w14:paraId="6645089D"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&lt;.000</w:t>
            </w:r>
          </w:p>
        </w:tc>
        <w:tc>
          <w:tcPr>
            <w:tcW w:w="1134" w:type="dxa"/>
            <w:tcBorders>
              <w:top w:val="nil"/>
              <w:left w:val="nil"/>
              <w:bottom w:val="nil"/>
              <w:right w:val="nil"/>
            </w:tcBorders>
          </w:tcPr>
          <w:p w14:paraId="016850BF"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(&lt;.000)</w:t>
            </w:r>
          </w:p>
        </w:tc>
        <w:tc>
          <w:tcPr>
            <w:tcW w:w="1275" w:type="dxa"/>
            <w:tcBorders>
              <w:top w:val="nil"/>
              <w:left w:val="nil"/>
              <w:bottom w:val="nil"/>
              <w:right w:val="nil"/>
            </w:tcBorders>
          </w:tcPr>
          <w:p w14:paraId="19EE5D78"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&lt;.000</w:t>
            </w:r>
          </w:p>
        </w:tc>
        <w:tc>
          <w:tcPr>
            <w:tcW w:w="1134" w:type="dxa"/>
            <w:tcBorders>
              <w:top w:val="nil"/>
              <w:left w:val="nil"/>
              <w:bottom w:val="nil"/>
              <w:right w:val="nil"/>
            </w:tcBorders>
          </w:tcPr>
          <w:p w14:paraId="68849344"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(&lt;.000)</w:t>
            </w:r>
          </w:p>
        </w:tc>
        <w:tc>
          <w:tcPr>
            <w:tcW w:w="1276" w:type="dxa"/>
            <w:tcBorders>
              <w:top w:val="nil"/>
              <w:left w:val="nil"/>
              <w:bottom w:val="nil"/>
              <w:right w:val="nil"/>
            </w:tcBorders>
          </w:tcPr>
          <w:p w14:paraId="411298C4"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&lt;.000</w:t>
            </w:r>
          </w:p>
        </w:tc>
        <w:tc>
          <w:tcPr>
            <w:tcW w:w="1276" w:type="dxa"/>
            <w:tcBorders>
              <w:top w:val="nil"/>
              <w:left w:val="nil"/>
              <w:bottom w:val="nil"/>
              <w:right w:val="nil"/>
            </w:tcBorders>
          </w:tcPr>
          <w:p w14:paraId="017B7F82"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(&lt;.000)</w:t>
            </w:r>
          </w:p>
        </w:tc>
      </w:tr>
      <w:tr w:rsidR="00144C0C" w:rsidRPr="00427FC7" w14:paraId="6CA35FE8" w14:textId="77777777" w:rsidTr="00144C0C">
        <w:trPr>
          <w:gridAfter w:val="1"/>
          <w:wAfter w:w="236" w:type="dxa"/>
          <w:trHeight w:val="214"/>
        </w:trPr>
        <w:tc>
          <w:tcPr>
            <w:tcW w:w="1364" w:type="dxa"/>
            <w:tcBorders>
              <w:top w:val="nil"/>
              <w:left w:val="nil"/>
              <w:bottom w:val="nil"/>
              <w:right w:val="nil"/>
            </w:tcBorders>
          </w:tcPr>
          <w:p w14:paraId="53804269"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Working hours</w:t>
            </w:r>
          </w:p>
        </w:tc>
        <w:tc>
          <w:tcPr>
            <w:tcW w:w="239" w:type="dxa"/>
            <w:tcBorders>
              <w:top w:val="nil"/>
              <w:left w:val="nil"/>
              <w:bottom w:val="nil"/>
              <w:right w:val="nil"/>
            </w:tcBorders>
          </w:tcPr>
          <w:p w14:paraId="7A808B7C" w14:textId="77777777" w:rsidR="00144C0C" w:rsidRPr="00343D9E" w:rsidRDefault="00144C0C" w:rsidP="00144C0C">
            <w:pPr>
              <w:jc w:val="center"/>
              <w:rPr>
                <w:rFonts w:asciiTheme="minorHAnsi" w:hAnsiTheme="minorHAnsi" w:cstheme="minorHAnsi"/>
                <w:sz w:val="16"/>
                <w:szCs w:val="16"/>
              </w:rPr>
            </w:pPr>
          </w:p>
        </w:tc>
        <w:tc>
          <w:tcPr>
            <w:tcW w:w="1091" w:type="dxa"/>
            <w:tcBorders>
              <w:top w:val="nil"/>
              <w:left w:val="nil"/>
              <w:bottom w:val="nil"/>
              <w:right w:val="nil"/>
            </w:tcBorders>
          </w:tcPr>
          <w:p w14:paraId="30740FFB"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-.137***</w:t>
            </w:r>
          </w:p>
        </w:tc>
        <w:tc>
          <w:tcPr>
            <w:tcW w:w="1134" w:type="dxa"/>
            <w:tcBorders>
              <w:top w:val="nil"/>
              <w:left w:val="nil"/>
              <w:bottom w:val="nil"/>
              <w:right w:val="nil"/>
            </w:tcBorders>
          </w:tcPr>
          <w:p w14:paraId="6F95D471"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(.021)</w:t>
            </w:r>
          </w:p>
        </w:tc>
        <w:tc>
          <w:tcPr>
            <w:tcW w:w="1275" w:type="dxa"/>
            <w:tcBorders>
              <w:top w:val="nil"/>
              <w:left w:val="nil"/>
              <w:bottom w:val="nil"/>
              <w:right w:val="nil"/>
            </w:tcBorders>
          </w:tcPr>
          <w:p w14:paraId="6203DF18"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-.196</w:t>
            </w:r>
          </w:p>
        </w:tc>
        <w:tc>
          <w:tcPr>
            <w:tcW w:w="1134" w:type="dxa"/>
            <w:tcBorders>
              <w:top w:val="nil"/>
              <w:left w:val="nil"/>
              <w:bottom w:val="nil"/>
              <w:right w:val="nil"/>
            </w:tcBorders>
          </w:tcPr>
          <w:p w14:paraId="49929939"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(.061)</w:t>
            </w:r>
          </w:p>
        </w:tc>
        <w:tc>
          <w:tcPr>
            <w:tcW w:w="1276" w:type="dxa"/>
            <w:tcBorders>
              <w:top w:val="nil"/>
              <w:left w:val="nil"/>
              <w:bottom w:val="nil"/>
              <w:right w:val="nil"/>
            </w:tcBorders>
          </w:tcPr>
          <w:p w14:paraId="180D0311"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-.146***</w:t>
            </w:r>
          </w:p>
        </w:tc>
        <w:tc>
          <w:tcPr>
            <w:tcW w:w="1276" w:type="dxa"/>
            <w:tcBorders>
              <w:top w:val="nil"/>
              <w:left w:val="nil"/>
              <w:bottom w:val="nil"/>
              <w:right w:val="nil"/>
            </w:tcBorders>
          </w:tcPr>
          <w:p w14:paraId="463B511B"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(.038)</w:t>
            </w:r>
          </w:p>
        </w:tc>
      </w:tr>
      <w:tr w:rsidR="00144C0C" w:rsidRPr="00427FC7" w14:paraId="489A4CCD" w14:textId="77777777" w:rsidTr="00144C0C">
        <w:trPr>
          <w:gridAfter w:val="1"/>
          <w:wAfter w:w="236" w:type="dxa"/>
          <w:trHeight w:val="261"/>
        </w:trPr>
        <w:tc>
          <w:tcPr>
            <w:tcW w:w="1364" w:type="dxa"/>
            <w:tcBorders>
              <w:top w:val="nil"/>
              <w:left w:val="nil"/>
              <w:bottom w:val="nil"/>
              <w:right w:val="nil"/>
            </w:tcBorders>
          </w:tcPr>
          <w:p w14:paraId="52A34516"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Income from wealth</w:t>
            </w:r>
          </w:p>
        </w:tc>
        <w:tc>
          <w:tcPr>
            <w:tcW w:w="239" w:type="dxa"/>
            <w:tcBorders>
              <w:top w:val="nil"/>
              <w:left w:val="nil"/>
              <w:bottom w:val="nil"/>
              <w:right w:val="nil"/>
            </w:tcBorders>
          </w:tcPr>
          <w:p w14:paraId="5C9E35EE" w14:textId="77777777" w:rsidR="00144C0C" w:rsidRPr="00343D9E" w:rsidRDefault="00144C0C" w:rsidP="00144C0C">
            <w:pPr>
              <w:jc w:val="center"/>
              <w:rPr>
                <w:rFonts w:asciiTheme="minorHAnsi" w:hAnsiTheme="minorHAnsi" w:cstheme="minorHAnsi"/>
                <w:sz w:val="16"/>
                <w:szCs w:val="16"/>
              </w:rPr>
            </w:pPr>
          </w:p>
        </w:tc>
        <w:tc>
          <w:tcPr>
            <w:tcW w:w="1091" w:type="dxa"/>
            <w:tcBorders>
              <w:top w:val="nil"/>
              <w:left w:val="nil"/>
              <w:bottom w:val="nil"/>
              <w:right w:val="nil"/>
            </w:tcBorders>
          </w:tcPr>
          <w:p w14:paraId="3C87DC9A"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-.404</w:t>
            </w:r>
          </w:p>
        </w:tc>
        <w:tc>
          <w:tcPr>
            <w:tcW w:w="1134" w:type="dxa"/>
            <w:tcBorders>
              <w:top w:val="nil"/>
              <w:left w:val="nil"/>
              <w:bottom w:val="nil"/>
              <w:right w:val="nil"/>
            </w:tcBorders>
          </w:tcPr>
          <w:p w14:paraId="4326E46D"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(1.002)</w:t>
            </w:r>
          </w:p>
        </w:tc>
        <w:tc>
          <w:tcPr>
            <w:tcW w:w="1275" w:type="dxa"/>
            <w:tcBorders>
              <w:top w:val="nil"/>
              <w:left w:val="nil"/>
              <w:bottom w:val="nil"/>
              <w:right w:val="nil"/>
            </w:tcBorders>
          </w:tcPr>
          <w:p w14:paraId="4615F354"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1.610</w:t>
            </w:r>
          </w:p>
        </w:tc>
        <w:tc>
          <w:tcPr>
            <w:tcW w:w="1134" w:type="dxa"/>
            <w:tcBorders>
              <w:top w:val="nil"/>
              <w:left w:val="nil"/>
              <w:bottom w:val="nil"/>
              <w:right w:val="nil"/>
            </w:tcBorders>
          </w:tcPr>
          <w:p w14:paraId="5324AD2A"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(1.916)</w:t>
            </w:r>
          </w:p>
        </w:tc>
        <w:tc>
          <w:tcPr>
            <w:tcW w:w="1276" w:type="dxa"/>
            <w:tcBorders>
              <w:top w:val="nil"/>
              <w:left w:val="nil"/>
              <w:bottom w:val="nil"/>
              <w:right w:val="nil"/>
            </w:tcBorders>
          </w:tcPr>
          <w:p w14:paraId="41140152"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2.904*</w:t>
            </w:r>
          </w:p>
        </w:tc>
        <w:tc>
          <w:tcPr>
            <w:tcW w:w="1276" w:type="dxa"/>
            <w:tcBorders>
              <w:top w:val="nil"/>
              <w:left w:val="nil"/>
              <w:bottom w:val="nil"/>
              <w:right w:val="nil"/>
            </w:tcBorders>
          </w:tcPr>
          <w:p w14:paraId="37837132"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(1.313)</w:t>
            </w:r>
          </w:p>
        </w:tc>
      </w:tr>
      <w:tr w:rsidR="00144C0C" w:rsidRPr="00427FC7" w14:paraId="54766EEE" w14:textId="77777777" w:rsidTr="00144C0C">
        <w:trPr>
          <w:gridAfter w:val="1"/>
          <w:wAfter w:w="236" w:type="dxa"/>
          <w:trHeight w:val="207"/>
        </w:trPr>
        <w:tc>
          <w:tcPr>
            <w:tcW w:w="1364" w:type="dxa"/>
            <w:tcBorders>
              <w:top w:val="nil"/>
              <w:left w:val="nil"/>
              <w:bottom w:val="nil"/>
              <w:right w:val="nil"/>
            </w:tcBorders>
          </w:tcPr>
          <w:p w14:paraId="628132CE"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 xml:space="preserve">Home value </w:t>
            </w:r>
          </w:p>
        </w:tc>
        <w:tc>
          <w:tcPr>
            <w:tcW w:w="239" w:type="dxa"/>
            <w:tcBorders>
              <w:top w:val="nil"/>
              <w:left w:val="nil"/>
              <w:bottom w:val="nil"/>
              <w:right w:val="nil"/>
            </w:tcBorders>
          </w:tcPr>
          <w:p w14:paraId="1186FCFA" w14:textId="77777777" w:rsidR="00144C0C" w:rsidRPr="00343D9E" w:rsidRDefault="00144C0C" w:rsidP="00144C0C">
            <w:pPr>
              <w:jc w:val="center"/>
              <w:rPr>
                <w:rFonts w:asciiTheme="minorHAnsi" w:hAnsiTheme="minorHAnsi" w:cstheme="minorHAnsi"/>
                <w:sz w:val="16"/>
                <w:szCs w:val="16"/>
              </w:rPr>
            </w:pPr>
          </w:p>
        </w:tc>
        <w:tc>
          <w:tcPr>
            <w:tcW w:w="1091" w:type="dxa"/>
            <w:tcBorders>
              <w:top w:val="nil"/>
              <w:left w:val="nil"/>
              <w:bottom w:val="nil"/>
              <w:right w:val="nil"/>
            </w:tcBorders>
          </w:tcPr>
          <w:p w14:paraId="02A3CB21"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.090</w:t>
            </w:r>
          </w:p>
        </w:tc>
        <w:tc>
          <w:tcPr>
            <w:tcW w:w="1134" w:type="dxa"/>
            <w:tcBorders>
              <w:top w:val="nil"/>
              <w:left w:val="nil"/>
              <w:bottom w:val="nil"/>
              <w:right w:val="nil"/>
            </w:tcBorders>
          </w:tcPr>
          <w:p w14:paraId="60B46F54"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.085</w:t>
            </w:r>
          </w:p>
        </w:tc>
        <w:tc>
          <w:tcPr>
            <w:tcW w:w="1275" w:type="dxa"/>
            <w:tcBorders>
              <w:top w:val="nil"/>
              <w:left w:val="nil"/>
              <w:bottom w:val="nil"/>
              <w:right w:val="nil"/>
            </w:tcBorders>
          </w:tcPr>
          <w:p w14:paraId="051FC828"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.039</w:t>
            </w:r>
          </w:p>
        </w:tc>
        <w:tc>
          <w:tcPr>
            <w:tcW w:w="1134" w:type="dxa"/>
            <w:tcBorders>
              <w:top w:val="nil"/>
              <w:left w:val="nil"/>
              <w:bottom w:val="nil"/>
              <w:right w:val="nil"/>
            </w:tcBorders>
          </w:tcPr>
          <w:p w14:paraId="2F4E5A75"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(.347)</w:t>
            </w:r>
          </w:p>
        </w:tc>
        <w:tc>
          <w:tcPr>
            <w:tcW w:w="1276" w:type="dxa"/>
            <w:tcBorders>
              <w:top w:val="nil"/>
              <w:left w:val="nil"/>
              <w:bottom w:val="nil"/>
              <w:right w:val="nil"/>
            </w:tcBorders>
          </w:tcPr>
          <w:p w14:paraId="6BF10F9F"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.106</w:t>
            </w:r>
          </w:p>
        </w:tc>
        <w:tc>
          <w:tcPr>
            <w:tcW w:w="1276" w:type="dxa"/>
            <w:tcBorders>
              <w:top w:val="nil"/>
              <w:left w:val="nil"/>
              <w:bottom w:val="nil"/>
              <w:right w:val="nil"/>
            </w:tcBorders>
          </w:tcPr>
          <w:p w14:paraId="19F12DCA"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.207</w:t>
            </w:r>
          </w:p>
        </w:tc>
      </w:tr>
      <w:tr w:rsidR="00144C0C" w:rsidRPr="00427FC7" w14:paraId="5DF9FBC8" w14:textId="77777777" w:rsidTr="00144C0C">
        <w:trPr>
          <w:gridAfter w:val="1"/>
          <w:wAfter w:w="236" w:type="dxa"/>
          <w:trHeight w:val="261"/>
        </w:trPr>
        <w:tc>
          <w:tcPr>
            <w:tcW w:w="1364" w:type="dxa"/>
            <w:tcBorders>
              <w:top w:val="nil"/>
              <w:left w:val="nil"/>
              <w:bottom w:val="nil"/>
              <w:right w:val="nil"/>
            </w:tcBorders>
          </w:tcPr>
          <w:p w14:paraId="5E8A846A"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Place along income distribution</w:t>
            </w:r>
          </w:p>
        </w:tc>
        <w:tc>
          <w:tcPr>
            <w:tcW w:w="239" w:type="dxa"/>
            <w:tcBorders>
              <w:top w:val="nil"/>
              <w:left w:val="nil"/>
              <w:bottom w:val="nil"/>
              <w:right w:val="nil"/>
            </w:tcBorders>
          </w:tcPr>
          <w:p w14:paraId="0306BC31" w14:textId="77777777" w:rsidR="00144C0C" w:rsidRPr="00343D9E" w:rsidRDefault="00144C0C" w:rsidP="00144C0C">
            <w:pPr>
              <w:jc w:val="center"/>
              <w:rPr>
                <w:rFonts w:asciiTheme="minorHAnsi" w:hAnsiTheme="minorHAnsi" w:cstheme="minorHAnsi"/>
                <w:sz w:val="16"/>
                <w:szCs w:val="16"/>
              </w:rPr>
            </w:pPr>
          </w:p>
        </w:tc>
        <w:tc>
          <w:tcPr>
            <w:tcW w:w="1091" w:type="dxa"/>
            <w:tcBorders>
              <w:top w:val="nil"/>
              <w:left w:val="nil"/>
              <w:bottom w:val="nil"/>
              <w:right w:val="nil"/>
            </w:tcBorders>
          </w:tcPr>
          <w:p w14:paraId="346E4392" w14:textId="77777777" w:rsidR="00144C0C" w:rsidRPr="00343D9E" w:rsidRDefault="00144C0C" w:rsidP="00144C0C">
            <w:pPr>
              <w:jc w:val="center"/>
              <w:rPr>
                <w:rFonts w:asciiTheme="minorHAnsi" w:hAnsiTheme="minorHAnsi" w:cstheme="minorHAnsi"/>
                <w:sz w:val="16"/>
                <w:szCs w:val="16"/>
              </w:rPr>
            </w:pPr>
          </w:p>
        </w:tc>
        <w:tc>
          <w:tcPr>
            <w:tcW w:w="1134" w:type="dxa"/>
            <w:tcBorders>
              <w:top w:val="nil"/>
              <w:left w:val="nil"/>
              <w:bottom w:val="nil"/>
              <w:right w:val="nil"/>
            </w:tcBorders>
          </w:tcPr>
          <w:p w14:paraId="0523127C" w14:textId="77777777" w:rsidR="00144C0C" w:rsidRPr="00343D9E" w:rsidRDefault="00144C0C" w:rsidP="00144C0C">
            <w:pPr>
              <w:jc w:val="center"/>
              <w:rPr>
                <w:rFonts w:asciiTheme="minorHAnsi" w:hAnsiTheme="minorHAnsi" w:cstheme="minorHAnsi"/>
                <w:sz w:val="16"/>
                <w:szCs w:val="16"/>
              </w:rPr>
            </w:pPr>
          </w:p>
        </w:tc>
        <w:tc>
          <w:tcPr>
            <w:tcW w:w="1275" w:type="dxa"/>
            <w:tcBorders>
              <w:top w:val="nil"/>
              <w:left w:val="nil"/>
              <w:bottom w:val="nil"/>
              <w:right w:val="nil"/>
            </w:tcBorders>
          </w:tcPr>
          <w:p w14:paraId="2D88CC61"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-.566</w:t>
            </w:r>
          </w:p>
        </w:tc>
        <w:tc>
          <w:tcPr>
            <w:tcW w:w="1134" w:type="dxa"/>
            <w:tcBorders>
              <w:top w:val="nil"/>
              <w:left w:val="nil"/>
              <w:bottom w:val="nil"/>
              <w:right w:val="nil"/>
            </w:tcBorders>
          </w:tcPr>
          <w:p w14:paraId="74157AF4"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(.930)</w:t>
            </w:r>
          </w:p>
        </w:tc>
        <w:tc>
          <w:tcPr>
            <w:tcW w:w="1276" w:type="dxa"/>
            <w:tcBorders>
              <w:top w:val="nil"/>
              <w:left w:val="nil"/>
              <w:bottom w:val="nil"/>
              <w:right w:val="nil"/>
            </w:tcBorders>
          </w:tcPr>
          <w:p w14:paraId="771ADB0C" w14:textId="77777777" w:rsidR="00144C0C" w:rsidRPr="00343D9E" w:rsidRDefault="00144C0C" w:rsidP="00144C0C">
            <w:pPr>
              <w:jc w:val="center"/>
              <w:rPr>
                <w:rFonts w:asciiTheme="minorHAnsi" w:hAnsiTheme="minorHAnsi" w:cstheme="minorHAnsi"/>
                <w:sz w:val="16"/>
                <w:szCs w:val="16"/>
              </w:rPr>
            </w:pPr>
          </w:p>
        </w:tc>
        <w:tc>
          <w:tcPr>
            <w:tcW w:w="1276" w:type="dxa"/>
            <w:tcBorders>
              <w:top w:val="nil"/>
              <w:left w:val="nil"/>
              <w:bottom w:val="nil"/>
              <w:right w:val="nil"/>
            </w:tcBorders>
          </w:tcPr>
          <w:p w14:paraId="5C5257AA" w14:textId="77777777" w:rsidR="00144C0C" w:rsidRPr="00343D9E" w:rsidRDefault="00144C0C" w:rsidP="00144C0C">
            <w:pPr>
              <w:jc w:val="center"/>
              <w:rPr>
                <w:rFonts w:asciiTheme="minorHAnsi" w:hAnsiTheme="minorHAnsi" w:cstheme="minorHAnsi"/>
                <w:sz w:val="16"/>
                <w:szCs w:val="16"/>
              </w:rPr>
            </w:pPr>
          </w:p>
        </w:tc>
      </w:tr>
      <w:tr w:rsidR="00144C0C" w:rsidRPr="00427FC7" w14:paraId="68E0A133" w14:textId="77777777" w:rsidTr="00144C0C">
        <w:trPr>
          <w:gridAfter w:val="1"/>
          <w:wAfter w:w="236" w:type="dxa"/>
          <w:trHeight w:val="146"/>
        </w:trPr>
        <w:tc>
          <w:tcPr>
            <w:tcW w:w="1364" w:type="dxa"/>
            <w:tcBorders>
              <w:top w:val="nil"/>
              <w:left w:val="nil"/>
              <w:bottom w:val="nil"/>
              <w:right w:val="nil"/>
            </w:tcBorders>
          </w:tcPr>
          <w:p w14:paraId="5A3D1E7E"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 xml:space="preserve">Self-rated health </w:t>
            </w:r>
          </w:p>
        </w:tc>
        <w:tc>
          <w:tcPr>
            <w:tcW w:w="239" w:type="dxa"/>
            <w:tcBorders>
              <w:top w:val="nil"/>
              <w:left w:val="nil"/>
              <w:bottom w:val="nil"/>
              <w:right w:val="nil"/>
            </w:tcBorders>
          </w:tcPr>
          <w:p w14:paraId="75C7A4C2" w14:textId="77777777" w:rsidR="00144C0C" w:rsidRPr="00343D9E" w:rsidRDefault="00144C0C" w:rsidP="00144C0C">
            <w:pPr>
              <w:jc w:val="center"/>
              <w:rPr>
                <w:rFonts w:asciiTheme="minorHAnsi" w:hAnsiTheme="minorHAnsi" w:cstheme="minorHAnsi"/>
                <w:sz w:val="16"/>
                <w:szCs w:val="16"/>
              </w:rPr>
            </w:pPr>
          </w:p>
        </w:tc>
        <w:tc>
          <w:tcPr>
            <w:tcW w:w="1091" w:type="dxa"/>
            <w:tcBorders>
              <w:top w:val="nil"/>
              <w:left w:val="nil"/>
              <w:bottom w:val="nil"/>
              <w:right w:val="nil"/>
            </w:tcBorders>
          </w:tcPr>
          <w:p w14:paraId="07089047" w14:textId="77777777" w:rsidR="00144C0C" w:rsidRPr="00343D9E" w:rsidRDefault="00144C0C" w:rsidP="00144C0C">
            <w:pPr>
              <w:jc w:val="center"/>
              <w:rPr>
                <w:rFonts w:asciiTheme="minorHAnsi" w:hAnsiTheme="minorHAnsi" w:cstheme="minorHAnsi"/>
                <w:sz w:val="16"/>
                <w:szCs w:val="16"/>
              </w:rPr>
            </w:pPr>
          </w:p>
        </w:tc>
        <w:tc>
          <w:tcPr>
            <w:tcW w:w="1134" w:type="dxa"/>
            <w:tcBorders>
              <w:top w:val="nil"/>
              <w:left w:val="nil"/>
              <w:bottom w:val="nil"/>
              <w:right w:val="nil"/>
            </w:tcBorders>
          </w:tcPr>
          <w:p w14:paraId="6E93B98C" w14:textId="77777777" w:rsidR="00144C0C" w:rsidRPr="00343D9E" w:rsidRDefault="00144C0C" w:rsidP="00144C0C">
            <w:pPr>
              <w:jc w:val="center"/>
              <w:rPr>
                <w:rFonts w:asciiTheme="minorHAnsi" w:hAnsiTheme="minorHAnsi" w:cstheme="minorHAnsi"/>
                <w:sz w:val="16"/>
                <w:szCs w:val="16"/>
              </w:rPr>
            </w:pPr>
          </w:p>
        </w:tc>
        <w:tc>
          <w:tcPr>
            <w:tcW w:w="1275" w:type="dxa"/>
            <w:tcBorders>
              <w:top w:val="nil"/>
              <w:left w:val="nil"/>
              <w:bottom w:val="nil"/>
              <w:right w:val="nil"/>
            </w:tcBorders>
          </w:tcPr>
          <w:p w14:paraId="3442342F"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.038</w:t>
            </w:r>
          </w:p>
        </w:tc>
        <w:tc>
          <w:tcPr>
            <w:tcW w:w="1134" w:type="dxa"/>
            <w:tcBorders>
              <w:top w:val="nil"/>
              <w:left w:val="nil"/>
              <w:bottom w:val="nil"/>
              <w:right w:val="nil"/>
            </w:tcBorders>
          </w:tcPr>
          <w:p w14:paraId="6AD8C085"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(.892)</w:t>
            </w:r>
          </w:p>
        </w:tc>
        <w:tc>
          <w:tcPr>
            <w:tcW w:w="1276" w:type="dxa"/>
            <w:tcBorders>
              <w:top w:val="nil"/>
              <w:left w:val="nil"/>
              <w:bottom w:val="nil"/>
              <w:right w:val="nil"/>
            </w:tcBorders>
          </w:tcPr>
          <w:p w14:paraId="185E992B"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.522</w:t>
            </w:r>
          </w:p>
        </w:tc>
        <w:tc>
          <w:tcPr>
            <w:tcW w:w="1276" w:type="dxa"/>
            <w:tcBorders>
              <w:top w:val="nil"/>
              <w:left w:val="nil"/>
              <w:bottom w:val="nil"/>
              <w:right w:val="nil"/>
            </w:tcBorders>
          </w:tcPr>
          <w:p w14:paraId="0026BB00"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(.533)</w:t>
            </w:r>
          </w:p>
        </w:tc>
      </w:tr>
      <w:tr w:rsidR="00144C0C" w:rsidRPr="00427FC7" w14:paraId="3140FF7A" w14:textId="77777777" w:rsidTr="00144C0C">
        <w:trPr>
          <w:gridAfter w:val="1"/>
          <w:wAfter w:w="236" w:type="dxa"/>
          <w:trHeight w:val="107"/>
        </w:trPr>
        <w:tc>
          <w:tcPr>
            <w:tcW w:w="1364" w:type="dxa"/>
            <w:tcBorders>
              <w:top w:val="nil"/>
              <w:left w:val="nil"/>
              <w:bottom w:val="nil"/>
              <w:right w:val="nil"/>
            </w:tcBorders>
          </w:tcPr>
          <w:p w14:paraId="0C951632"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Financial security</w:t>
            </w:r>
          </w:p>
        </w:tc>
        <w:tc>
          <w:tcPr>
            <w:tcW w:w="239" w:type="dxa"/>
            <w:tcBorders>
              <w:top w:val="nil"/>
              <w:left w:val="nil"/>
              <w:bottom w:val="nil"/>
              <w:right w:val="nil"/>
            </w:tcBorders>
          </w:tcPr>
          <w:p w14:paraId="4E8136E8" w14:textId="77777777" w:rsidR="00144C0C" w:rsidRPr="00343D9E" w:rsidRDefault="00144C0C" w:rsidP="00144C0C">
            <w:pPr>
              <w:jc w:val="center"/>
              <w:rPr>
                <w:rFonts w:asciiTheme="minorHAnsi" w:hAnsiTheme="minorHAnsi" w:cstheme="minorHAnsi"/>
                <w:sz w:val="16"/>
                <w:szCs w:val="16"/>
              </w:rPr>
            </w:pPr>
          </w:p>
        </w:tc>
        <w:tc>
          <w:tcPr>
            <w:tcW w:w="1091" w:type="dxa"/>
            <w:tcBorders>
              <w:top w:val="nil"/>
              <w:left w:val="nil"/>
              <w:bottom w:val="nil"/>
              <w:right w:val="nil"/>
            </w:tcBorders>
          </w:tcPr>
          <w:p w14:paraId="4E244BB4" w14:textId="77777777" w:rsidR="00144C0C" w:rsidRPr="00343D9E" w:rsidRDefault="00144C0C" w:rsidP="00144C0C">
            <w:pPr>
              <w:jc w:val="center"/>
              <w:rPr>
                <w:rFonts w:asciiTheme="minorHAnsi" w:hAnsiTheme="minorHAnsi" w:cstheme="minorHAnsi"/>
                <w:sz w:val="16"/>
                <w:szCs w:val="16"/>
              </w:rPr>
            </w:pPr>
          </w:p>
        </w:tc>
        <w:tc>
          <w:tcPr>
            <w:tcW w:w="1134" w:type="dxa"/>
            <w:tcBorders>
              <w:top w:val="nil"/>
              <w:left w:val="nil"/>
              <w:bottom w:val="nil"/>
              <w:right w:val="nil"/>
            </w:tcBorders>
          </w:tcPr>
          <w:p w14:paraId="61792808" w14:textId="77777777" w:rsidR="00144C0C" w:rsidRPr="00343D9E" w:rsidRDefault="00144C0C" w:rsidP="00144C0C">
            <w:pPr>
              <w:jc w:val="center"/>
              <w:rPr>
                <w:rFonts w:asciiTheme="minorHAnsi" w:hAnsiTheme="minorHAnsi" w:cstheme="minorHAnsi"/>
                <w:sz w:val="16"/>
                <w:szCs w:val="16"/>
              </w:rPr>
            </w:pPr>
          </w:p>
        </w:tc>
        <w:tc>
          <w:tcPr>
            <w:tcW w:w="1275" w:type="dxa"/>
            <w:tcBorders>
              <w:top w:val="nil"/>
              <w:left w:val="nil"/>
              <w:bottom w:val="nil"/>
              <w:right w:val="nil"/>
            </w:tcBorders>
          </w:tcPr>
          <w:p w14:paraId="0001AD7A"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.451</w:t>
            </w:r>
          </w:p>
        </w:tc>
        <w:tc>
          <w:tcPr>
            <w:tcW w:w="1134" w:type="dxa"/>
            <w:tcBorders>
              <w:top w:val="nil"/>
              <w:left w:val="nil"/>
              <w:bottom w:val="nil"/>
              <w:right w:val="nil"/>
            </w:tcBorders>
          </w:tcPr>
          <w:p w14:paraId="5B68CA61"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(.351)</w:t>
            </w:r>
          </w:p>
        </w:tc>
        <w:tc>
          <w:tcPr>
            <w:tcW w:w="1276" w:type="dxa"/>
            <w:tcBorders>
              <w:top w:val="nil"/>
              <w:left w:val="nil"/>
              <w:bottom w:val="nil"/>
              <w:right w:val="nil"/>
            </w:tcBorders>
          </w:tcPr>
          <w:p w14:paraId="5E28D9C2" w14:textId="77777777" w:rsidR="00144C0C" w:rsidRPr="00343D9E" w:rsidRDefault="00144C0C" w:rsidP="00144C0C">
            <w:pPr>
              <w:jc w:val="center"/>
              <w:rPr>
                <w:rFonts w:asciiTheme="minorHAnsi" w:hAnsiTheme="minorHAnsi" w:cstheme="minorHAnsi"/>
                <w:sz w:val="16"/>
                <w:szCs w:val="16"/>
              </w:rPr>
            </w:pPr>
          </w:p>
        </w:tc>
        <w:tc>
          <w:tcPr>
            <w:tcW w:w="1276" w:type="dxa"/>
            <w:tcBorders>
              <w:top w:val="nil"/>
              <w:left w:val="nil"/>
              <w:bottom w:val="nil"/>
              <w:right w:val="nil"/>
            </w:tcBorders>
          </w:tcPr>
          <w:p w14:paraId="6036CC1B" w14:textId="77777777" w:rsidR="00144C0C" w:rsidRPr="00343D9E" w:rsidRDefault="00144C0C" w:rsidP="00144C0C">
            <w:pPr>
              <w:jc w:val="center"/>
              <w:rPr>
                <w:rFonts w:asciiTheme="minorHAnsi" w:hAnsiTheme="minorHAnsi" w:cstheme="minorHAnsi"/>
                <w:sz w:val="16"/>
                <w:szCs w:val="16"/>
              </w:rPr>
            </w:pPr>
          </w:p>
        </w:tc>
      </w:tr>
      <w:tr w:rsidR="00144C0C" w:rsidRPr="00427FC7" w14:paraId="50F8CBD9" w14:textId="77777777" w:rsidTr="00144C0C">
        <w:trPr>
          <w:gridAfter w:val="1"/>
          <w:wAfter w:w="236" w:type="dxa"/>
          <w:trHeight w:val="261"/>
        </w:trPr>
        <w:tc>
          <w:tcPr>
            <w:tcW w:w="1364" w:type="dxa"/>
            <w:tcBorders>
              <w:top w:val="nil"/>
              <w:left w:val="nil"/>
              <w:bottom w:val="nil"/>
              <w:right w:val="nil"/>
            </w:tcBorders>
          </w:tcPr>
          <w:p w14:paraId="2595B2BB"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Income inequality</w:t>
            </w:r>
          </w:p>
        </w:tc>
        <w:tc>
          <w:tcPr>
            <w:tcW w:w="239" w:type="dxa"/>
            <w:tcBorders>
              <w:top w:val="nil"/>
              <w:left w:val="nil"/>
              <w:bottom w:val="nil"/>
              <w:right w:val="nil"/>
            </w:tcBorders>
          </w:tcPr>
          <w:p w14:paraId="7AF66761" w14:textId="77777777" w:rsidR="00144C0C" w:rsidRPr="00343D9E" w:rsidRDefault="00144C0C" w:rsidP="00144C0C">
            <w:pPr>
              <w:jc w:val="center"/>
              <w:rPr>
                <w:rFonts w:asciiTheme="minorHAnsi" w:hAnsiTheme="minorHAnsi" w:cstheme="minorHAnsi"/>
                <w:sz w:val="16"/>
                <w:szCs w:val="16"/>
              </w:rPr>
            </w:pPr>
          </w:p>
        </w:tc>
        <w:tc>
          <w:tcPr>
            <w:tcW w:w="1091" w:type="dxa"/>
            <w:tcBorders>
              <w:top w:val="nil"/>
              <w:left w:val="nil"/>
              <w:bottom w:val="nil"/>
              <w:right w:val="nil"/>
            </w:tcBorders>
          </w:tcPr>
          <w:p w14:paraId="59E8DDF6"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.280</w:t>
            </w:r>
          </w:p>
        </w:tc>
        <w:tc>
          <w:tcPr>
            <w:tcW w:w="1134" w:type="dxa"/>
            <w:tcBorders>
              <w:top w:val="nil"/>
              <w:left w:val="nil"/>
              <w:bottom w:val="nil"/>
              <w:right w:val="nil"/>
            </w:tcBorders>
          </w:tcPr>
          <w:p w14:paraId="55980B98"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(.165)</w:t>
            </w:r>
          </w:p>
        </w:tc>
        <w:tc>
          <w:tcPr>
            <w:tcW w:w="1275" w:type="dxa"/>
            <w:tcBorders>
              <w:top w:val="nil"/>
              <w:left w:val="nil"/>
              <w:bottom w:val="nil"/>
              <w:right w:val="nil"/>
            </w:tcBorders>
          </w:tcPr>
          <w:p w14:paraId="4501AF45"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.048</w:t>
            </w:r>
          </w:p>
        </w:tc>
        <w:tc>
          <w:tcPr>
            <w:tcW w:w="1134" w:type="dxa"/>
            <w:tcBorders>
              <w:top w:val="nil"/>
              <w:left w:val="nil"/>
              <w:bottom w:val="nil"/>
              <w:right w:val="nil"/>
            </w:tcBorders>
          </w:tcPr>
          <w:p w14:paraId="6CADB6DE"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(.201)</w:t>
            </w:r>
          </w:p>
        </w:tc>
        <w:tc>
          <w:tcPr>
            <w:tcW w:w="1276" w:type="dxa"/>
            <w:tcBorders>
              <w:top w:val="nil"/>
              <w:left w:val="nil"/>
              <w:bottom w:val="nil"/>
              <w:right w:val="nil"/>
            </w:tcBorders>
          </w:tcPr>
          <w:p w14:paraId="5F4D4374"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-.007</w:t>
            </w:r>
          </w:p>
        </w:tc>
        <w:tc>
          <w:tcPr>
            <w:tcW w:w="1276" w:type="dxa"/>
            <w:tcBorders>
              <w:top w:val="nil"/>
              <w:left w:val="nil"/>
              <w:bottom w:val="nil"/>
              <w:right w:val="nil"/>
            </w:tcBorders>
          </w:tcPr>
          <w:p w14:paraId="3221AD0E"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(.134)</w:t>
            </w:r>
          </w:p>
        </w:tc>
      </w:tr>
      <w:tr w:rsidR="00144C0C" w:rsidRPr="00427FC7" w14:paraId="191AFD25" w14:textId="77777777" w:rsidTr="00144C0C">
        <w:trPr>
          <w:gridAfter w:val="1"/>
          <w:wAfter w:w="236" w:type="dxa"/>
          <w:trHeight w:val="261"/>
        </w:trPr>
        <w:tc>
          <w:tcPr>
            <w:tcW w:w="1364" w:type="dxa"/>
            <w:tcBorders>
              <w:top w:val="nil"/>
              <w:left w:val="nil"/>
              <w:bottom w:val="nil"/>
              <w:right w:val="nil"/>
            </w:tcBorders>
          </w:tcPr>
          <w:p w14:paraId="73B134E5" w14:textId="77777777" w:rsidR="00144C0C" w:rsidRPr="00343D9E" w:rsidRDefault="00144C0C" w:rsidP="00144C0C">
            <w:pPr>
              <w:jc w:val="center"/>
              <w:rPr>
                <w:rFonts w:asciiTheme="minorHAnsi" w:hAnsiTheme="minorHAnsi" w:cstheme="minorHAnsi"/>
                <w:sz w:val="16"/>
                <w:szCs w:val="16"/>
                <w:lang w:val="en-US"/>
              </w:rPr>
            </w:pPr>
          </w:p>
        </w:tc>
        <w:tc>
          <w:tcPr>
            <w:tcW w:w="239" w:type="dxa"/>
            <w:tcBorders>
              <w:top w:val="nil"/>
              <w:left w:val="nil"/>
              <w:bottom w:val="nil"/>
              <w:right w:val="nil"/>
            </w:tcBorders>
          </w:tcPr>
          <w:p w14:paraId="70473910" w14:textId="77777777" w:rsidR="00144C0C" w:rsidRPr="00343D9E" w:rsidRDefault="00144C0C" w:rsidP="00144C0C">
            <w:pPr>
              <w:jc w:val="center"/>
              <w:rPr>
                <w:rFonts w:asciiTheme="minorHAnsi" w:hAnsiTheme="minorHAnsi" w:cstheme="minorHAnsi"/>
                <w:sz w:val="16"/>
                <w:szCs w:val="16"/>
              </w:rPr>
            </w:pPr>
          </w:p>
        </w:tc>
        <w:tc>
          <w:tcPr>
            <w:tcW w:w="1091" w:type="dxa"/>
            <w:tcBorders>
              <w:top w:val="nil"/>
              <w:left w:val="nil"/>
              <w:bottom w:val="nil"/>
              <w:right w:val="nil"/>
            </w:tcBorders>
          </w:tcPr>
          <w:p w14:paraId="77650F06" w14:textId="77777777" w:rsidR="00144C0C" w:rsidRPr="00343D9E" w:rsidRDefault="00144C0C" w:rsidP="00144C0C">
            <w:pPr>
              <w:jc w:val="center"/>
              <w:rPr>
                <w:rFonts w:asciiTheme="minorHAnsi" w:hAnsiTheme="minorHAnsi" w:cstheme="minorHAnsi"/>
                <w:sz w:val="16"/>
                <w:szCs w:val="16"/>
              </w:rPr>
            </w:pPr>
          </w:p>
        </w:tc>
        <w:tc>
          <w:tcPr>
            <w:tcW w:w="1134" w:type="dxa"/>
            <w:tcBorders>
              <w:top w:val="nil"/>
              <w:left w:val="nil"/>
              <w:bottom w:val="nil"/>
              <w:right w:val="nil"/>
            </w:tcBorders>
          </w:tcPr>
          <w:p w14:paraId="7AFE4EE4" w14:textId="77777777" w:rsidR="00144C0C" w:rsidRPr="00343D9E" w:rsidRDefault="00144C0C" w:rsidP="00144C0C">
            <w:pPr>
              <w:jc w:val="center"/>
              <w:rPr>
                <w:rFonts w:asciiTheme="minorHAnsi" w:hAnsiTheme="minorHAnsi" w:cstheme="minorHAnsi"/>
                <w:sz w:val="16"/>
                <w:szCs w:val="16"/>
              </w:rPr>
            </w:pPr>
          </w:p>
        </w:tc>
        <w:tc>
          <w:tcPr>
            <w:tcW w:w="1275" w:type="dxa"/>
            <w:tcBorders>
              <w:top w:val="nil"/>
              <w:left w:val="nil"/>
              <w:bottom w:val="nil"/>
              <w:right w:val="nil"/>
            </w:tcBorders>
          </w:tcPr>
          <w:p w14:paraId="09256875" w14:textId="77777777" w:rsidR="00144C0C" w:rsidRPr="00343D9E" w:rsidRDefault="00144C0C" w:rsidP="00144C0C">
            <w:pPr>
              <w:jc w:val="center"/>
              <w:rPr>
                <w:rFonts w:asciiTheme="minorHAnsi" w:hAnsiTheme="minorHAnsi" w:cstheme="minorHAnsi"/>
                <w:sz w:val="16"/>
                <w:szCs w:val="16"/>
              </w:rPr>
            </w:pPr>
          </w:p>
        </w:tc>
        <w:tc>
          <w:tcPr>
            <w:tcW w:w="1134" w:type="dxa"/>
            <w:tcBorders>
              <w:top w:val="nil"/>
              <w:left w:val="nil"/>
              <w:bottom w:val="nil"/>
              <w:right w:val="nil"/>
            </w:tcBorders>
          </w:tcPr>
          <w:p w14:paraId="7B250C12"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(.533)</w:t>
            </w:r>
          </w:p>
        </w:tc>
        <w:tc>
          <w:tcPr>
            <w:tcW w:w="1276" w:type="dxa"/>
            <w:tcBorders>
              <w:top w:val="nil"/>
              <w:left w:val="nil"/>
              <w:bottom w:val="nil"/>
              <w:right w:val="nil"/>
            </w:tcBorders>
          </w:tcPr>
          <w:p w14:paraId="574CF7E3" w14:textId="77777777" w:rsidR="00144C0C" w:rsidRPr="00343D9E" w:rsidRDefault="00144C0C" w:rsidP="00144C0C">
            <w:pPr>
              <w:jc w:val="center"/>
              <w:rPr>
                <w:rFonts w:asciiTheme="minorHAnsi" w:hAnsiTheme="minorHAnsi" w:cstheme="minorHAnsi"/>
                <w:sz w:val="16"/>
                <w:szCs w:val="16"/>
              </w:rPr>
            </w:pPr>
          </w:p>
        </w:tc>
        <w:tc>
          <w:tcPr>
            <w:tcW w:w="1276" w:type="dxa"/>
            <w:tcBorders>
              <w:top w:val="nil"/>
              <w:left w:val="nil"/>
              <w:bottom w:val="nil"/>
              <w:right w:val="nil"/>
            </w:tcBorders>
          </w:tcPr>
          <w:p w14:paraId="3ECEA84A" w14:textId="77777777" w:rsidR="00144C0C" w:rsidRPr="00343D9E" w:rsidRDefault="00144C0C" w:rsidP="00144C0C">
            <w:pPr>
              <w:jc w:val="center"/>
              <w:rPr>
                <w:rFonts w:asciiTheme="minorHAnsi" w:hAnsiTheme="minorHAnsi" w:cstheme="minorHAnsi"/>
                <w:sz w:val="16"/>
                <w:szCs w:val="16"/>
              </w:rPr>
            </w:pPr>
          </w:p>
        </w:tc>
      </w:tr>
      <w:tr w:rsidR="00144C0C" w:rsidRPr="00427FC7" w14:paraId="2352BF0F" w14:textId="77777777" w:rsidTr="00144C0C">
        <w:trPr>
          <w:gridAfter w:val="1"/>
          <w:wAfter w:w="236" w:type="dxa"/>
          <w:trHeight w:val="261"/>
        </w:trPr>
        <w:tc>
          <w:tcPr>
            <w:tcW w:w="1364" w:type="dxa"/>
            <w:tcBorders>
              <w:top w:val="nil"/>
              <w:left w:val="nil"/>
              <w:bottom w:val="nil"/>
              <w:right w:val="nil"/>
            </w:tcBorders>
          </w:tcPr>
          <w:p w14:paraId="3B6E3B40"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Percentage nonwestern migrants</w:t>
            </w:r>
          </w:p>
        </w:tc>
        <w:tc>
          <w:tcPr>
            <w:tcW w:w="239" w:type="dxa"/>
            <w:tcBorders>
              <w:top w:val="nil"/>
              <w:left w:val="nil"/>
              <w:bottom w:val="nil"/>
              <w:right w:val="nil"/>
            </w:tcBorders>
          </w:tcPr>
          <w:p w14:paraId="0EE3D2AE" w14:textId="77777777" w:rsidR="00144C0C" w:rsidRPr="00343D9E" w:rsidRDefault="00144C0C" w:rsidP="00144C0C">
            <w:pPr>
              <w:jc w:val="center"/>
              <w:rPr>
                <w:rFonts w:asciiTheme="minorHAnsi" w:hAnsiTheme="minorHAnsi" w:cstheme="minorHAnsi"/>
                <w:sz w:val="16"/>
                <w:szCs w:val="16"/>
              </w:rPr>
            </w:pPr>
          </w:p>
        </w:tc>
        <w:tc>
          <w:tcPr>
            <w:tcW w:w="1091" w:type="dxa"/>
            <w:tcBorders>
              <w:top w:val="nil"/>
              <w:left w:val="nil"/>
              <w:bottom w:val="nil"/>
              <w:right w:val="nil"/>
            </w:tcBorders>
          </w:tcPr>
          <w:p w14:paraId="55161B2D"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.658</w:t>
            </w:r>
          </w:p>
        </w:tc>
        <w:tc>
          <w:tcPr>
            <w:tcW w:w="1134" w:type="dxa"/>
            <w:tcBorders>
              <w:top w:val="nil"/>
              <w:left w:val="nil"/>
              <w:bottom w:val="nil"/>
              <w:right w:val="nil"/>
            </w:tcBorders>
          </w:tcPr>
          <w:p w14:paraId="4C1D6F81"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(.656)</w:t>
            </w:r>
          </w:p>
        </w:tc>
        <w:tc>
          <w:tcPr>
            <w:tcW w:w="1275" w:type="dxa"/>
            <w:tcBorders>
              <w:top w:val="nil"/>
              <w:left w:val="nil"/>
              <w:bottom w:val="nil"/>
              <w:right w:val="nil"/>
            </w:tcBorders>
          </w:tcPr>
          <w:p w14:paraId="204B7FC2"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-.303</w:t>
            </w:r>
          </w:p>
        </w:tc>
        <w:tc>
          <w:tcPr>
            <w:tcW w:w="1134" w:type="dxa"/>
            <w:tcBorders>
              <w:top w:val="nil"/>
              <w:left w:val="nil"/>
              <w:bottom w:val="nil"/>
              <w:right w:val="nil"/>
            </w:tcBorders>
          </w:tcPr>
          <w:p w14:paraId="0B70EB6E"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(.484)</w:t>
            </w:r>
          </w:p>
        </w:tc>
        <w:tc>
          <w:tcPr>
            <w:tcW w:w="1276" w:type="dxa"/>
            <w:tcBorders>
              <w:top w:val="nil"/>
              <w:left w:val="nil"/>
              <w:bottom w:val="nil"/>
              <w:right w:val="nil"/>
            </w:tcBorders>
          </w:tcPr>
          <w:p w14:paraId="0604860C"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.146</w:t>
            </w:r>
          </w:p>
        </w:tc>
        <w:tc>
          <w:tcPr>
            <w:tcW w:w="1276" w:type="dxa"/>
            <w:tcBorders>
              <w:top w:val="nil"/>
              <w:left w:val="nil"/>
              <w:bottom w:val="nil"/>
              <w:right w:val="nil"/>
            </w:tcBorders>
          </w:tcPr>
          <w:p w14:paraId="76973ED7"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(.210)</w:t>
            </w:r>
          </w:p>
        </w:tc>
      </w:tr>
      <w:tr w:rsidR="00144C0C" w:rsidRPr="00427FC7" w14:paraId="55824EB5" w14:textId="77777777" w:rsidTr="00144C0C">
        <w:trPr>
          <w:gridAfter w:val="1"/>
          <w:wAfter w:w="236" w:type="dxa"/>
          <w:trHeight w:val="261"/>
        </w:trPr>
        <w:tc>
          <w:tcPr>
            <w:tcW w:w="1364" w:type="dxa"/>
            <w:tcBorders>
              <w:top w:val="nil"/>
              <w:left w:val="nil"/>
              <w:bottom w:val="nil"/>
              <w:right w:val="nil"/>
            </w:tcBorders>
          </w:tcPr>
          <w:p w14:paraId="38786D27"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Average municipal education</w:t>
            </w:r>
          </w:p>
        </w:tc>
        <w:tc>
          <w:tcPr>
            <w:tcW w:w="239" w:type="dxa"/>
            <w:tcBorders>
              <w:top w:val="nil"/>
              <w:left w:val="nil"/>
              <w:bottom w:val="nil"/>
              <w:right w:val="nil"/>
            </w:tcBorders>
          </w:tcPr>
          <w:p w14:paraId="7F004EAD" w14:textId="77777777" w:rsidR="00144C0C" w:rsidRPr="00343D9E" w:rsidRDefault="00144C0C" w:rsidP="00144C0C">
            <w:pPr>
              <w:jc w:val="center"/>
              <w:rPr>
                <w:rFonts w:asciiTheme="minorHAnsi" w:hAnsiTheme="minorHAnsi" w:cstheme="minorHAnsi"/>
                <w:sz w:val="16"/>
                <w:szCs w:val="16"/>
              </w:rPr>
            </w:pPr>
          </w:p>
        </w:tc>
        <w:tc>
          <w:tcPr>
            <w:tcW w:w="1091" w:type="dxa"/>
            <w:tcBorders>
              <w:top w:val="nil"/>
              <w:left w:val="nil"/>
              <w:bottom w:val="nil"/>
              <w:right w:val="nil"/>
            </w:tcBorders>
          </w:tcPr>
          <w:p w14:paraId="49D73710"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-2.851</w:t>
            </w:r>
          </w:p>
        </w:tc>
        <w:tc>
          <w:tcPr>
            <w:tcW w:w="1134" w:type="dxa"/>
            <w:tcBorders>
              <w:top w:val="nil"/>
              <w:left w:val="nil"/>
              <w:bottom w:val="nil"/>
              <w:right w:val="nil"/>
            </w:tcBorders>
          </w:tcPr>
          <w:p w14:paraId="60683029"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(5.813)</w:t>
            </w:r>
          </w:p>
        </w:tc>
        <w:tc>
          <w:tcPr>
            <w:tcW w:w="1275" w:type="dxa"/>
            <w:tcBorders>
              <w:top w:val="nil"/>
              <w:left w:val="nil"/>
              <w:bottom w:val="nil"/>
              <w:right w:val="nil"/>
            </w:tcBorders>
          </w:tcPr>
          <w:p w14:paraId="180C7C73"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-5.225</w:t>
            </w:r>
          </w:p>
        </w:tc>
        <w:tc>
          <w:tcPr>
            <w:tcW w:w="1134" w:type="dxa"/>
            <w:tcBorders>
              <w:top w:val="nil"/>
              <w:left w:val="nil"/>
              <w:bottom w:val="nil"/>
              <w:right w:val="nil"/>
            </w:tcBorders>
          </w:tcPr>
          <w:p w14:paraId="320EFC4E"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(5.566)</w:t>
            </w:r>
          </w:p>
        </w:tc>
        <w:tc>
          <w:tcPr>
            <w:tcW w:w="1276" w:type="dxa"/>
            <w:tcBorders>
              <w:top w:val="nil"/>
              <w:left w:val="nil"/>
              <w:bottom w:val="nil"/>
              <w:right w:val="nil"/>
            </w:tcBorders>
          </w:tcPr>
          <w:p w14:paraId="03F1FC7B"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-2.523</w:t>
            </w:r>
          </w:p>
        </w:tc>
        <w:tc>
          <w:tcPr>
            <w:tcW w:w="1276" w:type="dxa"/>
            <w:tcBorders>
              <w:top w:val="nil"/>
              <w:left w:val="nil"/>
              <w:bottom w:val="nil"/>
              <w:right w:val="nil"/>
            </w:tcBorders>
          </w:tcPr>
          <w:p w14:paraId="756F9A60"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(3.678)</w:t>
            </w:r>
          </w:p>
        </w:tc>
      </w:tr>
      <w:tr w:rsidR="00144C0C" w:rsidRPr="00427FC7" w14:paraId="5782E2E7" w14:textId="77777777" w:rsidTr="00144C0C">
        <w:trPr>
          <w:gridAfter w:val="1"/>
          <w:wAfter w:w="236" w:type="dxa"/>
          <w:trHeight w:val="159"/>
        </w:trPr>
        <w:tc>
          <w:tcPr>
            <w:tcW w:w="1364" w:type="dxa"/>
            <w:tcBorders>
              <w:top w:val="nil"/>
              <w:left w:val="nil"/>
              <w:bottom w:val="nil"/>
              <w:right w:val="nil"/>
            </w:tcBorders>
          </w:tcPr>
          <w:p w14:paraId="03125D16"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Community Size</w:t>
            </w:r>
          </w:p>
        </w:tc>
        <w:tc>
          <w:tcPr>
            <w:tcW w:w="239" w:type="dxa"/>
            <w:tcBorders>
              <w:top w:val="nil"/>
              <w:left w:val="nil"/>
              <w:bottom w:val="nil"/>
              <w:right w:val="nil"/>
            </w:tcBorders>
          </w:tcPr>
          <w:p w14:paraId="7289B49C" w14:textId="77777777" w:rsidR="00144C0C" w:rsidRPr="00343D9E" w:rsidRDefault="00144C0C" w:rsidP="00144C0C">
            <w:pPr>
              <w:jc w:val="center"/>
              <w:rPr>
                <w:rFonts w:asciiTheme="minorHAnsi" w:hAnsiTheme="minorHAnsi" w:cstheme="minorHAnsi"/>
                <w:sz w:val="16"/>
                <w:szCs w:val="16"/>
              </w:rPr>
            </w:pPr>
          </w:p>
        </w:tc>
        <w:tc>
          <w:tcPr>
            <w:tcW w:w="1091" w:type="dxa"/>
            <w:tcBorders>
              <w:top w:val="nil"/>
              <w:left w:val="nil"/>
              <w:bottom w:val="nil"/>
              <w:right w:val="nil"/>
            </w:tcBorders>
          </w:tcPr>
          <w:p w14:paraId="27E2B78B" w14:textId="77777777" w:rsidR="00144C0C" w:rsidRPr="00343D9E" w:rsidRDefault="00144C0C" w:rsidP="00144C0C">
            <w:pPr>
              <w:jc w:val="center"/>
              <w:rPr>
                <w:rFonts w:asciiTheme="minorHAnsi" w:hAnsiTheme="minorHAnsi" w:cstheme="minorHAnsi"/>
                <w:sz w:val="16"/>
                <w:szCs w:val="16"/>
              </w:rPr>
            </w:pPr>
          </w:p>
        </w:tc>
        <w:tc>
          <w:tcPr>
            <w:tcW w:w="1134" w:type="dxa"/>
            <w:tcBorders>
              <w:top w:val="nil"/>
              <w:left w:val="nil"/>
              <w:bottom w:val="nil"/>
              <w:right w:val="nil"/>
            </w:tcBorders>
          </w:tcPr>
          <w:p w14:paraId="3FA80512" w14:textId="77777777" w:rsidR="00144C0C" w:rsidRPr="00343D9E" w:rsidRDefault="00144C0C" w:rsidP="00144C0C">
            <w:pPr>
              <w:jc w:val="center"/>
              <w:rPr>
                <w:rFonts w:asciiTheme="minorHAnsi" w:hAnsiTheme="minorHAnsi" w:cstheme="minorHAnsi"/>
                <w:sz w:val="16"/>
                <w:szCs w:val="16"/>
              </w:rPr>
            </w:pPr>
          </w:p>
        </w:tc>
        <w:tc>
          <w:tcPr>
            <w:tcW w:w="1275" w:type="dxa"/>
            <w:tcBorders>
              <w:top w:val="nil"/>
              <w:left w:val="nil"/>
              <w:bottom w:val="nil"/>
              <w:right w:val="nil"/>
            </w:tcBorders>
          </w:tcPr>
          <w:p w14:paraId="2BD75882"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1.603</w:t>
            </w:r>
          </w:p>
        </w:tc>
        <w:tc>
          <w:tcPr>
            <w:tcW w:w="1134" w:type="dxa"/>
            <w:tcBorders>
              <w:top w:val="nil"/>
              <w:left w:val="nil"/>
              <w:bottom w:val="nil"/>
              <w:right w:val="nil"/>
            </w:tcBorders>
          </w:tcPr>
          <w:p w14:paraId="7F6B4C50"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(2.180)</w:t>
            </w:r>
          </w:p>
        </w:tc>
        <w:tc>
          <w:tcPr>
            <w:tcW w:w="1276" w:type="dxa"/>
            <w:tcBorders>
              <w:top w:val="nil"/>
              <w:left w:val="nil"/>
              <w:bottom w:val="nil"/>
              <w:right w:val="nil"/>
            </w:tcBorders>
          </w:tcPr>
          <w:p w14:paraId="525B9824" w14:textId="77777777" w:rsidR="00144C0C" w:rsidRPr="00343D9E" w:rsidRDefault="00144C0C" w:rsidP="00144C0C">
            <w:pPr>
              <w:jc w:val="center"/>
              <w:rPr>
                <w:rFonts w:asciiTheme="minorHAnsi" w:hAnsiTheme="minorHAnsi" w:cstheme="minorHAnsi"/>
                <w:sz w:val="16"/>
                <w:szCs w:val="16"/>
              </w:rPr>
            </w:pPr>
          </w:p>
        </w:tc>
        <w:tc>
          <w:tcPr>
            <w:tcW w:w="1276" w:type="dxa"/>
            <w:tcBorders>
              <w:top w:val="nil"/>
              <w:left w:val="nil"/>
              <w:bottom w:val="nil"/>
              <w:right w:val="nil"/>
            </w:tcBorders>
          </w:tcPr>
          <w:p w14:paraId="1EE87951" w14:textId="77777777" w:rsidR="00144C0C" w:rsidRPr="00343D9E" w:rsidRDefault="00144C0C" w:rsidP="00144C0C">
            <w:pPr>
              <w:jc w:val="center"/>
              <w:rPr>
                <w:rFonts w:asciiTheme="minorHAnsi" w:hAnsiTheme="minorHAnsi" w:cstheme="minorHAnsi"/>
                <w:sz w:val="16"/>
                <w:szCs w:val="16"/>
              </w:rPr>
            </w:pPr>
          </w:p>
        </w:tc>
      </w:tr>
      <w:tr w:rsidR="00144C0C" w:rsidRPr="00427FC7" w14:paraId="687CEF37" w14:textId="77777777" w:rsidTr="00144C0C">
        <w:trPr>
          <w:gridAfter w:val="1"/>
          <w:wAfter w:w="236" w:type="dxa"/>
          <w:trHeight w:val="261"/>
        </w:trPr>
        <w:tc>
          <w:tcPr>
            <w:tcW w:w="1364" w:type="dxa"/>
            <w:tcBorders>
              <w:top w:val="nil"/>
              <w:left w:val="nil"/>
              <w:bottom w:val="nil"/>
              <w:right w:val="nil"/>
            </w:tcBorders>
          </w:tcPr>
          <w:p w14:paraId="5347A6E3"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Average municipal housing value</w:t>
            </w:r>
          </w:p>
        </w:tc>
        <w:tc>
          <w:tcPr>
            <w:tcW w:w="239" w:type="dxa"/>
            <w:tcBorders>
              <w:top w:val="nil"/>
              <w:left w:val="nil"/>
              <w:bottom w:val="nil"/>
              <w:right w:val="nil"/>
            </w:tcBorders>
          </w:tcPr>
          <w:p w14:paraId="7EDA2CAD" w14:textId="77777777" w:rsidR="00144C0C" w:rsidRPr="00343D9E" w:rsidRDefault="00144C0C" w:rsidP="00144C0C">
            <w:pPr>
              <w:jc w:val="center"/>
              <w:rPr>
                <w:rFonts w:asciiTheme="minorHAnsi" w:hAnsiTheme="minorHAnsi" w:cstheme="minorHAnsi"/>
                <w:sz w:val="16"/>
                <w:szCs w:val="16"/>
              </w:rPr>
            </w:pPr>
          </w:p>
        </w:tc>
        <w:tc>
          <w:tcPr>
            <w:tcW w:w="1091" w:type="dxa"/>
            <w:tcBorders>
              <w:top w:val="nil"/>
              <w:left w:val="nil"/>
              <w:bottom w:val="nil"/>
              <w:right w:val="nil"/>
            </w:tcBorders>
          </w:tcPr>
          <w:p w14:paraId="12F0DD5D"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.010</w:t>
            </w:r>
          </w:p>
        </w:tc>
        <w:tc>
          <w:tcPr>
            <w:tcW w:w="1134" w:type="dxa"/>
            <w:tcBorders>
              <w:top w:val="nil"/>
              <w:left w:val="nil"/>
              <w:bottom w:val="nil"/>
              <w:right w:val="nil"/>
            </w:tcBorders>
          </w:tcPr>
          <w:p w14:paraId="3D68FDA5"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(.039)</w:t>
            </w:r>
          </w:p>
        </w:tc>
        <w:tc>
          <w:tcPr>
            <w:tcW w:w="1275" w:type="dxa"/>
            <w:tcBorders>
              <w:top w:val="nil"/>
              <w:left w:val="nil"/>
              <w:bottom w:val="nil"/>
              <w:right w:val="nil"/>
            </w:tcBorders>
          </w:tcPr>
          <w:p w14:paraId="7FD77A01"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-.076</w:t>
            </w:r>
          </w:p>
        </w:tc>
        <w:tc>
          <w:tcPr>
            <w:tcW w:w="1134" w:type="dxa"/>
            <w:tcBorders>
              <w:top w:val="nil"/>
              <w:left w:val="nil"/>
              <w:bottom w:val="nil"/>
              <w:right w:val="nil"/>
            </w:tcBorders>
          </w:tcPr>
          <w:p w14:paraId="08707B1E"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(.051)</w:t>
            </w:r>
          </w:p>
        </w:tc>
        <w:tc>
          <w:tcPr>
            <w:tcW w:w="1276" w:type="dxa"/>
            <w:tcBorders>
              <w:top w:val="nil"/>
              <w:left w:val="nil"/>
              <w:bottom w:val="nil"/>
              <w:right w:val="nil"/>
            </w:tcBorders>
          </w:tcPr>
          <w:p w14:paraId="5E2FE006"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-.015</w:t>
            </w:r>
          </w:p>
        </w:tc>
        <w:tc>
          <w:tcPr>
            <w:tcW w:w="1276" w:type="dxa"/>
            <w:tcBorders>
              <w:top w:val="nil"/>
              <w:left w:val="nil"/>
              <w:bottom w:val="nil"/>
              <w:right w:val="nil"/>
            </w:tcBorders>
          </w:tcPr>
          <w:p w14:paraId="6DB233DF"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(.031)</w:t>
            </w:r>
          </w:p>
        </w:tc>
      </w:tr>
      <w:tr w:rsidR="00144C0C" w:rsidRPr="00427FC7" w14:paraId="1C8E9C59" w14:textId="77777777" w:rsidTr="00144C0C">
        <w:trPr>
          <w:gridAfter w:val="1"/>
          <w:wAfter w:w="236" w:type="dxa"/>
          <w:trHeight w:val="127"/>
        </w:trPr>
        <w:tc>
          <w:tcPr>
            <w:tcW w:w="1364" w:type="dxa"/>
            <w:tcBorders>
              <w:top w:val="nil"/>
              <w:left w:val="nil"/>
              <w:bottom w:val="nil"/>
              <w:right w:val="nil"/>
            </w:tcBorders>
          </w:tcPr>
          <w:p w14:paraId="1BF1FEE7"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 xml:space="preserve">Year </w:t>
            </w:r>
          </w:p>
        </w:tc>
        <w:tc>
          <w:tcPr>
            <w:tcW w:w="239" w:type="dxa"/>
            <w:tcBorders>
              <w:top w:val="nil"/>
              <w:left w:val="nil"/>
              <w:bottom w:val="nil"/>
              <w:right w:val="nil"/>
            </w:tcBorders>
          </w:tcPr>
          <w:p w14:paraId="2DCCA94E" w14:textId="77777777" w:rsidR="00144C0C" w:rsidRPr="00343D9E" w:rsidRDefault="00144C0C" w:rsidP="00144C0C">
            <w:pPr>
              <w:jc w:val="center"/>
              <w:rPr>
                <w:rFonts w:asciiTheme="minorHAnsi" w:hAnsiTheme="minorHAnsi" w:cstheme="minorHAnsi"/>
                <w:sz w:val="16"/>
                <w:szCs w:val="16"/>
              </w:rPr>
            </w:pPr>
          </w:p>
        </w:tc>
        <w:tc>
          <w:tcPr>
            <w:tcW w:w="2225" w:type="dxa"/>
            <w:gridSpan w:val="2"/>
            <w:tcBorders>
              <w:top w:val="nil"/>
              <w:left w:val="nil"/>
              <w:bottom w:val="nil"/>
              <w:right w:val="nil"/>
            </w:tcBorders>
          </w:tcPr>
          <w:p w14:paraId="1F87D075" w14:textId="77777777" w:rsidR="00144C0C" w:rsidRPr="00343D9E" w:rsidRDefault="00144C0C" w:rsidP="00144C0C">
            <w:pPr>
              <w:jc w:val="center"/>
              <w:rPr>
                <w:rFonts w:asciiTheme="minorHAnsi" w:hAnsiTheme="minorHAnsi" w:cstheme="minorHAnsi"/>
                <w:sz w:val="16"/>
                <w:szCs w:val="16"/>
              </w:rPr>
            </w:pPr>
          </w:p>
        </w:tc>
        <w:tc>
          <w:tcPr>
            <w:tcW w:w="2409" w:type="dxa"/>
            <w:gridSpan w:val="2"/>
            <w:tcBorders>
              <w:top w:val="nil"/>
              <w:left w:val="nil"/>
              <w:bottom w:val="nil"/>
              <w:right w:val="nil"/>
            </w:tcBorders>
          </w:tcPr>
          <w:p w14:paraId="3854D80B" w14:textId="77777777" w:rsidR="00144C0C" w:rsidRPr="00343D9E" w:rsidRDefault="00144C0C" w:rsidP="00144C0C">
            <w:pPr>
              <w:jc w:val="center"/>
              <w:rPr>
                <w:rFonts w:asciiTheme="minorHAnsi" w:hAnsiTheme="minorHAnsi" w:cstheme="minorHAnsi"/>
                <w:sz w:val="16"/>
                <w:szCs w:val="16"/>
              </w:rPr>
            </w:pPr>
          </w:p>
        </w:tc>
        <w:tc>
          <w:tcPr>
            <w:tcW w:w="2552" w:type="dxa"/>
            <w:gridSpan w:val="2"/>
            <w:tcBorders>
              <w:top w:val="nil"/>
              <w:left w:val="nil"/>
              <w:bottom w:val="nil"/>
              <w:right w:val="nil"/>
            </w:tcBorders>
          </w:tcPr>
          <w:p w14:paraId="29F0F909" w14:textId="77777777" w:rsidR="00144C0C" w:rsidRPr="00343D9E" w:rsidRDefault="00144C0C" w:rsidP="00144C0C">
            <w:pPr>
              <w:jc w:val="center"/>
              <w:rPr>
                <w:rFonts w:asciiTheme="minorHAnsi" w:hAnsiTheme="minorHAnsi" w:cstheme="minorHAnsi"/>
                <w:sz w:val="16"/>
                <w:szCs w:val="16"/>
              </w:rPr>
            </w:pPr>
          </w:p>
        </w:tc>
      </w:tr>
      <w:tr w:rsidR="00144C0C" w:rsidRPr="00427FC7" w14:paraId="098ADB14" w14:textId="77777777" w:rsidTr="00144C0C">
        <w:trPr>
          <w:gridAfter w:val="1"/>
          <w:wAfter w:w="236" w:type="dxa"/>
          <w:trHeight w:val="86"/>
        </w:trPr>
        <w:tc>
          <w:tcPr>
            <w:tcW w:w="1364" w:type="dxa"/>
            <w:tcBorders>
              <w:top w:val="nil"/>
              <w:left w:val="nil"/>
              <w:bottom w:val="nil"/>
              <w:right w:val="nil"/>
            </w:tcBorders>
          </w:tcPr>
          <w:p w14:paraId="2610C026"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2008</w:t>
            </w:r>
          </w:p>
        </w:tc>
        <w:tc>
          <w:tcPr>
            <w:tcW w:w="239" w:type="dxa"/>
            <w:tcBorders>
              <w:top w:val="nil"/>
              <w:left w:val="nil"/>
              <w:bottom w:val="nil"/>
              <w:right w:val="nil"/>
            </w:tcBorders>
          </w:tcPr>
          <w:p w14:paraId="6BA84606" w14:textId="77777777" w:rsidR="00144C0C" w:rsidRPr="00343D9E" w:rsidRDefault="00144C0C" w:rsidP="00144C0C">
            <w:pPr>
              <w:jc w:val="center"/>
              <w:rPr>
                <w:rFonts w:asciiTheme="minorHAnsi" w:hAnsiTheme="minorHAnsi" w:cstheme="minorHAnsi"/>
                <w:sz w:val="16"/>
                <w:szCs w:val="16"/>
              </w:rPr>
            </w:pPr>
          </w:p>
        </w:tc>
        <w:tc>
          <w:tcPr>
            <w:tcW w:w="2225" w:type="dxa"/>
            <w:gridSpan w:val="2"/>
            <w:tcBorders>
              <w:top w:val="nil"/>
              <w:left w:val="nil"/>
              <w:bottom w:val="nil"/>
              <w:right w:val="nil"/>
            </w:tcBorders>
          </w:tcPr>
          <w:p w14:paraId="31933450"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.859</w:t>
            </w:r>
            <w:r>
              <w:rPr>
                <w:rFonts w:asciiTheme="minorHAnsi" w:hAnsiTheme="minorHAnsi" w:cstheme="minorHAnsi"/>
                <w:sz w:val="16"/>
                <w:szCs w:val="16"/>
              </w:rPr>
              <w:t xml:space="preserve"> (1.617)</w:t>
            </w:r>
          </w:p>
        </w:tc>
        <w:tc>
          <w:tcPr>
            <w:tcW w:w="1275" w:type="dxa"/>
            <w:tcBorders>
              <w:top w:val="nil"/>
              <w:left w:val="nil"/>
              <w:bottom w:val="nil"/>
              <w:right w:val="nil"/>
            </w:tcBorders>
          </w:tcPr>
          <w:p w14:paraId="774ABCB2" w14:textId="77777777" w:rsidR="00144C0C" w:rsidRPr="00343D9E" w:rsidRDefault="00144C0C" w:rsidP="00144C0C">
            <w:pPr>
              <w:jc w:val="center"/>
              <w:rPr>
                <w:rFonts w:asciiTheme="minorHAnsi" w:hAnsiTheme="minorHAnsi" w:cstheme="minorHAnsi"/>
                <w:sz w:val="16"/>
                <w:szCs w:val="16"/>
              </w:rPr>
            </w:pPr>
          </w:p>
        </w:tc>
        <w:tc>
          <w:tcPr>
            <w:tcW w:w="1134" w:type="dxa"/>
            <w:tcBorders>
              <w:top w:val="nil"/>
              <w:left w:val="nil"/>
              <w:bottom w:val="nil"/>
              <w:right w:val="nil"/>
            </w:tcBorders>
          </w:tcPr>
          <w:p w14:paraId="0935FE7D" w14:textId="77777777" w:rsidR="00144C0C" w:rsidRPr="00343D9E" w:rsidRDefault="00144C0C" w:rsidP="00144C0C">
            <w:pPr>
              <w:jc w:val="center"/>
              <w:rPr>
                <w:rFonts w:asciiTheme="minorHAnsi" w:hAnsiTheme="minorHAnsi" w:cstheme="minorHAnsi"/>
                <w:sz w:val="16"/>
                <w:szCs w:val="16"/>
              </w:rPr>
            </w:pPr>
          </w:p>
        </w:tc>
        <w:tc>
          <w:tcPr>
            <w:tcW w:w="1276" w:type="dxa"/>
            <w:tcBorders>
              <w:top w:val="nil"/>
              <w:left w:val="nil"/>
              <w:bottom w:val="nil"/>
              <w:right w:val="nil"/>
            </w:tcBorders>
          </w:tcPr>
          <w:p w14:paraId="7770C4C5"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3.188</w:t>
            </w:r>
          </w:p>
        </w:tc>
        <w:tc>
          <w:tcPr>
            <w:tcW w:w="1276" w:type="dxa"/>
            <w:tcBorders>
              <w:top w:val="nil"/>
              <w:left w:val="nil"/>
              <w:bottom w:val="nil"/>
              <w:right w:val="nil"/>
            </w:tcBorders>
          </w:tcPr>
          <w:p w14:paraId="3C399EB8"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(3.061)</w:t>
            </w:r>
          </w:p>
        </w:tc>
      </w:tr>
      <w:tr w:rsidR="00144C0C" w:rsidRPr="00427FC7" w14:paraId="289B55B6" w14:textId="77777777" w:rsidTr="00144C0C">
        <w:trPr>
          <w:gridAfter w:val="1"/>
          <w:wAfter w:w="236" w:type="dxa"/>
          <w:trHeight w:val="52"/>
        </w:trPr>
        <w:tc>
          <w:tcPr>
            <w:tcW w:w="1364" w:type="dxa"/>
            <w:tcBorders>
              <w:top w:val="nil"/>
              <w:left w:val="nil"/>
              <w:bottom w:val="nil"/>
              <w:right w:val="nil"/>
            </w:tcBorders>
          </w:tcPr>
          <w:p w14:paraId="2F0346C3"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2010</w:t>
            </w:r>
          </w:p>
        </w:tc>
        <w:tc>
          <w:tcPr>
            <w:tcW w:w="239" w:type="dxa"/>
            <w:tcBorders>
              <w:top w:val="nil"/>
              <w:left w:val="nil"/>
              <w:bottom w:val="nil"/>
              <w:right w:val="nil"/>
            </w:tcBorders>
          </w:tcPr>
          <w:p w14:paraId="2BBE7F08" w14:textId="77777777" w:rsidR="00144C0C" w:rsidRPr="00343D9E" w:rsidRDefault="00144C0C" w:rsidP="00144C0C">
            <w:pPr>
              <w:jc w:val="center"/>
              <w:rPr>
                <w:rFonts w:asciiTheme="minorHAnsi" w:hAnsiTheme="minorHAnsi" w:cstheme="minorHAnsi"/>
                <w:sz w:val="16"/>
                <w:szCs w:val="16"/>
              </w:rPr>
            </w:pPr>
          </w:p>
        </w:tc>
        <w:tc>
          <w:tcPr>
            <w:tcW w:w="2225" w:type="dxa"/>
            <w:gridSpan w:val="2"/>
            <w:tcBorders>
              <w:top w:val="nil"/>
              <w:left w:val="nil"/>
              <w:bottom w:val="nil"/>
              <w:right w:val="nil"/>
            </w:tcBorders>
          </w:tcPr>
          <w:p w14:paraId="461C27BA"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2.501</w:t>
            </w:r>
            <w:r>
              <w:rPr>
                <w:rFonts w:asciiTheme="minorHAnsi" w:hAnsiTheme="minorHAnsi" w:cstheme="minorHAnsi"/>
                <w:sz w:val="16"/>
                <w:szCs w:val="16"/>
              </w:rPr>
              <w:t xml:space="preserve"> (1.920)</w:t>
            </w:r>
          </w:p>
        </w:tc>
        <w:tc>
          <w:tcPr>
            <w:tcW w:w="1275" w:type="dxa"/>
            <w:tcBorders>
              <w:top w:val="nil"/>
              <w:left w:val="nil"/>
              <w:bottom w:val="nil"/>
              <w:right w:val="nil"/>
            </w:tcBorders>
          </w:tcPr>
          <w:p w14:paraId="412CF1E6" w14:textId="77777777" w:rsidR="00144C0C" w:rsidRPr="00343D9E" w:rsidRDefault="00144C0C" w:rsidP="00144C0C">
            <w:pPr>
              <w:jc w:val="center"/>
              <w:rPr>
                <w:rFonts w:asciiTheme="minorHAnsi" w:hAnsiTheme="minorHAnsi" w:cstheme="minorHAnsi"/>
                <w:sz w:val="16"/>
                <w:szCs w:val="16"/>
              </w:rPr>
            </w:pPr>
          </w:p>
        </w:tc>
        <w:tc>
          <w:tcPr>
            <w:tcW w:w="1134" w:type="dxa"/>
            <w:tcBorders>
              <w:top w:val="nil"/>
              <w:left w:val="nil"/>
              <w:bottom w:val="nil"/>
              <w:right w:val="nil"/>
            </w:tcBorders>
          </w:tcPr>
          <w:p w14:paraId="7448CA89" w14:textId="77777777" w:rsidR="00144C0C" w:rsidRPr="00343D9E" w:rsidRDefault="00144C0C" w:rsidP="00144C0C">
            <w:pPr>
              <w:jc w:val="center"/>
              <w:rPr>
                <w:rFonts w:asciiTheme="minorHAnsi" w:hAnsiTheme="minorHAnsi" w:cstheme="minorHAnsi"/>
                <w:sz w:val="16"/>
                <w:szCs w:val="16"/>
              </w:rPr>
            </w:pPr>
          </w:p>
        </w:tc>
        <w:tc>
          <w:tcPr>
            <w:tcW w:w="1276" w:type="dxa"/>
            <w:tcBorders>
              <w:top w:val="nil"/>
              <w:left w:val="nil"/>
              <w:bottom w:val="nil"/>
              <w:right w:val="nil"/>
            </w:tcBorders>
          </w:tcPr>
          <w:p w14:paraId="278EDCA3"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4.852</w:t>
            </w:r>
          </w:p>
        </w:tc>
        <w:tc>
          <w:tcPr>
            <w:tcW w:w="1276" w:type="dxa"/>
            <w:tcBorders>
              <w:top w:val="nil"/>
              <w:left w:val="nil"/>
              <w:bottom w:val="nil"/>
              <w:right w:val="nil"/>
            </w:tcBorders>
          </w:tcPr>
          <w:p w14:paraId="2EB31E3A"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(5.820)</w:t>
            </w:r>
          </w:p>
        </w:tc>
      </w:tr>
      <w:tr w:rsidR="00144C0C" w:rsidRPr="00427FC7" w14:paraId="0B58865A" w14:textId="77777777" w:rsidTr="00144C0C">
        <w:trPr>
          <w:gridAfter w:val="1"/>
          <w:wAfter w:w="236" w:type="dxa"/>
          <w:trHeight w:val="52"/>
        </w:trPr>
        <w:tc>
          <w:tcPr>
            <w:tcW w:w="1364" w:type="dxa"/>
            <w:tcBorders>
              <w:top w:val="nil"/>
              <w:left w:val="nil"/>
              <w:bottom w:val="nil"/>
              <w:right w:val="nil"/>
            </w:tcBorders>
          </w:tcPr>
          <w:p w14:paraId="6A33FB42"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2012</w:t>
            </w:r>
          </w:p>
        </w:tc>
        <w:tc>
          <w:tcPr>
            <w:tcW w:w="239" w:type="dxa"/>
            <w:tcBorders>
              <w:top w:val="nil"/>
              <w:left w:val="nil"/>
              <w:bottom w:val="nil"/>
              <w:right w:val="nil"/>
            </w:tcBorders>
          </w:tcPr>
          <w:p w14:paraId="673B1281" w14:textId="77777777" w:rsidR="00144C0C" w:rsidRPr="00343D9E" w:rsidRDefault="00144C0C" w:rsidP="00144C0C">
            <w:pPr>
              <w:jc w:val="center"/>
              <w:rPr>
                <w:rFonts w:asciiTheme="minorHAnsi" w:hAnsiTheme="minorHAnsi" w:cstheme="minorHAnsi"/>
                <w:sz w:val="16"/>
                <w:szCs w:val="16"/>
              </w:rPr>
            </w:pPr>
          </w:p>
        </w:tc>
        <w:tc>
          <w:tcPr>
            <w:tcW w:w="2225" w:type="dxa"/>
            <w:gridSpan w:val="2"/>
            <w:tcBorders>
              <w:top w:val="nil"/>
              <w:left w:val="nil"/>
              <w:bottom w:val="nil"/>
              <w:right w:val="nil"/>
            </w:tcBorders>
          </w:tcPr>
          <w:p w14:paraId="6041BE8C"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.491</w:t>
            </w:r>
            <w:r>
              <w:rPr>
                <w:rFonts w:asciiTheme="minorHAnsi" w:hAnsiTheme="minorHAnsi" w:cstheme="minorHAnsi"/>
                <w:sz w:val="16"/>
                <w:szCs w:val="16"/>
              </w:rPr>
              <w:t xml:space="preserve"> (1.679)</w:t>
            </w:r>
          </w:p>
        </w:tc>
        <w:tc>
          <w:tcPr>
            <w:tcW w:w="1275" w:type="dxa"/>
            <w:tcBorders>
              <w:top w:val="nil"/>
              <w:left w:val="nil"/>
              <w:bottom w:val="nil"/>
              <w:right w:val="nil"/>
            </w:tcBorders>
          </w:tcPr>
          <w:p w14:paraId="5537D8F9" w14:textId="77777777" w:rsidR="00144C0C" w:rsidRPr="00343D9E" w:rsidRDefault="00144C0C" w:rsidP="00144C0C">
            <w:pPr>
              <w:jc w:val="center"/>
              <w:rPr>
                <w:rFonts w:asciiTheme="minorHAnsi" w:hAnsiTheme="minorHAnsi" w:cstheme="minorHAnsi"/>
                <w:sz w:val="16"/>
                <w:szCs w:val="16"/>
              </w:rPr>
            </w:pPr>
          </w:p>
        </w:tc>
        <w:tc>
          <w:tcPr>
            <w:tcW w:w="1134" w:type="dxa"/>
            <w:tcBorders>
              <w:top w:val="nil"/>
              <w:left w:val="nil"/>
              <w:bottom w:val="nil"/>
              <w:right w:val="nil"/>
            </w:tcBorders>
          </w:tcPr>
          <w:p w14:paraId="5A8BB9AC" w14:textId="77777777" w:rsidR="00144C0C" w:rsidRPr="00343D9E" w:rsidRDefault="00144C0C" w:rsidP="00144C0C">
            <w:pPr>
              <w:jc w:val="center"/>
              <w:rPr>
                <w:rFonts w:asciiTheme="minorHAnsi" w:hAnsiTheme="minorHAnsi" w:cstheme="minorHAnsi"/>
                <w:sz w:val="16"/>
                <w:szCs w:val="16"/>
              </w:rPr>
            </w:pPr>
          </w:p>
        </w:tc>
        <w:tc>
          <w:tcPr>
            <w:tcW w:w="1276" w:type="dxa"/>
            <w:tcBorders>
              <w:top w:val="nil"/>
              <w:left w:val="nil"/>
              <w:bottom w:val="nil"/>
              <w:right w:val="nil"/>
            </w:tcBorders>
          </w:tcPr>
          <w:p w14:paraId="3D5EE6EF"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4.439</w:t>
            </w:r>
          </w:p>
        </w:tc>
        <w:tc>
          <w:tcPr>
            <w:tcW w:w="1276" w:type="dxa"/>
            <w:tcBorders>
              <w:top w:val="nil"/>
              <w:left w:val="nil"/>
              <w:bottom w:val="nil"/>
              <w:right w:val="nil"/>
            </w:tcBorders>
          </w:tcPr>
          <w:p w14:paraId="7CCE246E"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(8.532)</w:t>
            </w:r>
          </w:p>
        </w:tc>
      </w:tr>
      <w:tr w:rsidR="00144C0C" w:rsidRPr="00427FC7" w14:paraId="07715E54" w14:textId="77777777" w:rsidTr="00144C0C">
        <w:trPr>
          <w:gridAfter w:val="1"/>
          <w:wAfter w:w="236" w:type="dxa"/>
          <w:trHeight w:val="95"/>
        </w:trPr>
        <w:tc>
          <w:tcPr>
            <w:tcW w:w="1364" w:type="dxa"/>
            <w:tcBorders>
              <w:top w:val="nil"/>
              <w:left w:val="nil"/>
              <w:bottom w:val="nil"/>
              <w:right w:val="nil"/>
            </w:tcBorders>
          </w:tcPr>
          <w:p w14:paraId="5E26DDDF"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2014</w:t>
            </w:r>
          </w:p>
        </w:tc>
        <w:tc>
          <w:tcPr>
            <w:tcW w:w="239" w:type="dxa"/>
            <w:tcBorders>
              <w:top w:val="nil"/>
              <w:left w:val="nil"/>
              <w:bottom w:val="nil"/>
              <w:right w:val="nil"/>
            </w:tcBorders>
          </w:tcPr>
          <w:p w14:paraId="141A902D" w14:textId="77777777" w:rsidR="00144C0C" w:rsidRPr="00343D9E" w:rsidRDefault="00144C0C" w:rsidP="00144C0C">
            <w:pPr>
              <w:jc w:val="center"/>
              <w:rPr>
                <w:rFonts w:asciiTheme="minorHAnsi" w:hAnsiTheme="minorHAnsi" w:cstheme="minorHAnsi"/>
                <w:sz w:val="16"/>
                <w:szCs w:val="16"/>
              </w:rPr>
            </w:pPr>
          </w:p>
        </w:tc>
        <w:tc>
          <w:tcPr>
            <w:tcW w:w="2225" w:type="dxa"/>
            <w:gridSpan w:val="2"/>
            <w:tcBorders>
              <w:top w:val="nil"/>
              <w:left w:val="nil"/>
              <w:bottom w:val="nil"/>
              <w:right w:val="nil"/>
            </w:tcBorders>
          </w:tcPr>
          <w:p w14:paraId="5A19D1DB"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-1.661</w:t>
            </w:r>
            <w:r>
              <w:rPr>
                <w:rFonts w:asciiTheme="minorHAnsi" w:hAnsiTheme="minorHAnsi" w:cstheme="minorHAnsi"/>
                <w:sz w:val="16"/>
                <w:szCs w:val="16"/>
              </w:rPr>
              <w:t xml:space="preserve"> (1.549)</w:t>
            </w:r>
          </w:p>
        </w:tc>
        <w:tc>
          <w:tcPr>
            <w:tcW w:w="1275" w:type="dxa"/>
            <w:tcBorders>
              <w:top w:val="nil"/>
              <w:left w:val="nil"/>
              <w:bottom w:val="nil"/>
              <w:right w:val="nil"/>
            </w:tcBorders>
          </w:tcPr>
          <w:p w14:paraId="2B94B1A6" w14:textId="77777777" w:rsidR="00144C0C" w:rsidRPr="00343D9E" w:rsidRDefault="00144C0C" w:rsidP="00144C0C">
            <w:pPr>
              <w:jc w:val="center"/>
              <w:rPr>
                <w:rFonts w:asciiTheme="minorHAnsi" w:hAnsiTheme="minorHAnsi" w:cstheme="minorHAnsi"/>
                <w:sz w:val="16"/>
                <w:szCs w:val="16"/>
              </w:rPr>
            </w:pPr>
          </w:p>
        </w:tc>
        <w:tc>
          <w:tcPr>
            <w:tcW w:w="1134" w:type="dxa"/>
            <w:tcBorders>
              <w:top w:val="nil"/>
              <w:left w:val="nil"/>
              <w:bottom w:val="nil"/>
              <w:right w:val="nil"/>
            </w:tcBorders>
          </w:tcPr>
          <w:p w14:paraId="02700726" w14:textId="77777777" w:rsidR="00144C0C" w:rsidRPr="00343D9E" w:rsidRDefault="00144C0C" w:rsidP="00144C0C">
            <w:pPr>
              <w:jc w:val="center"/>
              <w:rPr>
                <w:rFonts w:asciiTheme="minorHAnsi" w:hAnsiTheme="minorHAnsi" w:cstheme="minorHAnsi"/>
                <w:sz w:val="16"/>
                <w:szCs w:val="16"/>
              </w:rPr>
            </w:pPr>
          </w:p>
        </w:tc>
        <w:tc>
          <w:tcPr>
            <w:tcW w:w="1276" w:type="dxa"/>
            <w:tcBorders>
              <w:top w:val="nil"/>
              <w:left w:val="nil"/>
              <w:bottom w:val="nil"/>
              <w:right w:val="nil"/>
            </w:tcBorders>
          </w:tcPr>
          <w:p w14:paraId="1ECEE81E"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3.211</w:t>
            </w:r>
          </w:p>
        </w:tc>
        <w:tc>
          <w:tcPr>
            <w:tcW w:w="1276" w:type="dxa"/>
            <w:tcBorders>
              <w:top w:val="nil"/>
              <w:left w:val="nil"/>
              <w:bottom w:val="nil"/>
              <w:right w:val="nil"/>
            </w:tcBorders>
          </w:tcPr>
          <w:p w14:paraId="02AB79EE"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(11.388)</w:t>
            </w:r>
          </w:p>
        </w:tc>
      </w:tr>
      <w:tr w:rsidR="00144C0C" w:rsidRPr="00427FC7" w14:paraId="0724D274" w14:textId="77777777" w:rsidTr="00144C0C">
        <w:trPr>
          <w:gridAfter w:val="1"/>
          <w:wAfter w:w="236" w:type="dxa"/>
          <w:trHeight w:val="54"/>
        </w:trPr>
        <w:tc>
          <w:tcPr>
            <w:tcW w:w="1364" w:type="dxa"/>
            <w:tcBorders>
              <w:top w:val="nil"/>
              <w:left w:val="nil"/>
              <w:bottom w:val="nil"/>
              <w:right w:val="nil"/>
            </w:tcBorders>
          </w:tcPr>
          <w:p w14:paraId="233C7F35"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2016</w:t>
            </w:r>
          </w:p>
        </w:tc>
        <w:tc>
          <w:tcPr>
            <w:tcW w:w="239" w:type="dxa"/>
            <w:tcBorders>
              <w:top w:val="nil"/>
              <w:left w:val="nil"/>
              <w:bottom w:val="nil"/>
              <w:right w:val="nil"/>
            </w:tcBorders>
          </w:tcPr>
          <w:p w14:paraId="62E8D1AF" w14:textId="77777777" w:rsidR="00144C0C" w:rsidRPr="00343D9E" w:rsidRDefault="00144C0C" w:rsidP="00144C0C">
            <w:pPr>
              <w:jc w:val="center"/>
              <w:rPr>
                <w:rFonts w:asciiTheme="minorHAnsi" w:hAnsiTheme="minorHAnsi" w:cstheme="minorHAnsi"/>
                <w:sz w:val="16"/>
                <w:szCs w:val="16"/>
              </w:rPr>
            </w:pPr>
          </w:p>
        </w:tc>
        <w:tc>
          <w:tcPr>
            <w:tcW w:w="2225" w:type="dxa"/>
            <w:gridSpan w:val="2"/>
            <w:tcBorders>
              <w:top w:val="nil"/>
              <w:left w:val="nil"/>
              <w:bottom w:val="nil"/>
              <w:right w:val="nil"/>
            </w:tcBorders>
          </w:tcPr>
          <w:p w14:paraId="18C1156F"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-2.354</w:t>
            </w:r>
            <w:r>
              <w:rPr>
                <w:rFonts w:asciiTheme="minorHAnsi" w:hAnsiTheme="minorHAnsi" w:cstheme="minorHAnsi"/>
                <w:sz w:val="16"/>
                <w:szCs w:val="16"/>
              </w:rPr>
              <w:t xml:space="preserve"> (1.688)</w:t>
            </w:r>
          </w:p>
        </w:tc>
        <w:tc>
          <w:tcPr>
            <w:tcW w:w="1275" w:type="dxa"/>
            <w:tcBorders>
              <w:top w:val="nil"/>
              <w:left w:val="nil"/>
              <w:bottom w:val="nil"/>
              <w:right w:val="nil"/>
            </w:tcBorders>
          </w:tcPr>
          <w:p w14:paraId="425FFFDE" w14:textId="77777777" w:rsidR="00144C0C" w:rsidRPr="00343D9E" w:rsidRDefault="00144C0C" w:rsidP="00144C0C">
            <w:pPr>
              <w:jc w:val="center"/>
              <w:rPr>
                <w:rFonts w:asciiTheme="minorHAnsi" w:hAnsiTheme="minorHAnsi" w:cstheme="minorHAnsi"/>
                <w:sz w:val="16"/>
                <w:szCs w:val="16"/>
              </w:rPr>
            </w:pPr>
          </w:p>
        </w:tc>
        <w:tc>
          <w:tcPr>
            <w:tcW w:w="1134" w:type="dxa"/>
            <w:tcBorders>
              <w:top w:val="nil"/>
              <w:left w:val="nil"/>
              <w:bottom w:val="nil"/>
              <w:right w:val="nil"/>
            </w:tcBorders>
          </w:tcPr>
          <w:p w14:paraId="77E7B87E" w14:textId="77777777" w:rsidR="00144C0C" w:rsidRPr="00343D9E" w:rsidRDefault="00144C0C" w:rsidP="00144C0C">
            <w:pPr>
              <w:jc w:val="center"/>
              <w:rPr>
                <w:rFonts w:asciiTheme="minorHAnsi" w:hAnsiTheme="minorHAnsi" w:cstheme="minorHAnsi"/>
                <w:sz w:val="16"/>
                <w:szCs w:val="16"/>
              </w:rPr>
            </w:pPr>
          </w:p>
        </w:tc>
        <w:tc>
          <w:tcPr>
            <w:tcW w:w="1276" w:type="dxa"/>
            <w:tcBorders>
              <w:top w:val="nil"/>
              <w:left w:val="nil"/>
              <w:bottom w:val="nil"/>
              <w:right w:val="nil"/>
            </w:tcBorders>
          </w:tcPr>
          <w:p w14:paraId="0F9DB99B"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1.499</w:t>
            </w:r>
          </w:p>
        </w:tc>
        <w:tc>
          <w:tcPr>
            <w:tcW w:w="1276" w:type="dxa"/>
            <w:tcBorders>
              <w:top w:val="nil"/>
              <w:left w:val="nil"/>
              <w:bottom w:val="nil"/>
              <w:right w:val="nil"/>
            </w:tcBorders>
          </w:tcPr>
          <w:p w14:paraId="30E61E4A"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(14.267)</w:t>
            </w:r>
          </w:p>
        </w:tc>
      </w:tr>
      <w:tr w:rsidR="00144C0C" w:rsidRPr="00427FC7" w14:paraId="2203BC4C" w14:textId="77777777" w:rsidTr="00144C0C">
        <w:trPr>
          <w:gridAfter w:val="1"/>
          <w:wAfter w:w="236" w:type="dxa"/>
          <w:trHeight w:val="52"/>
        </w:trPr>
        <w:tc>
          <w:tcPr>
            <w:tcW w:w="1364" w:type="dxa"/>
            <w:tcBorders>
              <w:top w:val="nil"/>
              <w:left w:val="nil"/>
              <w:bottom w:val="nil"/>
              <w:right w:val="nil"/>
            </w:tcBorders>
          </w:tcPr>
          <w:p w14:paraId="2AAA7041"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2019</w:t>
            </w:r>
          </w:p>
        </w:tc>
        <w:tc>
          <w:tcPr>
            <w:tcW w:w="239" w:type="dxa"/>
            <w:tcBorders>
              <w:top w:val="nil"/>
              <w:left w:val="nil"/>
              <w:bottom w:val="nil"/>
              <w:right w:val="nil"/>
            </w:tcBorders>
          </w:tcPr>
          <w:p w14:paraId="67A1255C" w14:textId="77777777" w:rsidR="00144C0C" w:rsidRPr="00343D9E" w:rsidRDefault="00144C0C" w:rsidP="00144C0C">
            <w:pPr>
              <w:jc w:val="center"/>
              <w:rPr>
                <w:rFonts w:asciiTheme="minorHAnsi" w:hAnsiTheme="minorHAnsi" w:cstheme="minorHAnsi"/>
                <w:sz w:val="16"/>
                <w:szCs w:val="16"/>
              </w:rPr>
            </w:pPr>
          </w:p>
        </w:tc>
        <w:tc>
          <w:tcPr>
            <w:tcW w:w="2225" w:type="dxa"/>
            <w:gridSpan w:val="2"/>
            <w:tcBorders>
              <w:top w:val="nil"/>
              <w:left w:val="nil"/>
              <w:bottom w:val="nil"/>
              <w:right w:val="nil"/>
            </w:tcBorders>
          </w:tcPr>
          <w:p w14:paraId="2C2319A8"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-4.005</w:t>
            </w:r>
            <w:r>
              <w:rPr>
                <w:rFonts w:asciiTheme="minorHAnsi" w:hAnsiTheme="minorHAnsi" w:cstheme="minorHAnsi"/>
                <w:sz w:val="16"/>
                <w:szCs w:val="16"/>
              </w:rPr>
              <w:t xml:space="preserve"> (2.692)</w:t>
            </w:r>
          </w:p>
        </w:tc>
        <w:tc>
          <w:tcPr>
            <w:tcW w:w="1275" w:type="dxa"/>
            <w:tcBorders>
              <w:top w:val="nil"/>
              <w:left w:val="nil"/>
              <w:bottom w:val="nil"/>
              <w:right w:val="nil"/>
            </w:tcBorders>
          </w:tcPr>
          <w:p w14:paraId="599C16B3" w14:textId="77777777" w:rsidR="00144C0C" w:rsidRPr="00343D9E" w:rsidRDefault="00144C0C" w:rsidP="00144C0C">
            <w:pPr>
              <w:jc w:val="center"/>
              <w:rPr>
                <w:rFonts w:asciiTheme="minorHAnsi" w:hAnsiTheme="minorHAnsi" w:cstheme="minorHAnsi"/>
                <w:sz w:val="16"/>
                <w:szCs w:val="16"/>
              </w:rPr>
            </w:pPr>
          </w:p>
        </w:tc>
        <w:tc>
          <w:tcPr>
            <w:tcW w:w="1134" w:type="dxa"/>
            <w:tcBorders>
              <w:top w:val="nil"/>
              <w:left w:val="nil"/>
              <w:bottom w:val="nil"/>
              <w:right w:val="nil"/>
            </w:tcBorders>
          </w:tcPr>
          <w:p w14:paraId="541FB49B" w14:textId="77777777" w:rsidR="00144C0C" w:rsidRPr="00343D9E" w:rsidRDefault="00144C0C" w:rsidP="00144C0C">
            <w:pPr>
              <w:jc w:val="center"/>
              <w:rPr>
                <w:rFonts w:asciiTheme="minorHAnsi" w:hAnsiTheme="minorHAnsi" w:cstheme="minorHAnsi"/>
                <w:sz w:val="16"/>
                <w:szCs w:val="16"/>
              </w:rPr>
            </w:pPr>
          </w:p>
        </w:tc>
        <w:tc>
          <w:tcPr>
            <w:tcW w:w="1276" w:type="dxa"/>
            <w:tcBorders>
              <w:top w:val="nil"/>
              <w:left w:val="nil"/>
              <w:bottom w:val="nil"/>
              <w:right w:val="nil"/>
            </w:tcBorders>
          </w:tcPr>
          <w:p w14:paraId="5F608782"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1.118</w:t>
            </w:r>
          </w:p>
        </w:tc>
        <w:tc>
          <w:tcPr>
            <w:tcW w:w="1276" w:type="dxa"/>
            <w:tcBorders>
              <w:top w:val="nil"/>
              <w:left w:val="nil"/>
              <w:bottom w:val="nil"/>
              <w:right w:val="nil"/>
            </w:tcBorders>
          </w:tcPr>
          <w:p w14:paraId="153B60F8"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(18.469)</w:t>
            </w:r>
          </w:p>
        </w:tc>
      </w:tr>
      <w:tr w:rsidR="00144C0C" w:rsidRPr="00427FC7" w14:paraId="30B068E1" w14:textId="77777777" w:rsidTr="00144C0C">
        <w:trPr>
          <w:gridAfter w:val="1"/>
          <w:wAfter w:w="236" w:type="dxa"/>
          <w:trHeight w:val="261"/>
        </w:trPr>
        <w:tc>
          <w:tcPr>
            <w:tcW w:w="1364" w:type="dxa"/>
            <w:tcBorders>
              <w:top w:val="nil"/>
              <w:left w:val="nil"/>
              <w:bottom w:val="nil"/>
              <w:right w:val="nil"/>
            </w:tcBorders>
          </w:tcPr>
          <w:p w14:paraId="045B7DEA"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Individual fixed effects</w:t>
            </w:r>
          </w:p>
        </w:tc>
        <w:tc>
          <w:tcPr>
            <w:tcW w:w="239" w:type="dxa"/>
            <w:tcBorders>
              <w:top w:val="nil"/>
              <w:left w:val="nil"/>
              <w:bottom w:val="nil"/>
              <w:right w:val="nil"/>
            </w:tcBorders>
          </w:tcPr>
          <w:p w14:paraId="44FA265E" w14:textId="77777777" w:rsidR="00144C0C" w:rsidRPr="00343D9E" w:rsidRDefault="00144C0C" w:rsidP="00144C0C">
            <w:pPr>
              <w:jc w:val="center"/>
              <w:rPr>
                <w:rFonts w:asciiTheme="minorHAnsi" w:hAnsiTheme="minorHAnsi" w:cstheme="minorHAnsi"/>
                <w:sz w:val="16"/>
                <w:szCs w:val="16"/>
              </w:rPr>
            </w:pPr>
          </w:p>
        </w:tc>
        <w:tc>
          <w:tcPr>
            <w:tcW w:w="2225" w:type="dxa"/>
            <w:gridSpan w:val="2"/>
            <w:tcBorders>
              <w:top w:val="nil"/>
              <w:left w:val="nil"/>
              <w:bottom w:val="nil"/>
              <w:right w:val="nil"/>
            </w:tcBorders>
          </w:tcPr>
          <w:p w14:paraId="4B9EAC01"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No</w:t>
            </w:r>
          </w:p>
        </w:tc>
        <w:tc>
          <w:tcPr>
            <w:tcW w:w="2409" w:type="dxa"/>
            <w:gridSpan w:val="2"/>
            <w:tcBorders>
              <w:top w:val="nil"/>
              <w:left w:val="nil"/>
              <w:bottom w:val="nil"/>
              <w:right w:val="nil"/>
            </w:tcBorders>
          </w:tcPr>
          <w:p w14:paraId="2139839F"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Yes</w:t>
            </w:r>
          </w:p>
        </w:tc>
        <w:tc>
          <w:tcPr>
            <w:tcW w:w="2552" w:type="dxa"/>
            <w:gridSpan w:val="2"/>
            <w:tcBorders>
              <w:top w:val="nil"/>
              <w:left w:val="nil"/>
              <w:bottom w:val="nil"/>
              <w:right w:val="nil"/>
            </w:tcBorders>
          </w:tcPr>
          <w:p w14:paraId="367B3BC3" w14:textId="77777777" w:rsidR="00144C0C" w:rsidRPr="00343D9E" w:rsidRDefault="00144C0C" w:rsidP="00144C0C">
            <w:pPr>
              <w:jc w:val="center"/>
              <w:rPr>
                <w:rFonts w:asciiTheme="minorHAnsi" w:hAnsiTheme="minorHAnsi" w:cstheme="minorHAnsi"/>
                <w:sz w:val="16"/>
                <w:szCs w:val="16"/>
              </w:rPr>
            </w:pPr>
            <w:r>
              <w:rPr>
                <w:rFonts w:asciiTheme="minorHAnsi" w:hAnsiTheme="minorHAnsi" w:cstheme="minorHAnsi"/>
                <w:sz w:val="16"/>
                <w:szCs w:val="16"/>
              </w:rPr>
              <w:t>Yes</w:t>
            </w:r>
          </w:p>
        </w:tc>
      </w:tr>
      <w:tr w:rsidR="00144C0C" w:rsidRPr="00427FC7" w14:paraId="2EE08948" w14:textId="77777777" w:rsidTr="00144C0C">
        <w:trPr>
          <w:gridAfter w:val="1"/>
          <w:wAfter w:w="236" w:type="dxa"/>
          <w:trHeight w:val="52"/>
        </w:trPr>
        <w:tc>
          <w:tcPr>
            <w:tcW w:w="1364" w:type="dxa"/>
            <w:tcBorders>
              <w:top w:val="nil"/>
              <w:left w:val="nil"/>
              <w:bottom w:val="nil"/>
              <w:right w:val="nil"/>
            </w:tcBorders>
          </w:tcPr>
          <w:p w14:paraId="7AB44CB0"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Year fixed effects</w:t>
            </w:r>
          </w:p>
        </w:tc>
        <w:tc>
          <w:tcPr>
            <w:tcW w:w="239" w:type="dxa"/>
            <w:tcBorders>
              <w:top w:val="nil"/>
              <w:left w:val="nil"/>
              <w:bottom w:val="nil"/>
              <w:right w:val="nil"/>
            </w:tcBorders>
          </w:tcPr>
          <w:p w14:paraId="71EEEAAE" w14:textId="77777777" w:rsidR="00144C0C" w:rsidRPr="00343D9E" w:rsidRDefault="00144C0C" w:rsidP="00144C0C">
            <w:pPr>
              <w:jc w:val="center"/>
              <w:rPr>
                <w:rFonts w:asciiTheme="minorHAnsi" w:hAnsiTheme="minorHAnsi" w:cstheme="minorHAnsi"/>
                <w:sz w:val="16"/>
                <w:szCs w:val="16"/>
              </w:rPr>
            </w:pPr>
          </w:p>
        </w:tc>
        <w:tc>
          <w:tcPr>
            <w:tcW w:w="2225" w:type="dxa"/>
            <w:gridSpan w:val="2"/>
            <w:tcBorders>
              <w:top w:val="nil"/>
              <w:left w:val="nil"/>
              <w:bottom w:val="nil"/>
              <w:right w:val="nil"/>
            </w:tcBorders>
          </w:tcPr>
          <w:p w14:paraId="75AE0108"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Yes</w:t>
            </w:r>
          </w:p>
        </w:tc>
        <w:tc>
          <w:tcPr>
            <w:tcW w:w="2409" w:type="dxa"/>
            <w:gridSpan w:val="2"/>
            <w:tcBorders>
              <w:top w:val="nil"/>
              <w:left w:val="nil"/>
              <w:bottom w:val="nil"/>
              <w:right w:val="nil"/>
            </w:tcBorders>
          </w:tcPr>
          <w:p w14:paraId="2F6A786F"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No</w:t>
            </w:r>
          </w:p>
        </w:tc>
        <w:tc>
          <w:tcPr>
            <w:tcW w:w="2552" w:type="dxa"/>
            <w:gridSpan w:val="2"/>
            <w:tcBorders>
              <w:top w:val="nil"/>
              <w:left w:val="nil"/>
              <w:bottom w:val="nil"/>
              <w:right w:val="nil"/>
            </w:tcBorders>
          </w:tcPr>
          <w:p w14:paraId="229AFCCA" w14:textId="77777777" w:rsidR="00144C0C" w:rsidRPr="00343D9E" w:rsidRDefault="00144C0C" w:rsidP="00144C0C">
            <w:pPr>
              <w:jc w:val="center"/>
              <w:rPr>
                <w:rFonts w:asciiTheme="minorHAnsi" w:hAnsiTheme="minorHAnsi" w:cstheme="minorHAnsi"/>
                <w:sz w:val="16"/>
                <w:szCs w:val="16"/>
              </w:rPr>
            </w:pPr>
            <w:r>
              <w:rPr>
                <w:rFonts w:asciiTheme="minorHAnsi" w:hAnsiTheme="minorHAnsi" w:cstheme="minorHAnsi"/>
                <w:sz w:val="16"/>
                <w:szCs w:val="16"/>
              </w:rPr>
              <w:t>Yes</w:t>
            </w:r>
          </w:p>
        </w:tc>
      </w:tr>
      <w:tr w:rsidR="00144C0C" w:rsidRPr="00427FC7" w14:paraId="5FC70AEB" w14:textId="77777777" w:rsidTr="00144C0C">
        <w:trPr>
          <w:gridAfter w:val="1"/>
          <w:wAfter w:w="236" w:type="dxa"/>
          <w:trHeight w:val="261"/>
        </w:trPr>
        <w:tc>
          <w:tcPr>
            <w:tcW w:w="1364" w:type="dxa"/>
            <w:tcBorders>
              <w:top w:val="nil"/>
              <w:left w:val="nil"/>
              <w:bottom w:val="single" w:sz="8" w:space="0" w:color="auto"/>
              <w:right w:val="nil"/>
            </w:tcBorders>
          </w:tcPr>
          <w:p w14:paraId="76FF55F6"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Municipal fixed effects</w:t>
            </w:r>
          </w:p>
        </w:tc>
        <w:tc>
          <w:tcPr>
            <w:tcW w:w="239" w:type="dxa"/>
            <w:tcBorders>
              <w:top w:val="nil"/>
              <w:left w:val="nil"/>
              <w:bottom w:val="single" w:sz="8" w:space="0" w:color="auto"/>
              <w:right w:val="nil"/>
            </w:tcBorders>
          </w:tcPr>
          <w:p w14:paraId="3C91B128" w14:textId="77777777" w:rsidR="00144C0C" w:rsidRPr="00343D9E" w:rsidRDefault="00144C0C" w:rsidP="00144C0C">
            <w:pPr>
              <w:jc w:val="center"/>
              <w:rPr>
                <w:rFonts w:asciiTheme="minorHAnsi" w:hAnsiTheme="minorHAnsi" w:cstheme="minorHAnsi"/>
                <w:sz w:val="16"/>
                <w:szCs w:val="16"/>
              </w:rPr>
            </w:pPr>
          </w:p>
        </w:tc>
        <w:tc>
          <w:tcPr>
            <w:tcW w:w="2225" w:type="dxa"/>
            <w:gridSpan w:val="2"/>
            <w:tcBorders>
              <w:top w:val="nil"/>
              <w:left w:val="nil"/>
              <w:bottom w:val="single" w:sz="8" w:space="0" w:color="auto"/>
              <w:right w:val="nil"/>
            </w:tcBorders>
          </w:tcPr>
          <w:p w14:paraId="3C462FDC"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Yes</w:t>
            </w:r>
          </w:p>
        </w:tc>
        <w:tc>
          <w:tcPr>
            <w:tcW w:w="2409" w:type="dxa"/>
            <w:gridSpan w:val="2"/>
            <w:tcBorders>
              <w:top w:val="nil"/>
              <w:left w:val="nil"/>
              <w:bottom w:val="single" w:sz="8" w:space="0" w:color="auto"/>
              <w:right w:val="nil"/>
            </w:tcBorders>
          </w:tcPr>
          <w:p w14:paraId="6BA6ED13"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No</w:t>
            </w:r>
          </w:p>
        </w:tc>
        <w:tc>
          <w:tcPr>
            <w:tcW w:w="2552" w:type="dxa"/>
            <w:gridSpan w:val="2"/>
            <w:tcBorders>
              <w:top w:val="nil"/>
              <w:left w:val="nil"/>
              <w:bottom w:val="single" w:sz="8" w:space="0" w:color="auto"/>
              <w:right w:val="nil"/>
            </w:tcBorders>
          </w:tcPr>
          <w:p w14:paraId="7DE1F027" w14:textId="77777777" w:rsidR="00144C0C" w:rsidRPr="00343D9E" w:rsidRDefault="00144C0C" w:rsidP="00144C0C">
            <w:pPr>
              <w:jc w:val="center"/>
              <w:rPr>
                <w:rFonts w:asciiTheme="minorHAnsi" w:hAnsiTheme="minorHAnsi" w:cstheme="minorHAnsi"/>
                <w:sz w:val="16"/>
                <w:szCs w:val="16"/>
              </w:rPr>
            </w:pPr>
            <w:r>
              <w:rPr>
                <w:rFonts w:asciiTheme="minorHAnsi" w:hAnsiTheme="minorHAnsi" w:cstheme="minorHAnsi"/>
                <w:sz w:val="16"/>
                <w:szCs w:val="16"/>
              </w:rPr>
              <w:t>No</w:t>
            </w:r>
          </w:p>
        </w:tc>
      </w:tr>
      <w:tr w:rsidR="00144C0C" w:rsidRPr="00427FC7" w14:paraId="57129964" w14:textId="77777777" w:rsidTr="00144C0C">
        <w:trPr>
          <w:trHeight w:val="378"/>
        </w:trPr>
        <w:tc>
          <w:tcPr>
            <w:tcW w:w="1364" w:type="dxa"/>
            <w:tcBorders>
              <w:top w:val="single" w:sz="8" w:space="0" w:color="auto"/>
              <w:left w:val="nil"/>
              <w:bottom w:val="nil"/>
              <w:right w:val="nil"/>
            </w:tcBorders>
          </w:tcPr>
          <w:p w14:paraId="71FAB1DC"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Number of observations</w:t>
            </w:r>
          </w:p>
        </w:tc>
        <w:tc>
          <w:tcPr>
            <w:tcW w:w="239" w:type="dxa"/>
            <w:tcBorders>
              <w:top w:val="single" w:sz="8" w:space="0" w:color="auto"/>
              <w:left w:val="nil"/>
              <w:bottom w:val="nil"/>
              <w:right w:val="nil"/>
            </w:tcBorders>
          </w:tcPr>
          <w:p w14:paraId="3986329E" w14:textId="77777777" w:rsidR="00144C0C" w:rsidRPr="00343D9E" w:rsidRDefault="00144C0C" w:rsidP="00144C0C">
            <w:pPr>
              <w:jc w:val="center"/>
              <w:rPr>
                <w:rFonts w:asciiTheme="minorHAnsi" w:hAnsiTheme="minorHAnsi" w:cstheme="minorHAnsi"/>
                <w:sz w:val="16"/>
                <w:szCs w:val="16"/>
              </w:rPr>
            </w:pPr>
          </w:p>
        </w:tc>
        <w:tc>
          <w:tcPr>
            <w:tcW w:w="2225" w:type="dxa"/>
            <w:gridSpan w:val="2"/>
            <w:tcBorders>
              <w:top w:val="single" w:sz="8" w:space="0" w:color="auto"/>
              <w:left w:val="nil"/>
              <w:bottom w:val="nil"/>
              <w:right w:val="nil"/>
            </w:tcBorders>
          </w:tcPr>
          <w:p w14:paraId="6C50AE3D"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4612</w:t>
            </w:r>
          </w:p>
        </w:tc>
        <w:tc>
          <w:tcPr>
            <w:tcW w:w="2409" w:type="dxa"/>
            <w:gridSpan w:val="2"/>
            <w:tcBorders>
              <w:top w:val="single" w:sz="8" w:space="0" w:color="auto"/>
              <w:left w:val="nil"/>
              <w:bottom w:val="nil"/>
              <w:right w:val="nil"/>
            </w:tcBorders>
          </w:tcPr>
          <w:p w14:paraId="6E394801" w14:textId="77777777" w:rsidR="00144C0C" w:rsidRPr="00343D9E" w:rsidRDefault="00144C0C" w:rsidP="00144C0C">
            <w:pPr>
              <w:jc w:val="center"/>
              <w:rPr>
                <w:rFonts w:asciiTheme="minorHAnsi" w:hAnsiTheme="minorHAnsi" w:cstheme="minorHAnsi"/>
                <w:sz w:val="16"/>
                <w:szCs w:val="16"/>
              </w:rPr>
            </w:pPr>
            <w:r>
              <w:rPr>
                <w:rFonts w:asciiTheme="minorHAnsi" w:hAnsiTheme="minorHAnsi" w:cstheme="minorHAnsi"/>
                <w:sz w:val="16"/>
                <w:szCs w:val="16"/>
              </w:rPr>
              <w:t>2565</w:t>
            </w:r>
          </w:p>
        </w:tc>
        <w:tc>
          <w:tcPr>
            <w:tcW w:w="2552" w:type="dxa"/>
            <w:gridSpan w:val="2"/>
            <w:tcBorders>
              <w:top w:val="single" w:sz="8" w:space="0" w:color="auto"/>
              <w:left w:val="nil"/>
              <w:bottom w:val="nil"/>
              <w:right w:val="nil"/>
            </w:tcBorders>
          </w:tcPr>
          <w:p w14:paraId="268C334B"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4611</w:t>
            </w:r>
          </w:p>
        </w:tc>
        <w:tc>
          <w:tcPr>
            <w:tcW w:w="236" w:type="dxa"/>
            <w:tcBorders>
              <w:top w:val="nil"/>
              <w:left w:val="nil"/>
              <w:bottom w:val="nil"/>
              <w:right w:val="nil"/>
            </w:tcBorders>
          </w:tcPr>
          <w:p w14:paraId="6B98917F" w14:textId="77777777" w:rsidR="00144C0C" w:rsidRPr="00427FC7" w:rsidRDefault="00144C0C" w:rsidP="00144C0C">
            <w:pPr>
              <w:jc w:val="center"/>
              <w:rPr>
                <w:rFonts w:ascii="Times New Roman" w:hAnsi="Times New Roman" w:cs="Times New Roman"/>
                <w:sz w:val="16"/>
                <w:szCs w:val="16"/>
              </w:rPr>
            </w:pPr>
          </w:p>
        </w:tc>
      </w:tr>
      <w:tr w:rsidR="00144C0C" w:rsidRPr="00427FC7" w14:paraId="04832147" w14:textId="77777777" w:rsidTr="00144C0C">
        <w:trPr>
          <w:trHeight w:val="311"/>
        </w:trPr>
        <w:tc>
          <w:tcPr>
            <w:tcW w:w="1364" w:type="dxa"/>
            <w:tcBorders>
              <w:top w:val="nil"/>
              <w:left w:val="nil"/>
              <w:bottom w:val="single" w:sz="8" w:space="0" w:color="auto"/>
              <w:right w:val="nil"/>
            </w:tcBorders>
          </w:tcPr>
          <w:p w14:paraId="7F936CAA"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Number of groups</w:t>
            </w:r>
          </w:p>
        </w:tc>
        <w:tc>
          <w:tcPr>
            <w:tcW w:w="239" w:type="dxa"/>
            <w:tcBorders>
              <w:top w:val="nil"/>
              <w:left w:val="nil"/>
              <w:bottom w:val="single" w:sz="8" w:space="0" w:color="auto"/>
              <w:right w:val="nil"/>
            </w:tcBorders>
          </w:tcPr>
          <w:p w14:paraId="55BC9FB5" w14:textId="77777777" w:rsidR="00144C0C" w:rsidRPr="00343D9E" w:rsidRDefault="00144C0C" w:rsidP="00144C0C">
            <w:pPr>
              <w:jc w:val="center"/>
              <w:rPr>
                <w:rFonts w:asciiTheme="minorHAnsi" w:hAnsiTheme="minorHAnsi" w:cstheme="minorHAnsi"/>
                <w:sz w:val="16"/>
                <w:szCs w:val="16"/>
              </w:rPr>
            </w:pPr>
          </w:p>
        </w:tc>
        <w:tc>
          <w:tcPr>
            <w:tcW w:w="2225" w:type="dxa"/>
            <w:gridSpan w:val="2"/>
            <w:tcBorders>
              <w:top w:val="nil"/>
              <w:left w:val="nil"/>
              <w:bottom w:val="single" w:sz="8" w:space="0" w:color="auto"/>
              <w:right w:val="nil"/>
            </w:tcBorders>
          </w:tcPr>
          <w:p w14:paraId="4047B699"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270</w:t>
            </w:r>
          </w:p>
        </w:tc>
        <w:tc>
          <w:tcPr>
            <w:tcW w:w="2409" w:type="dxa"/>
            <w:gridSpan w:val="2"/>
            <w:tcBorders>
              <w:top w:val="nil"/>
              <w:left w:val="nil"/>
              <w:bottom w:val="single" w:sz="8" w:space="0" w:color="auto"/>
              <w:right w:val="nil"/>
            </w:tcBorders>
          </w:tcPr>
          <w:p w14:paraId="1A34EF3D" w14:textId="77777777" w:rsidR="00144C0C" w:rsidRPr="00343D9E" w:rsidRDefault="00144C0C" w:rsidP="00144C0C">
            <w:pPr>
              <w:jc w:val="center"/>
              <w:rPr>
                <w:rFonts w:asciiTheme="minorHAnsi" w:hAnsiTheme="minorHAnsi" w:cstheme="minorHAnsi"/>
                <w:sz w:val="16"/>
                <w:szCs w:val="16"/>
              </w:rPr>
            </w:pPr>
            <w:r>
              <w:rPr>
                <w:rFonts w:asciiTheme="minorHAnsi" w:hAnsiTheme="minorHAnsi" w:cstheme="minorHAnsi"/>
                <w:sz w:val="16"/>
                <w:szCs w:val="16"/>
              </w:rPr>
              <w:t>1435</w:t>
            </w:r>
          </w:p>
        </w:tc>
        <w:tc>
          <w:tcPr>
            <w:tcW w:w="2552" w:type="dxa"/>
            <w:gridSpan w:val="2"/>
            <w:tcBorders>
              <w:top w:val="nil"/>
              <w:left w:val="nil"/>
              <w:bottom w:val="single" w:sz="8" w:space="0" w:color="auto"/>
              <w:right w:val="nil"/>
            </w:tcBorders>
          </w:tcPr>
          <w:p w14:paraId="7BCAC0F6"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2222</w:t>
            </w:r>
          </w:p>
        </w:tc>
        <w:tc>
          <w:tcPr>
            <w:tcW w:w="236" w:type="dxa"/>
            <w:tcBorders>
              <w:top w:val="nil"/>
              <w:left w:val="nil"/>
              <w:bottom w:val="nil"/>
              <w:right w:val="nil"/>
            </w:tcBorders>
          </w:tcPr>
          <w:p w14:paraId="2C599A59" w14:textId="77777777" w:rsidR="00144C0C" w:rsidRPr="00427FC7" w:rsidRDefault="00144C0C" w:rsidP="00144C0C">
            <w:pPr>
              <w:jc w:val="center"/>
              <w:rPr>
                <w:rFonts w:ascii="Times New Roman" w:hAnsi="Times New Roman" w:cs="Times New Roman"/>
                <w:sz w:val="16"/>
                <w:szCs w:val="16"/>
              </w:rPr>
            </w:pPr>
          </w:p>
        </w:tc>
      </w:tr>
      <w:tr w:rsidR="00144C0C" w:rsidRPr="00427FC7" w14:paraId="3BC7DDD4" w14:textId="77777777" w:rsidTr="00144C0C">
        <w:trPr>
          <w:trHeight w:val="107"/>
        </w:trPr>
        <w:tc>
          <w:tcPr>
            <w:tcW w:w="1364" w:type="dxa"/>
            <w:tcBorders>
              <w:top w:val="single" w:sz="8" w:space="0" w:color="auto"/>
              <w:left w:val="nil"/>
              <w:bottom w:val="nil"/>
              <w:right w:val="nil"/>
            </w:tcBorders>
          </w:tcPr>
          <w:p w14:paraId="35A04536"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R</w:t>
            </w:r>
            <w:r w:rsidRPr="00343D9E">
              <w:rPr>
                <w:rFonts w:asciiTheme="minorHAnsi" w:hAnsiTheme="minorHAnsi" w:cstheme="minorHAnsi"/>
                <w:sz w:val="16"/>
                <w:szCs w:val="16"/>
                <w:vertAlign w:val="superscript"/>
                <w:lang w:val="en-US"/>
              </w:rPr>
              <w:t xml:space="preserve">2 </w:t>
            </w:r>
            <w:r w:rsidRPr="00343D9E">
              <w:rPr>
                <w:rFonts w:asciiTheme="minorHAnsi" w:hAnsiTheme="minorHAnsi" w:cstheme="minorHAnsi"/>
                <w:sz w:val="16"/>
                <w:szCs w:val="16"/>
                <w:lang w:val="en-US"/>
              </w:rPr>
              <w:t>(Within)</w:t>
            </w:r>
          </w:p>
        </w:tc>
        <w:tc>
          <w:tcPr>
            <w:tcW w:w="239" w:type="dxa"/>
            <w:tcBorders>
              <w:top w:val="single" w:sz="8" w:space="0" w:color="auto"/>
              <w:left w:val="nil"/>
              <w:bottom w:val="nil"/>
              <w:right w:val="nil"/>
            </w:tcBorders>
          </w:tcPr>
          <w:p w14:paraId="608BE6BB" w14:textId="77777777" w:rsidR="00144C0C" w:rsidRPr="00343D9E" w:rsidRDefault="00144C0C" w:rsidP="00144C0C">
            <w:pPr>
              <w:jc w:val="center"/>
              <w:rPr>
                <w:rFonts w:asciiTheme="minorHAnsi" w:hAnsiTheme="minorHAnsi" w:cstheme="minorHAnsi"/>
                <w:sz w:val="16"/>
                <w:szCs w:val="16"/>
              </w:rPr>
            </w:pPr>
          </w:p>
        </w:tc>
        <w:tc>
          <w:tcPr>
            <w:tcW w:w="2225" w:type="dxa"/>
            <w:gridSpan w:val="2"/>
            <w:tcBorders>
              <w:top w:val="single" w:sz="8" w:space="0" w:color="auto"/>
              <w:left w:val="nil"/>
              <w:bottom w:val="nil"/>
              <w:right w:val="nil"/>
            </w:tcBorders>
          </w:tcPr>
          <w:p w14:paraId="721F8406"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.0698</w:t>
            </w:r>
          </w:p>
        </w:tc>
        <w:tc>
          <w:tcPr>
            <w:tcW w:w="2409" w:type="dxa"/>
            <w:gridSpan w:val="2"/>
            <w:tcBorders>
              <w:top w:val="single" w:sz="8" w:space="0" w:color="auto"/>
              <w:left w:val="nil"/>
              <w:bottom w:val="nil"/>
              <w:right w:val="nil"/>
            </w:tcBorders>
          </w:tcPr>
          <w:p w14:paraId="3E18D031"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w:t>
            </w:r>
            <w:r>
              <w:rPr>
                <w:rFonts w:asciiTheme="minorHAnsi" w:hAnsiTheme="minorHAnsi" w:cstheme="minorHAnsi"/>
                <w:sz w:val="16"/>
                <w:szCs w:val="16"/>
              </w:rPr>
              <w:t>698</w:t>
            </w:r>
          </w:p>
        </w:tc>
        <w:tc>
          <w:tcPr>
            <w:tcW w:w="2552" w:type="dxa"/>
            <w:gridSpan w:val="2"/>
            <w:tcBorders>
              <w:top w:val="single" w:sz="8" w:space="0" w:color="auto"/>
              <w:left w:val="nil"/>
              <w:bottom w:val="nil"/>
              <w:right w:val="nil"/>
            </w:tcBorders>
          </w:tcPr>
          <w:p w14:paraId="58F7C4EF"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.0698</w:t>
            </w:r>
          </w:p>
        </w:tc>
        <w:tc>
          <w:tcPr>
            <w:tcW w:w="236" w:type="dxa"/>
            <w:tcBorders>
              <w:top w:val="nil"/>
              <w:left w:val="nil"/>
              <w:bottom w:val="nil"/>
              <w:right w:val="nil"/>
            </w:tcBorders>
          </w:tcPr>
          <w:p w14:paraId="344AFC90" w14:textId="77777777" w:rsidR="00144C0C" w:rsidRPr="00427FC7" w:rsidRDefault="00144C0C" w:rsidP="00144C0C">
            <w:pPr>
              <w:jc w:val="center"/>
              <w:rPr>
                <w:rFonts w:ascii="Times New Roman" w:hAnsi="Times New Roman" w:cs="Times New Roman"/>
                <w:sz w:val="16"/>
                <w:szCs w:val="16"/>
              </w:rPr>
            </w:pPr>
          </w:p>
        </w:tc>
      </w:tr>
      <w:tr w:rsidR="00144C0C" w:rsidRPr="00427FC7" w14:paraId="7ED18E3E" w14:textId="77777777" w:rsidTr="00144C0C">
        <w:trPr>
          <w:trHeight w:val="52"/>
        </w:trPr>
        <w:tc>
          <w:tcPr>
            <w:tcW w:w="1364" w:type="dxa"/>
            <w:tcBorders>
              <w:top w:val="nil"/>
              <w:left w:val="nil"/>
              <w:bottom w:val="nil"/>
              <w:right w:val="nil"/>
            </w:tcBorders>
          </w:tcPr>
          <w:p w14:paraId="7D95ECB9"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R</w:t>
            </w:r>
            <w:r w:rsidRPr="00343D9E">
              <w:rPr>
                <w:rFonts w:asciiTheme="minorHAnsi" w:hAnsiTheme="minorHAnsi" w:cstheme="minorHAnsi"/>
                <w:sz w:val="16"/>
                <w:szCs w:val="16"/>
                <w:vertAlign w:val="superscript"/>
                <w:lang w:val="en-US"/>
              </w:rPr>
              <w:t xml:space="preserve">2 </w:t>
            </w:r>
            <w:r w:rsidRPr="00343D9E">
              <w:rPr>
                <w:rFonts w:asciiTheme="minorHAnsi" w:hAnsiTheme="minorHAnsi" w:cstheme="minorHAnsi"/>
                <w:sz w:val="16"/>
                <w:szCs w:val="16"/>
                <w:lang w:val="en-US"/>
              </w:rPr>
              <w:t>(Between)</w:t>
            </w:r>
          </w:p>
        </w:tc>
        <w:tc>
          <w:tcPr>
            <w:tcW w:w="239" w:type="dxa"/>
            <w:tcBorders>
              <w:top w:val="nil"/>
              <w:left w:val="nil"/>
              <w:bottom w:val="nil"/>
              <w:right w:val="nil"/>
            </w:tcBorders>
          </w:tcPr>
          <w:p w14:paraId="7BA765D2" w14:textId="77777777" w:rsidR="00144C0C" w:rsidRPr="00343D9E" w:rsidRDefault="00144C0C" w:rsidP="00144C0C">
            <w:pPr>
              <w:jc w:val="center"/>
              <w:rPr>
                <w:rFonts w:asciiTheme="minorHAnsi" w:hAnsiTheme="minorHAnsi" w:cstheme="minorHAnsi"/>
                <w:sz w:val="16"/>
                <w:szCs w:val="16"/>
              </w:rPr>
            </w:pPr>
          </w:p>
        </w:tc>
        <w:tc>
          <w:tcPr>
            <w:tcW w:w="2225" w:type="dxa"/>
            <w:gridSpan w:val="2"/>
            <w:tcBorders>
              <w:top w:val="nil"/>
              <w:left w:val="nil"/>
              <w:bottom w:val="nil"/>
              <w:right w:val="nil"/>
            </w:tcBorders>
          </w:tcPr>
          <w:p w14:paraId="5FFA29CA"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.0478</w:t>
            </w:r>
          </w:p>
        </w:tc>
        <w:tc>
          <w:tcPr>
            <w:tcW w:w="2409" w:type="dxa"/>
            <w:gridSpan w:val="2"/>
            <w:tcBorders>
              <w:top w:val="nil"/>
              <w:left w:val="nil"/>
              <w:bottom w:val="nil"/>
              <w:right w:val="nil"/>
            </w:tcBorders>
          </w:tcPr>
          <w:p w14:paraId="1B221801"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w:t>
            </w:r>
            <w:r>
              <w:rPr>
                <w:rFonts w:asciiTheme="minorHAnsi" w:hAnsiTheme="minorHAnsi" w:cstheme="minorHAnsi"/>
                <w:sz w:val="16"/>
                <w:szCs w:val="16"/>
              </w:rPr>
              <w:t>478</w:t>
            </w:r>
          </w:p>
        </w:tc>
        <w:tc>
          <w:tcPr>
            <w:tcW w:w="2552" w:type="dxa"/>
            <w:gridSpan w:val="2"/>
            <w:tcBorders>
              <w:top w:val="nil"/>
              <w:left w:val="nil"/>
              <w:bottom w:val="nil"/>
              <w:right w:val="nil"/>
            </w:tcBorders>
          </w:tcPr>
          <w:p w14:paraId="05FFAE3E"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.0478</w:t>
            </w:r>
          </w:p>
        </w:tc>
        <w:tc>
          <w:tcPr>
            <w:tcW w:w="236" w:type="dxa"/>
            <w:tcBorders>
              <w:top w:val="nil"/>
              <w:left w:val="nil"/>
              <w:bottom w:val="nil"/>
              <w:right w:val="nil"/>
            </w:tcBorders>
          </w:tcPr>
          <w:p w14:paraId="3CCC25C3" w14:textId="77777777" w:rsidR="00144C0C" w:rsidRPr="00427FC7" w:rsidRDefault="00144C0C" w:rsidP="00144C0C">
            <w:pPr>
              <w:jc w:val="center"/>
              <w:rPr>
                <w:rFonts w:ascii="Times New Roman" w:hAnsi="Times New Roman" w:cs="Times New Roman"/>
                <w:sz w:val="16"/>
                <w:szCs w:val="16"/>
              </w:rPr>
            </w:pPr>
          </w:p>
        </w:tc>
      </w:tr>
      <w:tr w:rsidR="00144C0C" w:rsidRPr="00427FC7" w14:paraId="461D0A4C" w14:textId="77777777" w:rsidTr="00144C0C">
        <w:trPr>
          <w:trHeight w:val="52"/>
        </w:trPr>
        <w:tc>
          <w:tcPr>
            <w:tcW w:w="1364" w:type="dxa"/>
            <w:tcBorders>
              <w:top w:val="nil"/>
              <w:left w:val="nil"/>
              <w:bottom w:val="single" w:sz="4" w:space="0" w:color="auto"/>
              <w:right w:val="nil"/>
            </w:tcBorders>
          </w:tcPr>
          <w:p w14:paraId="484AC9A6" w14:textId="77777777" w:rsidR="00144C0C" w:rsidRPr="00343D9E" w:rsidRDefault="00144C0C" w:rsidP="00144C0C">
            <w:pPr>
              <w:jc w:val="center"/>
              <w:rPr>
                <w:rFonts w:asciiTheme="minorHAnsi" w:hAnsiTheme="minorHAnsi" w:cstheme="minorHAnsi"/>
                <w:sz w:val="16"/>
                <w:szCs w:val="16"/>
                <w:lang w:val="en-US"/>
              </w:rPr>
            </w:pPr>
            <w:r w:rsidRPr="00343D9E">
              <w:rPr>
                <w:rFonts w:asciiTheme="minorHAnsi" w:hAnsiTheme="minorHAnsi" w:cstheme="minorHAnsi"/>
                <w:sz w:val="16"/>
                <w:szCs w:val="16"/>
                <w:lang w:val="en-US"/>
              </w:rPr>
              <w:t>R</w:t>
            </w:r>
            <w:r w:rsidRPr="00343D9E">
              <w:rPr>
                <w:rFonts w:asciiTheme="minorHAnsi" w:hAnsiTheme="minorHAnsi" w:cstheme="minorHAnsi"/>
                <w:sz w:val="16"/>
                <w:szCs w:val="16"/>
                <w:vertAlign w:val="superscript"/>
                <w:lang w:val="en-US"/>
              </w:rPr>
              <w:t xml:space="preserve">2 </w:t>
            </w:r>
            <w:r w:rsidRPr="00343D9E">
              <w:rPr>
                <w:rFonts w:asciiTheme="minorHAnsi" w:hAnsiTheme="minorHAnsi" w:cstheme="minorHAnsi"/>
                <w:sz w:val="16"/>
                <w:szCs w:val="16"/>
                <w:lang w:val="en-US"/>
              </w:rPr>
              <w:t>(Total)</w:t>
            </w:r>
          </w:p>
        </w:tc>
        <w:tc>
          <w:tcPr>
            <w:tcW w:w="239" w:type="dxa"/>
            <w:tcBorders>
              <w:top w:val="nil"/>
              <w:left w:val="nil"/>
              <w:bottom w:val="single" w:sz="4" w:space="0" w:color="auto"/>
              <w:right w:val="nil"/>
            </w:tcBorders>
          </w:tcPr>
          <w:p w14:paraId="7826B925" w14:textId="77777777" w:rsidR="00144C0C" w:rsidRPr="00343D9E" w:rsidRDefault="00144C0C" w:rsidP="00144C0C">
            <w:pPr>
              <w:jc w:val="center"/>
              <w:rPr>
                <w:rFonts w:asciiTheme="minorHAnsi" w:hAnsiTheme="minorHAnsi" w:cstheme="minorHAnsi"/>
                <w:sz w:val="16"/>
                <w:szCs w:val="16"/>
              </w:rPr>
            </w:pPr>
          </w:p>
        </w:tc>
        <w:tc>
          <w:tcPr>
            <w:tcW w:w="2225" w:type="dxa"/>
            <w:gridSpan w:val="2"/>
            <w:tcBorders>
              <w:top w:val="nil"/>
              <w:left w:val="nil"/>
              <w:bottom w:val="single" w:sz="4" w:space="0" w:color="auto"/>
              <w:right w:val="nil"/>
            </w:tcBorders>
          </w:tcPr>
          <w:p w14:paraId="0099CA77"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.0417</w:t>
            </w:r>
          </w:p>
        </w:tc>
        <w:tc>
          <w:tcPr>
            <w:tcW w:w="2409" w:type="dxa"/>
            <w:gridSpan w:val="2"/>
            <w:tcBorders>
              <w:top w:val="nil"/>
              <w:left w:val="nil"/>
              <w:bottom w:val="single" w:sz="4" w:space="0" w:color="auto"/>
              <w:right w:val="nil"/>
            </w:tcBorders>
          </w:tcPr>
          <w:p w14:paraId="26F8DAD3"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w:t>
            </w:r>
            <w:r>
              <w:rPr>
                <w:rFonts w:asciiTheme="minorHAnsi" w:hAnsiTheme="minorHAnsi" w:cstheme="minorHAnsi"/>
                <w:sz w:val="16"/>
                <w:szCs w:val="16"/>
              </w:rPr>
              <w:t>417</w:t>
            </w:r>
          </w:p>
        </w:tc>
        <w:tc>
          <w:tcPr>
            <w:tcW w:w="2552" w:type="dxa"/>
            <w:gridSpan w:val="2"/>
            <w:tcBorders>
              <w:top w:val="nil"/>
              <w:left w:val="nil"/>
              <w:bottom w:val="single" w:sz="4" w:space="0" w:color="auto"/>
              <w:right w:val="nil"/>
            </w:tcBorders>
          </w:tcPr>
          <w:p w14:paraId="33EF8ED8" w14:textId="77777777" w:rsidR="00144C0C" w:rsidRPr="00343D9E" w:rsidRDefault="00144C0C" w:rsidP="00144C0C">
            <w:pPr>
              <w:jc w:val="center"/>
              <w:rPr>
                <w:rFonts w:asciiTheme="minorHAnsi" w:hAnsiTheme="minorHAnsi" w:cstheme="minorHAnsi"/>
                <w:sz w:val="16"/>
                <w:szCs w:val="16"/>
              </w:rPr>
            </w:pPr>
            <w:r w:rsidRPr="00343D9E">
              <w:rPr>
                <w:rFonts w:asciiTheme="minorHAnsi" w:hAnsiTheme="minorHAnsi" w:cstheme="minorHAnsi"/>
                <w:sz w:val="16"/>
                <w:szCs w:val="16"/>
              </w:rPr>
              <w:t>.0417</w:t>
            </w:r>
          </w:p>
        </w:tc>
        <w:tc>
          <w:tcPr>
            <w:tcW w:w="236" w:type="dxa"/>
            <w:tcBorders>
              <w:top w:val="nil"/>
              <w:left w:val="nil"/>
              <w:bottom w:val="nil"/>
              <w:right w:val="nil"/>
            </w:tcBorders>
          </w:tcPr>
          <w:p w14:paraId="0847D0AC" w14:textId="77777777" w:rsidR="00144C0C" w:rsidRPr="00427FC7" w:rsidRDefault="00144C0C" w:rsidP="00144C0C">
            <w:pPr>
              <w:jc w:val="center"/>
              <w:rPr>
                <w:rFonts w:ascii="Times New Roman" w:hAnsi="Times New Roman" w:cs="Times New Roman"/>
                <w:sz w:val="16"/>
                <w:szCs w:val="16"/>
              </w:rPr>
            </w:pPr>
          </w:p>
        </w:tc>
      </w:tr>
    </w:tbl>
    <w:p w14:paraId="0AEA8F5F" w14:textId="0AF05E80" w:rsidR="000F4FAA" w:rsidRDefault="00144C0C" w:rsidP="00953690">
      <w:pPr>
        <w:jc w:val="both"/>
        <w:rPr>
          <w:rFonts w:cstheme="minorHAnsi"/>
          <w:sz w:val="16"/>
          <w:szCs w:val="16"/>
          <w:lang w:val="en-US"/>
        </w:rPr>
      </w:pPr>
      <w:r>
        <w:rPr>
          <w:rFonts w:cstheme="minorHAnsi"/>
          <w:noProof/>
        </w:rPr>
        <mc:AlternateContent>
          <mc:Choice Requires="wps">
            <w:drawing>
              <wp:anchor distT="0" distB="0" distL="114300" distR="114300" simplePos="0" relativeHeight="251669504" behindDoc="0" locked="0" layoutInCell="1" allowOverlap="1" wp14:anchorId="26B103F3" wp14:editId="42661790">
                <wp:simplePos x="0" y="0"/>
                <wp:positionH relativeFrom="margin">
                  <wp:align>left</wp:align>
                </wp:positionH>
                <wp:positionV relativeFrom="paragraph">
                  <wp:posOffset>6948569</wp:posOffset>
                </wp:positionV>
                <wp:extent cx="3088005" cy="400685"/>
                <wp:effectExtent l="0" t="0" r="0" b="0"/>
                <wp:wrapNone/>
                <wp:docPr id="11315396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8005" cy="400685"/>
                        </a:xfrm>
                        <a:prstGeom prst="rect">
                          <a:avLst/>
                        </a:prstGeom>
                        <a:solidFill>
                          <a:schemeClr val="lt1"/>
                        </a:solidFill>
                        <a:ln w="6350">
                          <a:noFill/>
                        </a:ln>
                      </wps:spPr>
                      <wps:txbx>
                        <w:txbxContent>
                          <w:p w14:paraId="1559485E" w14:textId="77777777" w:rsidR="00487661" w:rsidRPr="00AE47D9" w:rsidRDefault="00487661" w:rsidP="00487661">
                            <w:pPr>
                              <w:rPr>
                                <w:sz w:val="16"/>
                                <w:szCs w:val="16"/>
                                <w:lang w:val="fr-FR"/>
                              </w:rPr>
                            </w:pPr>
                            <w:r w:rsidRPr="00AE47D9">
                              <w:rPr>
                                <w:sz w:val="16"/>
                                <w:szCs w:val="16"/>
                                <w:lang w:val="fr-FR"/>
                              </w:rPr>
                              <w:t xml:space="preserve">Notes: </w:t>
                            </w:r>
                            <w:r w:rsidRPr="00AE47D9">
                              <w:rPr>
                                <w:sz w:val="16"/>
                                <w:szCs w:val="16"/>
                                <w:lang w:val="fr-FR"/>
                              </w:rPr>
                              <w:t xml:space="preserve">Sig.:. *** </w:t>
                            </w:r>
                            <w:r w:rsidRPr="00AE47D9">
                              <w:rPr>
                                <w:i/>
                                <w:iCs/>
                                <w:sz w:val="16"/>
                                <w:szCs w:val="16"/>
                                <w:lang w:val="fr-FR"/>
                              </w:rPr>
                              <w:t xml:space="preserve">p </w:t>
                            </w:r>
                            <w:r w:rsidRPr="00AE47D9">
                              <w:rPr>
                                <w:sz w:val="16"/>
                                <w:szCs w:val="16"/>
                                <w:lang w:val="fr-FR"/>
                              </w:rPr>
                              <w:t xml:space="preserve">&lt; 0.001; ** </w:t>
                            </w:r>
                            <w:r w:rsidRPr="00AE47D9">
                              <w:rPr>
                                <w:i/>
                                <w:iCs/>
                                <w:sz w:val="16"/>
                                <w:szCs w:val="16"/>
                                <w:lang w:val="fr-FR"/>
                              </w:rPr>
                              <w:t xml:space="preserve">p </w:t>
                            </w:r>
                            <w:r w:rsidRPr="00AE47D9">
                              <w:rPr>
                                <w:sz w:val="16"/>
                                <w:szCs w:val="16"/>
                                <w:lang w:val="fr-FR"/>
                              </w:rPr>
                              <w:t xml:space="preserve">&lt; 0.01; * </w:t>
                            </w:r>
                            <w:r w:rsidRPr="00AE47D9">
                              <w:rPr>
                                <w:i/>
                                <w:iCs/>
                                <w:sz w:val="16"/>
                                <w:szCs w:val="16"/>
                                <w:lang w:val="fr-FR"/>
                              </w:rPr>
                              <w:t xml:space="preserve">p </w:t>
                            </w:r>
                            <w:r w:rsidRPr="00AE47D9">
                              <w:rPr>
                                <w:sz w:val="16"/>
                                <w:szCs w:val="16"/>
                                <w:lang w:val="fr-FR"/>
                              </w:rPr>
                              <w:t>&lt;</w:t>
                            </w:r>
                            <w:r w:rsidRPr="00AE47D9">
                              <w:rPr>
                                <w:i/>
                                <w:iCs/>
                                <w:sz w:val="16"/>
                                <w:szCs w:val="16"/>
                                <w:lang w:val="fr-FR"/>
                              </w:rPr>
                              <w:t xml:space="preserve"> </w:t>
                            </w:r>
                            <w:r w:rsidRPr="00AE47D9">
                              <w:rPr>
                                <w:sz w:val="16"/>
                                <w:szCs w:val="16"/>
                                <w:lang w:val="fr-FR"/>
                              </w:rPr>
                              <w:t>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B103F3" id="_x0000_s1027" type="#_x0000_t202" style="position:absolute;left:0;text-align:left;margin-left:0;margin-top:547.15pt;width:243.15pt;height:31.5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" fillcolor="white [3201]" stroked="f" strokeweight=".5pt">
                <v:textbox>
                  <w:txbxContent>
                    <w:p w14:paraId="1559485E" w14:textId="77777777" w:rsidR="00487661" w:rsidRPr="00AE47D9" w:rsidRDefault="00487661" w:rsidP="00487661">
                      <w:pPr>
                        <w:rPr>
                          <w:sz w:val="16"/>
                          <w:szCs w:val="16"/>
                          <w:lang w:val="fr-FR"/>
                        </w:rPr>
                      </w:pPr>
                      <w:r w:rsidRPr="00AE47D9">
                        <w:rPr>
                          <w:sz w:val="16"/>
                          <w:szCs w:val="16"/>
                          <w:lang w:val="fr-FR"/>
                        </w:rPr>
                        <w:t xml:space="preserve">Notes: </w:t>
                      </w:r>
                      <w:proofErr w:type="spellStart"/>
                      <w:r w:rsidRPr="00AE47D9">
                        <w:rPr>
                          <w:sz w:val="16"/>
                          <w:szCs w:val="16"/>
                          <w:lang w:val="fr-FR"/>
                        </w:rPr>
                        <w:t>Sig</w:t>
                      </w:r>
                      <w:proofErr w:type="spellEnd"/>
                      <w:r w:rsidRPr="00AE47D9">
                        <w:rPr>
                          <w:sz w:val="16"/>
                          <w:szCs w:val="16"/>
                          <w:lang w:val="fr-FR"/>
                        </w:rPr>
                        <w:t xml:space="preserve">.:. *** </w:t>
                      </w:r>
                      <w:r w:rsidRPr="00AE47D9">
                        <w:rPr>
                          <w:i/>
                          <w:iCs/>
                          <w:sz w:val="16"/>
                          <w:szCs w:val="16"/>
                          <w:lang w:val="fr-FR"/>
                        </w:rPr>
                        <w:t xml:space="preserve">p </w:t>
                      </w:r>
                      <w:r w:rsidRPr="00AE47D9">
                        <w:rPr>
                          <w:sz w:val="16"/>
                          <w:szCs w:val="16"/>
                          <w:lang w:val="fr-FR"/>
                        </w:rPr>
                        <w:t xml:space="preserve">&lt; 0.001; ** </w:t>
                      </w:r>
                      <w:r w:rsidRPr="00AE47D9">
                        <w:rPr>
                          <w:i/>
                          <w:iCs/>
                          <w:sz w:val="16"/>
                          <w:szCs w:val="16"/>
                          <w:lang w:val="fr-FR"/>
                        </w:rPr>
                        <w:t xml:space="preserve">p </w:t>
                      </w:r>
                      <w:r w:rsidRPr="00AE47D9">
                        <w:rPr>
                          <w:sz w:val="16"/>
                          <w:szCs w:val="16"/>
                          <w:lang w:val="fr-FR"/>
                        </w:rPr>
                        <w:t xml:space="preserve">&lt; 0.01; * </w:t>
                      </w:r>
                      <w:r w:rsidRPr="00AE47D9">
                        <w:rPr>
                          <w:i/>
                          <w:iCs/>
                          <w:sz w:val="16"/>
                          <w:szCs w:val="16"/>
                          <w:lang w:val="fr-FR"/>
                        </w:rPr>
                        <w:t xml:space="preserve">p </w:t>
                      </w:r>
                      <w:r w:rsidRPr="00AE47D9">
                        <w:rPr>
                          <w:sz w:val="16"/>
                          <w:szCs w:val="16"/>
                          <w:lang w:val="fr-FR"/>
                        </w:rPr>
                        <w:t>&lt;</w:t>
                      </w:r>
                      <w:r w:rsidRPr="00AE47D9">
                        <w:rPr>
                          <w:i/>
                          <w:iCs/>
                          <w:sz w:val="16"/>
                          <w:szCs w:val="16"/>
                          <w:lang w:val="fr-FR"/>
                        </w:rPr>
                        <w:t xml:space="preserve"> </w:t>
                      </w:r>
                      <w:r w:rsidRPr="00AE47D9">
                        <w:rPr>
                          <w:sz w:val="16"/>
                          <w:szCs w:val="16"/>
                          <w:lang w:val="fr-FR"/>
                        </w:rPr>
                        <w:t>0.05</w:t>
                      </w:r>
                    </w:p>
                  </w:txbxContent>
                </v:textbox>
                <w10:wrap anchorx="margin"/>
              </v:shape>
            </w:pict>
          </mc:Fallback>
        </mc:AlternateContent>
      </w:r>
    </w:p>
    <w:p w14:paraId="72701351" w14:textId="77777777" w:rsidR="00AE47D9" w:rsidRPr="00AE47D9" w:rsidRDefault="00AE47D9" w:rsidP="00953690">
      <w:pPr>
        <w:jc w:val="both"/>
        <w:rPr>
          <w:rFonts w:cstheme="minorHAnsi"/>
          <w:sz w:val="16"/>
          <w:szCs w:val="16"/>
          <w:lang w:val="en-US"/>
        </w:rPr>
      </w:pPr>
    </w:p>
    <w:p w14:paraId="6A13D96B" w14:textId="77777777" w:rsidR="00F94C9D" w:rsidRDefault="00F94C9D" w:rsidP="00953690">
      <w:pPr>
        <w:jc w:val="both"/>
        <w:rPr>
          <w:rFonts w:cstheme="minorHAnsi"/>
        </w:rPr>
      </w:pPr>
    </w:p>
    <w:p w14:paraId="7FA50B9D" w14:textId="77777777" w:rsidR="00F94C9D" w:rsidRPr="006378BD" w:rsidRDefault="00F94C9D" w:rsidP="00953690">
      <w:pPr>
        <w:jc w:val="both"/>
        <w:rPr>
          <w:rFonts w:cstheme="minorHAnsi"/>
          <w:lang w:val="en-US"/>
        </w:rPr>
      </w:pPr>
    </w:p>
    <w:p w14:paraId="0A1D59B5" w14:textId="6BB69DCC" w:rsidR="00F94C9D" w:rsidRDefault="00F94C9D" w:rsidP="00953690">
      <w:pPr>
        <w:jc w:val="both"/>
        <w:rPr>
          <w:rFonts w:cstheme="minorHAnsi"/>
        </w:rPr>
      </w:pPr>
    </w:p>
    <w:p w14:paraId="39C76170" w14:textId="76F6365E" w:rsidR="006378BD" w:rsidRDefault="006378BD" w:rsidP="00AE47D9">
      <w:pPr>
        <w:jc w:val="both"/>
        <w:rPr>
          <w:rFonts w:cstheme="minorHAnsi"/>
        </w:rPr>
      </w:pPr>
    </w:p>
    <w:p w14:paraId="202EBCC5" w14:textId="31D80A28" w:rsidR="00953690" w:rsidRPr="00541434" w:rsidRDefault="00541434" w:rsidP="00541434">
      <w:pPr>
        <w:rPr>
          <w:b/>
          <w:bCs/>
          <w:sz w:val="20"/>
          <w:szCs w:val="20"/>
        </w:rPr>
      </w:pPr>
      <w:bookmarkStart w:id="4" w:name="_Toc130996683"/>
      <w:r>
        <w:rPr>
          <w:b/>
          <w:bCs/>
          <w:sz w:val="20"/>
          <w:szCs w:val="20"/>
          <w:lang w:val="nl-NL"/>
        </w:rPr>
        <w:lastRenderedPageBreak/>
        <w:t xml:space="preserve">6. </w:t>
      </w:r>
      <w:r w:rsidR="00121886">
        <w:rPr>
          <w:b/>
          <w:bCs/>
          <w:sz w:val="20"/>
          <w:szCs w:val="20"/>
          <w:lang w:val="nl-NL"/>
        </w:rPr>
        <w:tab/>
      </w:r>
      <w:r w:rsidR="00953690" w:rsidRPr="00541434">
        <w:rPr>
          <w:b/>
          <w:bCs/>
          <w:sz w:val="20"/>
          <w:szCs w:val="20"/>
        </w:rPr>
        <w:t>Conclusion</w:t>
      </w:r>
      <w:bookmarkEnd w:id="4"/>
      <w:r w:rsidR="00025D3A" w:rsidRPr="00541434">
        <w:rPr>
          <w:b/>
          <w:bCs/>
          <w:sz w:val="20"/>
          <w:szCs w:val="20"/>
          <w:lang w:val="en-US"/>
        </w:rPr>
        <w:t xml:space="preserve"> and Discussion</w:t>
      </w:r>
    </w:p>
    <w:p w14:paraId="230A6138" w14:textId="6D315AD6" w:rsidR="006378BD" w:rsidRPr="000F4FAA" w:rsidRDefault="006378BD" w:rsidP="006378BD">
      <w:pPr>
        <w:jc w:val="both"/>
        <w:rPr>
          <w:rFonts w:cstheme="minorHAnsi"/>
          <w:sz w:val="20"/>
          <w:szCs w:val="20"/>
          <w:lang w:val="en-US"/>
        </w:rPr>
      </w:pPr>
      <w:r w:rsidRPr="000F4FAA">
        <w:rPr>
          <w:rFonts w:cstheme="minorHAnsi"/>
          <w:sz w:val="20"/>
          <w:szCs w:val="20"/>
          <w:lang w:val="en-US"/>
        </w:rPr>
        <w:t>This study</w:t>
      </w:r>
      <w:r w:rsidRPr="000F4FAA">
        <w:rPr>
          <w:rFonts w:cstheme="minorHAnsi"/>
          <w:sz w:val="20"/>
          <w:szCs w:val="20"/>
        </w:rPr>
        <w:t xml:space="preserve"> attempted to establish whether there was a relationship between wealth inequality and volunteering. In order to answer my research question</w:t>
      </w:r>
      <w:r w:rsidRPr="000F4FAA">
        <w:rPr>
          <w:rFonts w:cstheme="minorHAnsi"/>
          <w:sz w:val="20"/>
          <w:szCs w:val="20"/>
          <w:lang w:val="en-US"/>
        </w:rPr>
        <w:t xml:space="preserve">. </w:t>
      </w:r>
      <w:r w:rsidRPr="000F4FAA">
        <w:rPr>
          <w:rFonts w:cstheme="minorHAnsi"/>
          <w:sz w:val="20"/>
          <w:szCs w:val="20"/>
        </w:rPr>
        <w:t xml:space="preserve">By exploiting the hierarchical structure of the panel data, </w:t>
      </w:r>
      <w:r w:rsidRPr="000F4FAA">
        <w:rPr>
          <w:rFonts w:cstheme="minorHAnsi"/>
          <w:sz w:val="20"/>
          <w:szCs w:val="20"/>
          <w:lang w:val="en-US"/>
        </w:rPr>
        <w:t xml:space="preserve">we </w:t>
      </w:r>
      <w:r w:rsidRPr="000F4FAA">
        <w:rPr>
          <w:rFonts w:cstheme="minorHAnsi"/>
          <w:sz w:val="20"/>
          <w:szCs w:val="20"/>
        </w:rPr>
        <w:t xml:space="preserve">attempted to draw inferences based on changes across respondents, comparing these results with the results from the cross-sectional analyses to reduce the influence of omitted variables that could lead to incorrect conclusions. Based on the results of these analyses </w:t>
      </w:r>
      <w:r w:rsidRPr="000F4FAA">
        <w:rPr>
          <w:rFonts w:cstheme="minorHAnsi"/>
          <w:sz w:val="20"/>
          <w:szCs w:val="20"/>
          <w:lang w:val="en-US"/>
        </w:rPr>
        <w:t xml:space="preserve">we </w:t>
      </w:r>
      <w:r w:rsidRPr="000F4FAA">
        <w:rPr>
          <w:rFonts w:cstheme="minorHAnsi"/>
          <w:sz w:val="20"/>
          <w:szCs w:val="20"/>
        </w:rPr>
        <w:t xml:space="preserve">found </w:t>
      </w:r>
      <w:r w:rsidRPr="000F4FAA">
        <w:rPr>
          <w:rFonts w:cstheme="minorHAnsi"/>
          <w:sz w:val="20"/>
          <w:szCs w:val="20"/>
          <w:lang w:val="en-US"/>
        </w:rPr>
        <w:t>no</w:t>
      </w:r>
      <w:r w:rsidRPr="000F4FAA">
        <w:rPr>
          <w:rFonts w:cstheme="minorHAnsi"/>
          <w:sz w:val="20"/>
          <w:szCs w:val="20"/>
        </w:rPr>
        <w:t xml:space="preserve"> evidence that changes in wealth inequality result in a changes in voluntarism. </w:t>
      </w:r>
      <w:r w:rsidRPr="000F4FAA">
        <w:rPr>
          <w:rFonts w:cstheme="minorHAnsi"/>
          <w:sz w:val="20"/>
          <w:szCs w:val="20"/>
        </w:rPr>
        <w:tab/>
      </w:r>
      <w:r w:rsidRPr="000F4FAA">
        <w:rPr>
          <w:rFonts w:cstheme="minorHAnsi"/>
          <w:sz w:val="20"/>
          <w:szCs w:val="20"/>
        </w:rPr>
        <w:tab/>
      </w:r>
      <w:r w:rsidRPr="000F4FAA">
        <w:rPr>
          <w:rFonts w:cstheme="minorHAnsi"/>
          <w:sz w:val="20"/>
          <w:szCs w:val="20"/>
        </w:rPr>
        <w:tab/>
      </w:r>
      <w:r w:rsidRPr="000F4FAA">
        <w:rPr>
          <w:rFonts w:cstheme="minorHAnsi"/>
          <w:sz w:val="20"/>
          <w:szCs w:val="20"/>
        </w:rPr>
        <w:tab/>
      </w:r>
      <w:r w:rsidR="000E6158" w:rsidRPr="000F4FAA">
        <w:rPr>
          <w:rFonts w:cstheme="minorHAnsi"/>
          <w:sz w:val="20"/>
          <w:szCs w:val="20"/>
        </w:rPr>
        <w:tab/>
      </w:r>
      <w:r w:rsidR="000F4FAA">
        <w:rPr>
          <w:rFonts w:cstheme="minorHAnsi"/>
          <w:sz w:val="20"/>
          <w:szCs w:val="20"/>
        </w:rPr>
        <w:tab/>
      </w:r>
      <w:r w:rsidR="000F4FAA">
        <w:rPr>
          <w:rFonts w:cstheme="minorHAnsi"/>
          <w:sz w:val="20"/>
          <w:szCs w:val="20"/>
        </w:rPr>
        <w:tab/>
      </w:r>
      <w:r w:rsidR="000F4FAA">
        <w:rPr>
          <w:rFonts w:cstheme="minorHAnsi"/>
          <w:sz w:val="20"/>
          <w:szCs w:val="20"/>
        </w:rPr>
        <w:tab/>
      </w:r>
      <w:r w:rsidR="000F4FAA">
        <w:rPr>
          <w:rFonts w:cstheme="minorHAnsi"/>
          <w:sz w:val="20"/>
          <w:szCs w:val="20"/>
        </w:rPr>
        <w:tab/>
      </w:r>
      <w:r w:rsidR="000F4FAA">
        <w:rPr>
          <w:rFonts w:cstheme="minorHAnsi"/>
          <w:sz w:val="20"/>
          <w:szCs w:val="20"/>
        </w:rPr>
        <w:tab/>
      </w:r>
      <w:r w:rsidR="000F4FAA">
        <w:rPr>
          <w:rFonts w:cstheme="minorHAnsi"/>
          <w:sz w:val="20"/>
          <w:szCs w:val="20"/>
        </w:rPr>
        <w:tab/>
      </w:r>
      <w:r w:rsidR="000F4FAA">
        <w:rPr>
          <w:rFonts w:cstheme="minorHAnsi"/>
          <w:sz w:val="20"/>
          <w:szCs w:val="20"/>
        </w:rPr>
        <w:tab/>
      </w:r>
      <w:r w:rsidRPr="000F4FAA">
        <w:rPr>
          <w:rFonts w:cstheme="minorHAnsi"/>
          <w:sz w:val="20"/>
          <w:szCs w:val="20"/>
        </w:rPr>
        <w:t xml:space="preserve">An interesting additional finding of the analyses is that, in the case of trust, it was not possible to establish a relationship between changes in levels of individual trust and voluntarism. </w:t>
      </w:r>
      <w:r w:rsidRPr="000F4FAA">
        <w:rPr>
          <w:rFonts w:cstheme="minorHAnsi"/>
          <w:sz w:val="20"/>
          <w:szCs w:val="20"/>
          <w:lang w:val="en-US"/>
        </w:rPr>
        <w:t>We</w:t>
      </w:r>
      <w:r w:rsidRPr="000F4FAA">
        <w:rPr>
          <w:rFonts w:cstheme="minorHAnsi"/>
          <w:sz w:val="20"/>
          <w:szCs w:val="20"/>
        </w:rPr>
        <w:t xml:space="preserve"> </w:t>
      </w:r>
      <w:r w:rsidRPr="000F4FAA">
        <w:rPr>
          <w:rFonts w:cstheme="minorHAnsi"/>
          <w:sz w:val="20"/>
          <w:szCs w:val="20"/>
          <w:lang w:val="en-US"/>
        </w:rPr>
        <w:t xml:space="preserve">found a positive relationship between trust and voluntarism in the model with fixed-effects at the level of municipalities – indicating individuals that are more trusting are more likely to volunteer, but that individuals that experience a change in trust do not volunteer more or less than in years when they were more or less trusting. This finding is consistent with other research into the influence of trust on voluntarism. </w:t>
      </w:r>
    </w:p>
    <w:p w14:paraId="7790FE39" w14:textId="693E6563" w:rsidR="000E6158" w:rsidRPr="000F4FAA" w:rsidRDefault="006378BD" w:rsidP="006378BD">
      <w:pPr>
        <w:jc w:val="both"/>
        <w:rPr>
          <w:rFonts w:cstheme="minorHAnsi"/>
          <w:sz w:val="20"/>
          <w:szCs w:val="20"/>
        </w:rPr>
      </w:pPr>
      <w:r w:rsidRPr="000F4FAA">
        <w:rPr>
          <w:rFonts w:cstheme="minorHAnsi"/>
          <w:sz w:val="20"/>
          <w:szCs w:val="20"/>
        </w:rPr>
        <w:t xml:space="preserve">The findings with regards to wealth inequality and voluntarism stand in contrast to the findings from cross-sectional country and state comparisons. Although these studies focused on inequality in income rather than wealth, no clear evidence was found indicating income inequality had an influence on voluntary behavior either. Even the cross-sectional analyses rarely found a significant relationship between the two variables. These discrepancies could be the result of differing units of analysis. No clear theoretical arguments exist stipulating at what geographical unit economic inequality should manifest in order to affect individuals’ voluntary behavior. Wealth inequality at the municipal level may not affect individuals in the same way that wealth or income inequality affects individuals at the country-level. </w:t>
      </w:r>
      <w:r w:rsidRPr="000F4FAA">
        <w:rPr>
          <w:rFonts w:cstheme="minorHAnsi"/>
          <w:sz w:val="20"/>
          <w:szCs w:val="20"/>
        </w:rPr>
        <w:tab/>
      </w:r>
      <w:r w:rsidRPr="000F4FAA">
        <w:rPr>
          <w:rFonts w:cstheme="minorHAnsi"/>
          <w:sz w:val="20"/>
          <w:szCs w:val="20"/>
        </w:rPr>
        <w:tab/>
      </w:r>
      <w:r w:rsidRPr="000F4FAA">
        <w:rPr>
          <w:rFonts w:cstheme="minorHAnsi"/>
          <w:sz w:val="20"/>
          <w:szCs w:val="20"/>
        </w:rPr>
        <w:tab/>
      </w:r>
      <w:r w:rsidRPr="000F4FAA">
        <w:rPr>
          <w:rFonts w:cstheme="minorHAnsi"/>
          <w:sz w:val="20"/>
          <w:szCs w:val="20"/>
        </w:rPr>
        <w:tab/>
      </w:r>
      <w:r w:rsidRPr="000F4FAA">
        <w:rPr>
          <w:rFonts w:cstheme="minorHAnsi"/>
          <w:sz w:val="20"/>
          <w:szCs w:val="20"/>
        </w:rPr>
        <w:tab/>
      </w:r>
      <w:r w:rsidRPr="000F4FAA">
        <w:rPr>
          <w:rFonts w:cstheme="minorHAnsi"/>
          <w:sz w:val="20"/>
          <w:szCs w:val="20"/>
        </w:rPr>
        <w:tab/>
      </w:r>
      <w:r w:rsidRPr="000F4FAA">
        <w:rPr>
          <w:rFonts w:cstheme="minorHAnsi"/>
          <w:sz w:val="20"/>
          <w:szCs w:val="20"/>
        </w:rPr>
        <w:tab/>
      </w:r>
      <w:r w:rsidRPr="000F4FAA">
        <w:rPr>
          <w:rFonts w:cstheme="minorHAnsi"/>
          <w:sz w:val="20"/>
          <w:szCs w:val="20"/>
        </w:rPr>
        <w:tab/>
        <w:t xml:space="preserve">Results may also diverge as a result of different measures for wealth inequality. Deviations from an even distribution of households across quintiles are not likely to capture developments in wealth inequality as accurately as a Gini-coefficient. An analysis using a measure for wealth inequality that is able to accurately reflect the wealth distribution of households may yield different results. </w:t>
      </w:r>
      <w:r w:rsidRPr="000F4FAA">
        <w:rPr>
          <w:rFonts w:cstheme="minorHAnsi"/>
          <w:sz w:val="20"/>
          <w:szCs w:val="20"/>
        </w:rPr>
        <w:tab/>
      </w:r>
      <w:r w:rsidRPr="000F4FAA">
        <w:rPr>
          <w:rFonts w:cstheme="minorHAnsi"/>
          <w:sz w:val="20"/>
          <w:szCs w:val="20"/>
        </w:rPr>
        <w:tab/>
      </w:r>
      <w:r w:rsidRPr="000F4FAA">
        <w:rPr>
          <w:rFonts w:cstheme="minorHAnsi"/>
          <w:sz w:val="20"/>
          <w:szCs w:val="20"/>
        </w:rPr>
        <w:tab/>
      </w:r>
      <w:r w:rsidRPr="000F4FAA">
        <w:rPr>
          <w:rFonts w:cstheme="minorHAnsi"/>
          <w:sz w:val="20"/>
          <w:szCs w:val="20"/>
        </w:rPr>
        <w:tab/>
      </w:r>
      <w:r w:rsidRPr="000F4FAA">
        <w:rPr>
          <w:rFonts w:cstheme="minorHAnsi"/>
          <w:sz w:val="20"/>
          <w:szCs w:val="20"/>
        </w:rPr>
        <w:tab/>
      </w:r>
      <w:r w:rsidRPr="000F4FAA">
        <w:rPr>
          <w:rFonts w:cstheme="minorHAnsi"/>
          <w:sz w:val="20"/>
          <w:szCs w:val="20"/>
        </w:rPr>
        <w:tab/>
      </w:r>
      <w:r w:rsidRPr="000F4FAA">
        <w:rPr>
          <w:rFonts w:cstheme="minorHAnsi"/>
          <w:sz w:val="20"/>
          <w:szCs w:val="20"/>
        </w:rPr>
        <w:tab/>
      </w:r>
      <w:r w:rsidRPr="000F4FAA">
        <w:rPr>
          <w:rFonts w:cstheme="minorHAnsi"/>
          <w:sz w:val="20"/>
          <w:szCs w:val="20"/>
        </w:rPr>
        <w:tab/>
      </w:r>
      <w:r w:rsidRPr="000F4FAA">
        <w:rPr>
          <w:rFonts w:cstheme="minorHAnsi"/>
          <w:sz w:val="20"/>
          <w:szCs w:val="20"/>
        </w:rPr>
        <w:tab/>
      </w:r>
      <w:r w:rsidRPr="000F4FAA">
        <w:rPr>
          <w:rFonts w:cstheme="minorHAnsi"/>
          <w:sz w:val="20"/>
          <w:szCs w:val="20"/>
        </w:rPr>
        <w:tab/>
      </w:r>
    </w:p>
    <w:p w14:paraId="7F64BC1C" w14:textId="6D5B955C" w:rsidR="006378BD" w:rsidRPr="000F4FAA" w:rsidRDefault="006378BD" w:rsidP="006378BD">
      <w:pPr>
        <w:jc w:val="both"/>
        <w:rPr>
          <w:rFonts w:cstheme="minorHAnsi"/>
          <w:sz w:val="20"/>
          <w:szCs w:val="20"/>
        </w:rPr>
      </w:pPr>
      <w:r w:rsidRPr="000F4FAA">
        <w:rPr>
          <w:rFonts w:cstheme="minorHAnsi"/>
          <w:sz w:val="20"/>
          <w:szCs w:val="20"/>
        </w:rPr>
        <w:t xml:space="preserve">The differing results could also be caused by cross-sectional country comparisons not considering the unobserved heterogeneities that exist at the national level. Country comparisons – even when they are conducted across multiple time waves – often use random-effects models that assume no correlation between unobserved effects and the independent variables </w:t>
      </w:r>
      <w:sdt>
        <w:sdtPr>
          <w:rPr>
            <w:rFonts w:cstheme="minorHAnsi"/>
            <w:sz w:val="20"/>
            <w:szCs w:val="20"/>
          </w:rPr>
          <w:id w:val="-1597856446"/>
          <w:citation/>
        </w:sdtPr>
        <w:sdtContent>
          <w:r w:rsidRPr="000F4FAA">
            <w:rPr>
              <w:rFonts w:cstheme="minorHAnsi"/>
              <w:sz w:val="20"/>
              <w:szCs w:val="20"/>
            </w:rPr>
            <w:fldChar w:fldCharType="begin"/>
          </w:r>
          <w:r w:rsidRPr="000F4FAA">
            <w:rPr>
              <w:rFonts w:cstheme="minorHAnsi"/>
              <w:sz w:val="20"/>
              <w:szCs w:val="20"/>
            </w:rPr>
            <w:instrText xml:space="preserve"> CITATION Yuh21 \l 1043 </w:instrText>
          </w:r>
          <w:r w:rsidRPr="000F4FAA">
            <w:rPr>
              <w:rFonts w:cstheme="minorHAnsi"/>
              <w:sz w:val="20"/>
              <w:szCs w:val="20"/>
            </w:rPr>
            <w:fldChar w:fldCharType="separate"/>
          </w:r>
          <w:r w:rsidR="00DC4C76" w:rsidRPr="000F4FAA">
            <w:rPr>
              <w:rFonts w:cstheme="minorHAnsi"/>
              <w:noProof/>
              <w:sz w:val="20"/>
              <w:szCs w:val="20"/>
            </w:rPr>
            <w:t>(Ba, Berrett, &amp; Coupet, 2021)</w:t>
          </w:r>
          <w:r w:rsidRPr="000F4FAA">
            <w:rPr>
              <w:rFonts w:cstheme="minorHAnsi"/>
              <w:sz w:val="20"/>
              <w:szCs w:val="20"/>
            </w:rPr>
            <w:fldChar w:fldCharType="end"/>
          </w:r>
        </w:sdtContent>
      </w:sdt>
      <w:r w:rsidRPr="000F4FAA">
        <w:rPr>
          <w:rFonts w:cstheme="minorHAnsi"/>
          <w:sz w:val="20"/>
          <w:szCs w:val="20"/>
        </w:rPr>
        <w:t xml:space="preserve">. As a result, unobserved heterogeneities that may have an influence on the dependent variable and are correlated with variables like wealth inequality and income inequality – like national history – are omitted from the analysis when they are not operationalized. Additionally, the cross-sectional design of most country and state comparisons do not track changes in respondents throughout the years. Decreases in voluntarism arising out of increases in income or wealth inequality may be incorrectly attributed to the variable while they are actually the result of the new composition of the sample. </w:t>
      </w:r>
    </w:p>
    <w:p w14:paraId="60406C92" w14:textId="2CE80BBC" w:rsidR="006378BD" w:rsidRPr="000F4FAA" w:rsidRDefault="006378BD" w:rsidP="006378BD">
      <w:pPr>
        <w:jc w:val="both"/>
        <w:rPr>
          <w:rFonts w:cstheme="minorHAnsi"/>
          <w:sz w:val="20"/>
          <w:szCs w:val="20"/>
        </w:rPr>
      </w:pPr>
      <w:r w:rsidRPr="000F4FAA">
        <w:rPr>
          <w:rFonts w:cstheme="minorHAnsi"/>
          <w:sz w:val="20"/>
          <w:szCs w:val="20"/>
        </w:rPr>
        <w:t xml:space="preserve">This </w:t>
      </w:r>
      <w:r w:rsidR="00121886" w:rsidRPr="00121886">
        <w:rPr>
          <w:rFonts w:cstheme="minorHAnsi"/>
          <w:sz w:val="20"/>
          <w:szCs w:val="20"/>
          <w:lang w:val="en-US"/>
        </w:rPr>
        <w:t>st</w:t>
      </w:r>
      <w:r w:rsidR="00121886">
        <w:rPr>
          <w:rFonts w:cstheme="minorHAnsi"/>
          <w:sz w:val="20"/>
          <w:szCs w:val="20"/>
          <w:lang w:val="en-US"/>
        </w:rPr>
        <w:t>udy</w:t>
      </w:r>
      <w:r w:rsidRPr="000F4FAA">
        <w:rPr>
          <w:rFonts w:cstheme="minorHAnsi"/>
          <w:sz w:val="20"/>
          <w:szCs w:val="20"/>
        </w:rPr>
        <w:t xml:space="preserve"> had a number of important limitations that should be noted. The first series of limitations are related to limitations in the sample composition of the GINPS data. The GINPS sample suffers from an under sample of ethnic minorities – respondents are primarily of an ethnic Dutch background. In addition to this, the first wave featured an oversample of protestants – </w:t>
      </w:r>
      <w:r w:rsidRPr="000F4FAA">
        <w:rPr>
          <w:rFonts w:cstheme="minorHAnsi"/>
          <w:sz w:val="20"/>
          <w:szCs w:val="20"/>
          <w:lang w:val="en-US"/>
        </w:rPr>
        <w:t>we</w:t>
      </w:r>
      <w:r w:rsidRPr="000F4FAA">
        <w:rPr>
          <w:rFonts w:cstheme="minorHAnsi"/>
          <w:sz w:val="20"/>
          <w:szCs w:val="20"/>
        </w:rPr>
        <w:t xml:space="preserve"> did not control for this oversample, instead compiling any religious affiliation into the dichotomous variable “religion”. I also did not control for respondents who could have moved municipalities in between waves – ideally these individuals should not have been included in the analysis. At the municipal level, I did not include variables denoting municipal wealth or municipal income. I also did not include variables measuring municipal religiosity. </w:t>
      </w:r>
      <w:r w:rsidRPr="000F4FAA">
        <w:rPr>
          <w:rFonts w:cstheme="minorHAnsi"/>
          <w:sz w:val="20"/>
          <w:szCs w:val="20"/>
        </w:rPr>
        <w:tab/>
      </w:r>
      <w:r w:rsidRPr="000F4FAA">
        <w:rPr>
          <w:rFonts w:cstheme="minorHAnsi"/>
          <w:sz w:val="20"/>
          <w:szCs w:val="20"/>
        </w:rPr>
        <w:tab/>
      </w:r>
      <w:r w:rsidRPr="000F4FAA">
        <w:rPr>
          <w:rFonts w:cstheme="minorHAnsi"/>
          <w:sz w:val="20"/>
          <w:szCs w:val="20"/>
        </w:rPr>
        <w:tab/>
      </w:r>
      <w:r w:rsidRPr="000F4FAA">
        <w:rPr>
          <w:rFonts w:cstheme="minorHAnsi"/>
          <w:sz w:val="20"/>
          <w:szCs w:val="20"/>
        </w:rPr>
        <w:tab/>
      </w:r>
      <w:r w:rsidRPr="000F4FAA">
        <w:rPr>
          <w:rFonts w:cstheme="minorHAnsi"/>
          <w:sz w:val="20"/>
          <w:szCs w:val="20"/>
        </w:rPr>
        <w:tab/>
      </w:r>
      <w:r w:rsidRPr="000F4FAA">
        <w:rPr>
          <w:rFonts w:cstheme="minorHAnsi"/>
          <w:sz w:val="20"/>
          <w:szCs w:val="20"/>
        </w:rPr>
        <w:tab/>
      </w:r>
      <w:r w:rsidRPr="000F4FAA">
        <w:rPr>
          <w:rFonts w:cstheme="minorHAnsi"/>
          <w:sz w:val="20"/>
          <w:szCs w:val="20"/>
        </w:rPr>
        <w:tab/>
      </w:r>
      <w:r w:rsidR="000E6158" w:rsidRPr="000F4FAA">
        <w:rPr>
          <w:rFonts w:cstheme="minorHAnsi"/>
          <w:sz w:val="20"/>
          <w:szCs w:val="20"/>
        </w:rPr>
        <w:tab/>
      </w:r>
      <w:r w:rsidR="000F4FAA">
        <w:rPr>
          <w:rFonts w:cstheme="minorHAnsi"/>
          <w:sz w:val="20"/>
          <w:szCs w:val="20"/>
        </w:rPr>
        <w:tab/>
      </w:r>
      <w:r w:rsidRPr="000F4FAA">
        <w:rPr>
          <w:rFonts w:cstheme="minorHAnsi"/>
          <w:sz w:val="20"/>
          <w:szCs w:val="20"/>
        </w:rPr>
        <w:t xml:space="preserve">A third important limitation is the operationalization of wealth and income inequality. The variable denoted changes in the household distribution across economic quintiles – any change was assumed to denote an increase in economic inequality. The distribution across quintiles did not necessarily accurately reflect the distances between levels of wealth or income. Municipalities with the same household distribution may not necessarily have the same level of inequality. If inequality is seen as the difference between different economic groups – municipalities with higher amounts of wealth or income may have larger gaps between households at </w:t>
      </w:r>
      <w:r w:rsidRPr="000F4FAA">
        <w:rPr>
          <w:rFonts w:cstheme="minorHAnsi"/>
          <w:sz w:val="20"/>
          <w:szCs w:val="20"/>
        </w:rPr>
        <w:lastRenderedPageBreak/>
        <w:t xml:space="preserve">the top end of the wealth distribution and households at the bottom end of the wealth or distribution than municipalities with lower amounts of wealth. </w:t>
      </w:r>
      <w:r w:rsidRPr="000F4FAA">
        <w:rPr>
          <w:rFonts w:cstheme="minorHAnsi"/>
          <w:sz w:val="20"/>
          <w:szCs w:val="20"/>
          <w:lang w:val="en-US"/>
        </w:rPr>
        <w:t xml:space="preserve">In addition to this, the influence of economic inequality on something like trust may be limited to municipalities wherein there is residents that are struggling economically are confronted by the wealth of very wealthy residents. This aspect is not reflected in the inequality score: a municipality like </w:t>
      </w:r>
      <w:proofErr w:type="spellStart"/>
      <w:r w:rsidRPr="000F4FAA">
        <w:rPr>
          <w:rFonts w:cstheme="minorHAnsi"/>
          <w:sz w:val="20"/>
          <w:szCs w:val="20"/>
          <w:lang w:val="en-US"/>
        </w:rPr>
        <w:t>Rozendaal</w:t>
      </w:r>
      <w:proofErr w:type="spellEnd"/>
      <w:r w:rsidRPr="000F4FAA">
        <w:rPr>
          <w:rFonts w:cstheme="minorHAnsi"/>
          <w:sz w:val="20"/>
          <w:szCs w:val="20"/>
          <w:lang w:val="en-US"/>
        </w:rPr>
        <w:t xml:space="preserve"> has a high inequality score, but is populated primarily by wealthy households. Rotterdam has a lower inequality score, but has a larger percentage of households in the lower quintiles of the Dutch household wealth distribution. The type of wealth inequality that characterizes Rotterdam may have more of an influence on trust than the wealth inequality that characterizes </w:t>
      </w:r>
      <w:proofErr w:type="spellStart"/>
      <w:r w:rsidRPr="000F4FAA">
        <w:rPr>
          <w:rFonts w:cstheme="minorHAnsi"/>
          <w:sz w:val="20"/>
          <w:szCs w:val="20"/>
          <w:lang w:val="en-US"/>
        </w:rPr>
        <w:t>Rozendaal</w:t>
      </w:r>
      <w:proofErr w:type="spellEnd"/>
      <w:r w:rsidRPr="000F4FAA">
        <w:rPr>
          <w:rFonts w:cstheme="minorHAnsi"/>
          <w:sz w:val="20"/>
          <w:szCs w:val="20"/>
          <w:lang w:val="en-US"/>
        </w:rPr>
        <w:t xml:space="preserve">, despite </w:t>
      </w:r>
      <w:proofErr w:type="spellStart"/>
      <w:r w:rsidRPr="000F4FAA">
        <w:rPr>
          <w:rFonts w:cstheme="minorHAnsi"/>
          <w:sz w:val="20"/>
          <w:szCs w:val="20"/>
          <w:lang w:val="en-US"/>
        </w:rPr>
        <w:t>Rozendaal</w:t>
      </w:r>
      <w:proofErr w:type="spellEnd"/>
      <w:r w:rsidRPr="000F4FAA">
        <w:rPr>
          <w:rFonts w:cstheme="minorHAnsi"/>
          <w:sz w:val="20"/>
          <w:szCs w:val="20"/>
          <w:lang w:val="en-US"/>
        </w:rPr>
        <w:t xml:space="preserve"> having a higher inequality score.</w:t>
      </w:r>
      <w:r w:rsidRPr="000F4FAA">
        <w:rPr>
          <w:rFonts w:cstheme="minorHAnsi"/>
          <w:sz w:val="20"/>
          <w:szCs w:val="20"/>
          <w:lang w:val="en-US"/>
        </w:rPr>
        <w:tab/>
      </w:r>
      <w:r w:rsidRPr="000F4FAA">
        <w:rPr>
          <w:rFonts w:cstheme="minorHAnsi"/>
          <w:sz w:val="20"/>
          <w:szCs w:val="20"/>
          <w:lang w:val="en-US"/>
        </w:rPr>
        <w:tab/>
      </w:r>
      <w:r w:rsidRPr="000F4FAA">
        <w:rPr>
          <w:rFonts w:cstheme="minorHAnsi"/>
          <w:sz w:val="20"/>
          <w:szCs w:val="20"/>
          <w:lang w:val="en-US"/>
        </w:rPr>
        <w:tab/>
      </w:r>
      <w:r w:rsidRPr="000F4FAA">
        <w:rPr>
          <w:rFonts w:cstheme="minorHAnsi"/>
          <w:sz w:val="20"/>
          <w:szCs w:val="20"/>
        </w:rPr>
        <w:tab/>
      </w:r>
      <w:r w:rsidR="000F4FAA">
        <w:rPr>
          <w:rFonts w:cstheme="minorHAnsi"/>
          <w:sz w:val="20"/>
          <w:szCs w:val="20"/>
        </w:rPr>
        <w:tab/>
      </w:r>
      <w:r w:rsidR="000F4FAA">
        <w:rPr>
          <w:rFonts w:cstheme="minorHAnsi"/>
          <w:sz w:val="20"/>
          <w:szCs w:val="20"/>
        </w:rPr>
        <w:tab/>
      </w:r>
      <w:r w:rsidR="000F4FAA">
        <w:rPr>
          <w:rFonts w:cstheme="minorHAnsi"/>
          <w:sz w:val="20"/>
          <w:szCs w:val="20"/>
        </w:rPr>
        <w:tab/>
      </w:r>
      <w:r w:rsidR="000F4FAA">
        <w:rPr>
          <w:rFonts w:cstheme="minorHAnsi"/>
          <w:sz w:val="20"/>
          <w:szCs w:val="20"/>
        </w:rPr>
        <w:tab/>
      </w:r>
      <w:r w:rsidR="000F4FAA">
        <w:rPr>
          <w:rFonts w:cstheme="minorHAnsi"/>
          <w:sz w:val="20"/>
          <w:szCs w:val="20"/>
        </w:rPr>
        <w:tab/>
      </w:r>
      <w:r w:rsidR="000F4FAA">
        <w:rPr>
          <w:rFonts w:cstheme="minorHAnsi"/>
          <w:sz w:val="20"/>
          <w:szCs w:val="20"/>
        </w:rPr>
        <w:tab/>
      </w:r>
      <w:r w:rsidR="000F4FAA">
        <w:rPr>
          <w:rFonts w:cstheme="minorHAnsi"/>
          <w:sz w:val="20"/>
          <w:szCs w:val="20"/>
        </w:rPr>
        <w:tab/>
      </w:r>
      <w:r w:rsidRPr="000F4FAA">
        <w:rPr>
          <w:rFonts w:cstheme="minorHAnsi"/>
          <w:sz w:val="20"/>
          <w:szCs w:val="20"/>
        </w:rPr>
        <w:t>A</w:t>
      </w:r>
      <w:r w:rsidRPr="000F4FAA">
        <w:rPr>
          <w:rFonts w:cstheme="minorHAnsi"/>
          <w:sz w:val="20"/>
          <w:szCs w:val="20"/>
          <w:lang w:val="en-US"/>
        </w:rPr>
        <w:t xml:space="preserve"> </w:t>
      </w:r>
      <w:r w:rsidRPr="000F4FAA">
        <w:rPr>
          <w:rFonts w:cstheme="minorHAnsi"/>
          <w:sz w:val="20"/>
          <w:szCs w:val="20"/>
        </w:rPr>
        <w:t>limitation of the</w:t>
      </w:r>
      <w:r w:rsidRPr="000F4FAA">
        <w:rPr>
          <w:rFonts w:cstheme="minorHAnsi"/>
          <w:sz w:val="20"/>
          <w:szCs w:val="20"/>
          <w:lang w:val="en-US"/>
        </w:rPr>
        <w:t xml:space="preserve"> </w:t>
      </w:r>
      <w:r w:rsidRPr="000F4FAA">
        <w:rPr>
          <w:rFonts w:cstheme="minorHAnsi"/>
          <w:sz w:val="20"/>
          <w:szCs w:val="20"/>
        </w:rPr>
        <w:t xml:space="preserve">conducted FE analyses is that they did not incorporate temporal dependence </w:t>
      </w:r>
      <w:sdt>
        <w:sdtPr>
          <w:rPr>
            <w:rFonts w:cstheme="minorHAnsi"/>
            <w:sz w:val="20"/>
            <w:szCs w:val="20"/>
          </w:rPr>
          <w:id w:val="-263925814"/>
          <w:citation/>
        </w:sdtPr>
        <w:sdtContent>
          <w:r w:rsidRPr="000F4FAA">
            <w:rPr>
              <w:rFonts w:cstheme="minorHAnsi"/>
              <w:sz w:val="20"/>
              <w:szCs w:val="20"/>
            </w:rPr>
            <w:fldChar w:fldCharType="begin"/>
          </w:r>
          <w:r w:rsidRPr="000F4FAA">
            <w:rPr>
              <w:rFonts w:cstheme="minorHAnsi"/>
              <w:sz w:val="20"/>
              <w:szCs w:val="20"/>
            </w:rPr>
            <w:instrText xml:space="preserve"> CITATION Yuh21 \l 1043 </w:instrText>
          </w:r>
          <w:r w:rsidRPr="000F4FAA">
            <w:rPr>
              <w:rFonts w:cstheme="minorHAnsi"/>
              <w:sz w:val="20"/>
              <w:szCs w:val="20"/>
            </w:rPr>
            <w:fldChar w:fldCharType="separate"/>
          </w:r>
          <w:r w:rsidR="00DC4C76" w:rsidRPr="000F4FAA">
            <w:rPr>
              <w:rFonts w:cstheme="minorHAnsi"/>
              <w:noProof/>
              <w:sz w:val="20"/>
              <w:szCs w:val="20"/>
            </w:rPr>
            <w:t>(Ba, Berrett, &amp; Coupet, 2021)</w:t>
          </w:r>
          <w:r w:rsidRPr="000F4FAA">
            <w:rPr>
              <w:rFonts w:cstheme="minorHAnsi"/>
              <w:sz w:val="20"/>
              <w:szCs w:val="20"/>
            </w:rPr>
            <w:fldChar w:fldCharType="end"/>
          </w:r>
        </w:sdtContent>
      </w:sdt>
      <w:r w:rsidRPr="000F4FAA">
        <w:rPr>
          <w:rFonts w:cstheme="minorHAnsi"/>
          <w:sz w:val="20"/>
          <w:szCs w:val="20"/>
        </w:rPr>
        <w:t>. A change in wealth inequality from one time period to the next may not be associated with variation in volunteering in that same time period. A time period of two years may not be enough for wealth inequality to have an influence on voluntarism or trust. It could also be the case that a change in wealth inequality from one year to the next is not enough to have an influence on individuals – persistent wealth inequality may instead be better suited to explaining the variation in voluntarism.</w:t>
      </w:r>
      <w:r w:rsidRPr="000F4FAA">
        <w:rPr>
          <w:rFonts w:cstheme="minorHAnsi"/>
          <w:sz w:val="20"/>
          <w:szCs w:val="20"/>
        </w:rPr>
        <w:tab/>
      </w:r>
      <w:r w:rsidRPr="000F4FAA">
        <w:rPr>
          <w:rFonts w:cstheme="minorHAnsi"/>
          <w:sz w:val="20"/>
          <w:szCs w:val="20"/>
          <w:lang w:val="en-US"/>
        </w:rPr>
        <w:t xml:space="preserve"> </w:t>
      </w:r>
      <w:r w:rsidRPr="000F4FAA">
        <w:rPr>
          <w:rFonts w:cstheme="minorHAnsi"/>
          <w:sz w:val="20"/>
          <w:szCs w:val="20"/>
        </w:rPr>
        <w:tab/>
      </w:r>
      <w:r w:rsidRPr="000F4FAA">
        <w:rPr>
          <w:rFonts w:cstheme="minorHAnsi"/>
          <w:sz w:val="20"/>
          <w:szCs w:val="20"/>
        </w:rPr>
        <w:tab/>
      </w:r>
      <w:r w:rsidRPr="000F4FAA">
        <w:rPr>
          <w:rFonts w:cstheme="minorHAnsi"/>
          <w:sz w:val="20"/>
          <w:szCs w:val="20"/>
        </w:rPr>
        <w:tab/>
      </w:r>
    </w:p>
    <w:p w14:paraId="229204F7" w14:textId="77777777" w:rsidR="006378BD" w:rsidRPr="000F4FAA" w:rsidRDefault="006378BD" w:rsidP="006378BD">
      <w:pPr>
        <w:rPr>
          <w:rFonts w:cstheme="minorHAnsi"/>
          <w:sz w:val="20"/>
          <w:szCs w:val="20"/>
        </w:rPr>
      </w:pPr>
      <w:r w:rsidRPr="000F4FAA">
        <w:rPr>
          <w:rFonts w:cstheme="minorHAnsi"/>
          <w:sz w:val="20"/>
          <w:szCs w:val="20"/>
        </w:rPr>
        <w:t xml:space="preserve">To </w:t>
      </w:r>
      <w:r w:rsidRPr="000F4FAA">
        <w:rPr>
          <w:rFonts w:cstheme="minorHAnsi"/>
          <w:sz w:val="20"/>
          <w:szCs w:val="20"/>
          <w:lang w:val="en-US"/>
        </w:rPr>
        <w:t>our</w:t>
      </w:r>
      <w:r w:rsidRPr="000F4FAA">
        <w:rPr>
          <w:rFonts w:cstheme="minorHAnsi"/>
          <w:sz w:val="20"/>
          <w:szCs w:val="20"/>
        </w:rPr>
        <w:t xml:space="preserve"> knowledge, this is the first study that examines the relationship between wealth inequality at the municipal level and volunteering in the Netherlands. This is also the first study that examines the relationship between wealth inequality and volunteering that makes use of a longitudinal design. Regardless of whether or not the analyses were carried out correctly, using repeated measures to examine the influence of wealth inequality on individuals is an important first step to moving beyond associations and correlations between variables and towards a clearer picture of causality. The majority of studies focusing on the relationship between economic inequality and individual-level variables employ cross-sectional designs. Many theories on economic inequality and volunteering have been taken for granted on the basis of results that could be attributed to unobserved heterogeneities or ecological fallacies. Future research into the individual-level influences of economic inequality utilizing repeated measures is an important next step in attempting to falsify leading theories on the relationship between the two variables.</w:t>
      </w:r>
    </w:p>
    <w:p w14:paraId="6B61C326" w14:textId="77777777" w:rsidR="006378BD" w:rsidRPr="000F4FAA" w:rsidRDefault="006378BD" w:rsidP="006378BD">
      <w:pPr>
        <w:rPr>
          <w:sz w:val="20"/>
          <w:szCs w:val="20"/>
        </w:rPr>
      </w:pPr>
    </w:p>
    <w:p w14:paraId="2DAFC97F" w14:textId="77777777" w:rsidR="006378BD" w:rsidRPr="000F4FAA" w:rsidRDefault="006378BD" w:rsidP="006378BD">
      <w:pPr>
        <w:rPr>
          <w:sz w:val="20"/>
          <w:szCs w:val="20"/>
          <w:lang w:val="en-US"/>
        </w:rPr>
      </w:pPr>
    </w:p>
    <w:p w14:paraId="4D29C6EB" w14:textId="77777777" w:rsidR="006378BD" w:rsidRPr="000F4FAA" w:rsidRDefault="006378BD" w:rsidP="006378BD">
      <w:pPr>
        <w:rPr>
          <w:sz w:val="20"/>
          <w:szCs w:val="20"/>
          <w:lang w:val="en-US"/>
        </w:rPr>
      </w:pPr>
    </w:p>
    <w:p w14:paraId="42EC44BB" w14:textId="15B80093" w:rsidR="006378BD" w:rsidRDefault="006378BD" w:rsidP="006378BD">
      <w:pPr>
        <w:rPr>
          <w:sz w:val="20"/>
          <w:szCs w:val="20"/>
          <w:lang w:val="en-US"/>
        </w:rPr>
      </w:pPr>
    </w:p>
    <w:p w14:paraId="4EFACC09" w14:textId="49C9686E" w:rsidR="000F4FAA" w:rsidRDefault="000F4FAA" w:rsidP="006378BD">
      <w:pPr>
        <w:rPr>
          <w:sz w:val="20"/>
          <w:szCs w:val="20"/>
          <w:lang w:val="en-US"/>
        </w:rPr>
      </w:pPr>
    </w:p>
    <w:p w14:paraId="4EB80EF7" w14:textId="0622ECC1" w:rsidR="000F4FAA" w:rsidRDefault="000F4FAA" w:rsidP="006378BD">
      <w:pPr>
        <w:rPr>
          <w:sz w:val="20"/>
          <w:szCs w:val="20"/>
          <w:lang w:val="en-US"/>
        </w:rPr>
      </w:pPr>
    </w:p>
    <w:p w14:paraId="04E1657C" w14:textId="55FEF075" w:rsidR="000F4FAA" w:rsidRDefault="000F4FAA" w:rsidP="006378BD">
      <w:pPr>
        <w:rPr>
          <w:sz w:val="20"/>
          <w:szCs w:val="20"/>
          <w:lang w:val="en-US"/>
        </w:rPr>
      </w:pPr>
    </w:p>
    <w:p w14:paraId="305B8B00" w14:textId="42F05851" w:rsidR="000F4FAA" w:rsidRDefault="000F4FAA" w:rsidP="006378BD">
      <w:pPr>
        <w:rPr>
          <w:sz w:val="20"/>
          <w:szCs w:val="20"/>
          <w:lang w:val="en-US"/>
        </w:rPr>
      </w:pPr>
    </w:p>
    <w:p w14:paraId="1978E2AF" w14:textId="4D9D2373" w:rsidR="000F4FAA" w:rsidRDefault="000F4FAA" w:rsidP="006378BD">
      <w:pPr>
        <w:rPr>
          <w:sz w:val="20"/>
          <w:szCs w:val="20"/>
          <w:lang w:val="en-US"/>
        </w:rPr>
      </w:pPr>
    </w:p>
    <w:p w14:paraId="2065BE62" w14:textId="61A2B897" w:rsidR="000F4FAA" w:rsidRDefault="000F4FAA" w:rsidP="006378BD">
      <w:pPr>
        <w:rPr>
          <w:sz w:val="20"/>
          <w:szCs w:val="20"/>
          <w:lang w:val="en-US"/>
        </w:rPr>
      </w:pPr>
    </w:p>
    <w:p w14:paraId="3A906B6C" w14:textId="5175DDA8" w:rsidR="00144C0C" w:rsidRDefault="00144C0C" w:rsidP="006378BD">
      <w:pPr>
        <w:rPr>
          <w:sz w:val="20"/>
          <w:szCs w:val="20"/>
          <w:lang w:val="en-US"/>
        </w:rPr>
      </w:pPr>
    </w:p>
    <w:p w14:paraId="31C5648D" w14:textId="77777777" w:rsidR="00144C0C" w:rsidRPr="00144C0C" w:rsidRDefault="00144C0C" w:rsidP="006378BD">
      <w:pPr>
        <w:rPr>
          <w:sz w:val="20"/>
          <w:szCs w:val="20"/>
          <w:lang w:val="nl-NL"/>
        </w:rPr>
      </w:pPr>
    </w:p>
    <w:p w14:paraId="557243B4" w14:textId="1B9C243D" w:rsidR="000F4FAA" w:rsidRDefault="000F4FAA" w:rsidP="006378BD">
      <w:pPr>
        <w:rPr>
          <w:sz w:val="20"/>
          <w:szCs w:val="20"/>
          <w:lang w:val="en-US"/>
        </w:rPr>
      </w:pPr>
    </w:p>
    <w:p w14:paraId="5026F573" w14:textId="01A32CF3" w:rsidR="000F4FAA" w:rsidRDefault="000F4FAA" w:rsidP="006378BD">
      <w:pPr>
        <w:rPr>
          <w:sz w:val="20"/>
          <w:szCs w:val="20"/>
          <w:lang w:val="en-US"/>
        </w:rPr>
      </w:pPr>
    </w:p>
    <w:p w14:paraId="3C5B9C9D" w14:textId="5151A41C" w:rsidR="00025D3A" w:rsidRDefault="00025D3A" w:rsidP="00953690">
      <w:pPr>
        <w:jc w:val="both"/>
        <w:rPr>
          <w:rFonts w:cstheme="minorHAnsi"/>
          <w:sz w:val="20"/>
          <w:szCs w:val="20"/>
        </w:rPr>
      </w:pPr>
    </w:p>
    <w:p w14:paraId="44119944" w14:textId="77777777" w:rsidR="00541434" w:rsidRPr="000F4FAA" w:rsidRDefault="00541434" w:rsidP="00953690">
      <w:pPr>
        <w:jc w:val="both"/>
        <w:rPr>
          <w:rFonts w:cstheme="minorHAnsi"/>
          <w:sz w:val="20"/>
          <w:szCs w:val="20"/>
        </w:rPr>
      </w:pPr>
    </w:p>
    <w:sdt>
      <w:sdtPr>
        <w:rPr>
          <w:b/>
          <w:bCs/>
          <w:lang w:val="en-US"/>
        </w:rPr>
        <w:id w:val="-18166600"/>
        <w:docPartObj>
          <w:docPartGallery w:val="Bibliographies"/>
          <w:docPartUnique/>
        </w:docPartObj>
      </w:sdtPr>
      <w:sdtEndPr>
        <w:rPr>
          <w:b w:val="0"/>
          <w:bCs w:val="0"/>
          <w:sz w:val="20"/>
          <w:szCs w:val="20"/>
        </w:rPr>
      </w:sdtEndPr>
      <w:sdtContent>
        <w:p w14:paraId="0908397F" w14:textId="5BC45BAC" w:rsidR="006378BD" w:rsidRPr="000F4FAA" w:rsidRDefault="000F4FAA" w:rsidP="00121886">
          <w:pPr>
            <w:ind w:firstLine="720"/>
            <w:rPr>
              <w:b/>
              <w:bCs/>
              <w:lang w:val="en-US"/>
            </w:rPr>
          </w:pPr>
          <w:r w:rsidRPr="000F4FAA">
            <w:rPr>
              <w:b/>
              <w:bCs/>
              <w:lang w:val="en-US"/>
            </w:rPr>
            <w:t>References</w:t>
          </w:r>
        </w:p>
        <w:sdt>
          <w:sdtPr>
            <w:rPr>
              <w:sz w:val="20"/>
              <w:szCs w:val="20"/>
            </w:rPr>
            <w:id w:val="111145805"/>
            <w:bibliography/>
          </w:sdtPr>
          <w:sdtContent>
            <w:p w14:paraId="7BF655A7" w14:textId="77777777" w:rsidR="00DC4C76" w:rsidRPr="000F4FAA" w:rsidRDefault="006378BD" w:rsidP="00DC4C76">
              <w:pPr>
                <w:pStyle w:val="Bibliography"/>
                <w:ind w:left="720" w:hanging="720"/>
                <w:rPr>
                  <w:noProof/>
                  <w:kern w:val="0"/>
                  <w:sz w:val="20"/>
                  <w:szCs w:val="20"/>
                  <w14:ligatures w14:val="none"/>
                </w:rPr>
              </w:pPr>
              <w:r w:rsidRPr="000F4FAA">
                <w:rPr>
                  <w:sz w:val="20"/>
                  <w:szCs w:val="20"/>
                </w:rPr>
                <w:fldChar w:fldCharType="begin"/>
              </w:r>
              <w:r w:rsidRPr="000F4FAA">
                <w:rPr>
                  <w:sz w:val="20"/>
                  <w:szCs w:val="20"/>
                </w:rPr>
                <w:instrText xml:space="preserve"> BIBLIOGRAPHY </w:instrText>
              </w:r>
              <w:r w:rsidRPr="000F4FAA">
                <w:rPr>
                  <w:sz w:val="20"/>
                  <w:szCs w:val="20"/>
                </w:rPr>
                <w:fldChar w:fldCharType="separate"/>
              </w:r>
              <w:r w:rsidR="00DC4C76" w:rsidRPr="000F4FAA">
                <w:rPr>
                  <w:noProof/>
                  <w:sz w:val="20"/>
                  <w:szCs w:val="20"/>
                </w:rPr>
                <w:t xml:space="preserve">Alesina, &amp; Ferrara, L. (2000). Participation in Heterogeneous Communities. </w:t>
              </w:r>
              <w:r w:rsidR="00DC4C76" w:rsidRPr="000F4FAA">
                <w:rPr>
                  <w:i/>
                  <w:iCs/>
                  <w:noProof/>
                  <w:sz w:val="20"/>
                  <w:szCs w:val="20"/>
                </w:rPr>
                <w:t>The Quarterly Journal of Economics</w:t>
              </w:r>
              <w:r w:rsidR="00DC4C76" w:rsidRPr="000F4FAA">
                <w:rPr>
                  <w:noProof/>
                  <w:sz w:val="20"/>
                  <w:szCs w:val="20"/>
                </w:rPr>
                <w:t>.</w:t>
              </w:r>
            </w:p>
            <w:p w14:paraId="3440EB05" w14:textId="77777777" w:rsidR="00DC4C76" w:rsidRPr="000F4FAA" w:rsidRDefault="00DC4C76" w:rsidP="00DC4C76">
              <w:pPr>
                <w:pStyle w:val="Bibliography"/>
                <w:ind w:left="720" w:hanging="720"/>
                <w:rPr>
                  <w:noProof/>
                  <w:sz w:val="20"/>
                  <w:szCs w:val="20"/>
                </w:rPr>
              </w:pPr>
              <w:r w:rsidRPr="000F4FAA">
                <w:rPr>
                  <w:noProof/>
                  <w:sz w:val="20"/>
                  <w:szCs w:val="20"/>
                </w:rPr>
                <w:t xml:space="preserve">Allison, P. D. (2009). </w:t>
              </w:r>
              <w:r w:rsidRPr="000F4FAA">
                <w:rPr>
                  <w:i/>
                  <w:iCs/>
                  <w:noProof/>
                  <w:sz w:val="20"/>
                  <w:szCs w:val="20"/>
                </w:rPr>
                <w:t>Fixed Effects Regression Models.</w:t>
              </w:r>
              <w:r w:rsidRPr="000F4FAA">
                <w:rPr>
                  <w:noProof/>
                  <w:sz w:val="20"/>
                  <w:szCs w:val="20"/>
                </w:rPr>
                <w:t xml:space="preserve"> Thousand Oaks: Sage.</w:t>
              </w:r>
            </w:p>
            <w:p w14:paraId="3984E254" w14:textId="77777777" w:rsidR="00DC4C76" w:rsidRPr="000F4FAA" w:rsidRDefault="00DC4C76" w:rsidP="00DC4C76">
              <w:pPr>
                <w:pStyle w:val="Bibliography"/>
                <w:ind w:left="720" w:hanging="720"/>
                <w:rPr>
                  <w:noProof/>
                  <w:sz w:val="20"/>
                  <w:szCs w:val="20"/>
                </w:rPr>
              </w:pPr>
              <w:r w:rsidRPr="000F4FAA">
                <w:rPr>
                  <w:noProof/>
                  <w:sz w:val="20"/>
                  <w:szCs w:val="20"/>
                </w:rPr>
                <w:t xml:space="preserve">Ba, Y., Berrett, J., &amp; Coupet, J. (2021). Panel Data Analysis: A Guide for Nonprofit Studies . </w:t>
              </w:r>
              <w:r w:rsidRPr="000F4FAA">
                <w:rPr>
                  <w:i/>
                  <w:iCs/>
                  <w:noProof/>
                  <w:sz w:val="20"/>
                  <w:szCs w:val="20"/>
                </w:rPr>
                <w:t>Voluntas</w:t>
              </w:r>
              <w:r w:rsidRPr="000F4FAA">
                <w:rPr>
                  <w:noProof/>
                  <w:sz w:val="20"/>
                  <w:szCs w:val="20"/>
                </w:rPr>
                <w:t>.</w:t>
              </w:r>
            </w:p>
            <w:p w14:paraId="39EB7D3E" w14:textId="77777777" w:rsidR="00DC4C76" w:rsidRPr="000F4FAA" w:rsidRDefault="00DC4C76" w:rsidP="00DC4C76">
              <w:pPr>
                <w:pStyle w:val="Bibliography"/>
                <w:ind w:left="720" w:hanging="720"/>
                <w:rPr>
                  <w:noProof/>
                  <w:sz w:val="20"/>
                  <w:szCs w:val="20"/>
                </w:rPr>
              </w:pPr>
              <w:r w:rsidRPr="000F4FAA">
                <w:rPr>
                  <w:noProof/>
                  <w:sz w:val="20"/>
                  <w:szCs w:val="20"/>
                </w:rPr>
                <w:t xml:space="preserve">Bejarno, Gillet, &amp; Rodriguez-Lara. (2021). Trust and trustworthiness after negative random shocks. </w:t>
              </w:r>
              <w:r w:rsidRPr="000F4FAA">
                <w:rPr>
                  <w:i/>
                  <w:iCs/>
                  <w:noProof/>
                  <w:sz w:val="20"/>
                  <w:szCs w:val="20"/>
                </w:rPr>
                <w:t>Journal of Economic Psychology</w:t>
              </w:r>
              <w:r w:rsidRPr="000F4FAA">
                <w:rPr>
                  <w:noProof/>
                  <w:sz w:val="20"/>
                  <w:szCs w:val="20"/>
                </w:rPr>
                <w:t>.</w:t>
              </w:r>
            </w:p>
            <w:p w14:paraId="1A308D5D" w14:textId="77777777" w:rsidR="00DC4C76" w:rsidRPr="000F4FAA" w:rsidRDefault="00DC4C76" w:rsidP="00DC4C76">
              <w:pPr>
                <w:pStyle w:val="Bibliography"/>
                <w:ind w:left="720" w:hanging="720"/>
                <w:rPr>
                  <w:noProof/>
                  <w:sz w:val="20"/>
                  <w:szCs w:val="20"/>
                </w:rPr>
              </w:pPr>
              <w:r w:rsidRPr="000F4FAA">
                <w:rPr>
                  <w:noProof/>
                  <w:sz w:val="20"/>
                  <w:szCs w:val="20"/>
                </w:rPr>
                <w:t xml:space="preserve">Bekkers. (2012). Trust and Volunteering: Selection or Causation? Evidence From a 4 Year Panel Study. </w:t>
              </w:r>
              <w:r w:rsidRPr="000F4FAA">
                <w:rPr>
                  <w:i/>
                  <w:iCs/>
                  <w:noProof/>
                  <w:sz w:val="20"/>
                  <w:szCs w:val="20"/>
                </w:rPr>
                <w:t>Political Behavior</w:t>
              </w:r>
              <w:r w:rsidRPr="000F4FAA">
                <w:rPr>
                  <w:noProof/>
                  <w:sz w:val="20"/>
                  <w:szCs w:val="20"/>
                </w:rPr>
                <w:t>, 225-247.</w:t>
              </w:r>
            </w:p>
            <w:p w14:paraId="53ABFA75" w14:textId="77777777" w:rsidR="00DC4C76" w:rsidRPr="000F4FAA" w:rsidRDefault="00DC4C76" w:rsidP="00DC4C76">
              <w:pPr>
                <w:pStyle w:val="Bibliography"/>
                <w:ind w:left="720" w:hanging="720"/>
                <w:rPr>
                  <w:noProof/>
                  <w:sz w:val="20"/>
                  <w:szCs w:val="20"/>
                </w:rPr>
              </w:pPr>
              <w:r w:rsidRPr="000F4FAA">
                <w:rPr>
                  <w:noProof/>
                  <w:sz w:val="20"/>
                  <w:szCs w:val="20"/>
                </w:rPr>
                <w:t xml:space="preserve">Bekkers, &amp; Schuyt. (2008). And Who Is Your Neighbor ? Explaining Denominational Differences in Charitable Giving and Volunteering in the Netherlands. </w:t>
              </w:r>
              <w:r w:rsidRPr="000F4FAA">
                <w:rPr>
                  <w:i/>
                  <w:iCs/>
                  <w:noProof/>
                  <w:sz w:val="20"/>
                  <w:szCs w:val="20"/>
                </w:rPr>
                <w:t>Review of Religious Research</w:t>
              </w:r>
              <w:r w:rsidRPr="000F4FAA">
                <w:rPr>
                  <w:noProof/>
                  <w:sz w:val="20"/>
                  <w:szCs w:val="20"/>
                </w:rPr>
                <w:t>, 74-96.</w:t>
              </w:r>
            </w:p>
            <w:p w14:paraId="07B433E6" w14:textId="77777777" w:rsidR="00DC4C76" w:rsidRPr="000F4FAA" w:rsidRDefault="00DC4C76" w:rsidP="00DC4C76">
              <w:pPr>
                <w:pStyle w:val="Bibliography"/>
                <w:ind w:left="720" w:hanging="720"/>
                <w:rPr>
                  <w:noProof/>
                  <w:sz w:val="20"/>
                  <w:szCs w:val="20"/>
                </w:rPr>
              </w:pPr>
              <w:r w:rsidRPr="000F4FAA">
                <w:rPr>
                  <w:noProof/>
                  <w:sz w:val="20"/>
                  <w:szCs w:val="20"/>
                </w:rPr>
                <w:t>Bekkers, R., Schuyt, T., Gouwenberg, B., de Wit, A., &amp; van Teunenbroek, C. (2021). Giving in the Netherlands Panel Survey (GINPS): 2002 - 2022 Public User File version 9. Amsterdam: Center for Philanthropic Studies, Vrije Universiteit (VU).</w:t>
              </w:r>
            </w:p>
            <w:p w14:paraId="2737A66B" w14:textId="77777777" w:rsidR="00DC4C76" w:rsidRPr="000F4FAA" w:rsidRDefault="00DC4C76" w:rsidP="00DC4C76">
              <w:pPr>
                <w:pStyle w:val="Bibliography"/>
                <w:ind w:left="720" w:hanging="720"/>
                <w:rPr>
                  <w:noProof/>
                  <w:sz w:val="20"/>
                  <w:szCs w:val="20"/>
                </w:rPr>
              </w:pPr>
              <w:r w:rsidRPr="000F4FAA">
                <w:rPr>
                  <w:noProof/>
                  <w:sz w:val="20"/>
                  <w:szCs w:val="20"/>
                </w:rPr>
                <w:t xml:space="preserve">Bjornskov. (2008). Social trust and fractionalization: A possible reinterpretation. </w:t>
              </w:r>
              <w:r w:rsidRPr="000F4FAA">
                <w:rPr>
                  <w:i/>
                  <w:iCs/>
                  <w:noProof/>
                  <w:sz w:val="20"/>
                  <w:szCs w:val="20"/>
                </w:rPr>
                <w:t>European Sociological Review</w:t>
              </w:r>
              <w:r w:rsidRPr="000F4FAA">
                <w:rPr>
                  <w:noProof/>
                  <w:sz w:val="20"/>
                  <w:szCs w:val="20"/>
                </w:rPr>
                <w:t>, 271-283.</w:t>
              </w:r>
            </w:p>
            <w:p w14:paraId="1CF822A0" w14:textId="77777777" w:rsidR="00DC4C76" w:rsidRPr="000F4FAA" w:rsidRDefault="00DC4C76" w:rsidP="00DC4C76">
              <w:pPr>
                <w:pStyle w:val="Bibliography"/>
                <w:ind w:left="720" w:hanging="720"/>
                <w:rPr>
                  <w:noProof/>
                  <w:sz w:val="20"/>
                  <w:szCs w:val="20"/>
                </w:rPr>
              </w:pPr>
              <w:r w:rsidRPr="000F4FAA">
                <w:rPr>
                  <w:noProof/>
                  <w:sz w:val="20"/>
                  <w:szCs w:val="20"/>
                </w:rPr>
                <w:t xml:space="preserve">Blau, &amp; Blau. (1982). The Cost of Inequality: Metropolitan Structure and Violent Crime. </w:t>
              </w:r>
              <w:r w:rsidRPr="000F4FAA">
                <w:rPr>
                  <w:i/>
                  <w:iCs/>
                  <w:noProof/>
                  <w:sz w:val="20"/>
                  <w:szCs w:val="20"/>
                </w:rPr>
                <w:t>American Sociological Review</w:t>
              </w:r>
              <w:r w:rsidRPr="000F4FAA">
                <w:rPr>
                  <w:noProof/>
                  <w:sz w:val="20"/>
                  <w:szCs w:val="20"/>
                </w:rPr>
                <w:t>, 114-129.</w:t>
              </w:r>
            </w:p>
            <w:p w14:paraId="76552019" w14:textId="77777777" w:rsidR="00DC4C76" w:rsidRPr="000F4FAA" w:rsidRDefault="00DC4C76" w:rsidP="00DC4C76">
              <w:pPr>
                <w:pStyle w:val="Bibliography"/>
                <w:ind w:left="720" w:hanging="720"/>
                <w:rPr>
                  <w:noProof/>
                  <w:sz w:val="20"/>
                  <w:szCs w:val="20"/>
                </w:rPr>
              </w:pPr>
              <w:r w:rsidRPr="000F4FAA">
                <w:rPr>
                  <w:noProof/>
                  <w:sz w:val="20"/>
                  <w:szCs w:val="20"/>
                </w:rPr>
                <w:t xml:space="preserve">Caminada, K., Been, J., Goudswaard, K., &amp; Graaf-Zijl, M. d. (2014). </w:t>
              </w:r>
              <w:r w:rsidRPr="000F4FAA">
                <w:rPr>
                  <w:i/>
                  <w:iCs/>
                  <w:noProof/>
                  <w:sz w:val="20"/>
                  <w:szCs w:val="20"/>
                </w:rPr>
                <w:t>De ontwikkeling van inkomensongelijkheid en inkomensherverdeling in Nederland 1990-2012.</w:t>
              </w:r>
              <w:r w:rsidRPr="000F4FAA">
                <w:rPr>
                  <w:noProof/>
                  <w:sz w:val="20"/>
                  <w:szCs w:val="20"/>
                </w:rPr>
                <w:t xml:space="preserve"> Leiden: Leiden University.</w:t>
              </w:r>
            </w:p>
            <w:p w14:paraId="3ABD6654" w14:textId="77777777" w:rsidR="00DC4C76" w:rsidRPr="000F4FAA" w:rsidRDefault="00DC4C76" w:rsidP="00DC4C76">
              <w:pPr>
                <w:pStyle w:val="Bibliography"/>
                <w:ind w:left="720" w:hanging="720"/>
                <w:rPr>
                  <w:noProof/>
                  <w:sz w:val="20"/>
                  <w:szCs w:val="20"/>
                </w:rPr>
              </w:pPr>
              <w:r w:rsidRPr="000F4FAA">
                <w:rPr>
                  <w:noProof/>
                  <w:sz w:val="20"/>
                  <w:szCs w:val="20"/>
                </w:rPr>
                <w:t xml:space="preserve">Cardenas. (2003). Real wealth and experimental cooperation: Experiments in the field lab. </w:t>
              </w:r>
              <w:r w:rsidRPr="000F4FAA">
                <w:rPr>
                  <w:i/>
                  <w:iCs/>
                  <w:noProof/>
                  <w:sz w:val="20"/>
                  <w:szCs w:val="20"/>
                </w:rPr>
                <w:t>Journal of Development Economics</w:t>
              </w:r>
              <w:r w:rsidRPr="000F4FAA">
                <w:rPr>
                  <w:noProof/>
                  <w:sz w:val="20"/>
                  <w:szCs w:val="20"/>
                </w:rPr>
                <w:t>, 263-289.</w:t>
              </w:r>
            </w:p>
            <w:p w14:paraId="0F0B791D" w14:textId="77777777" w:rsidR="00DC4C76" w:rsidRPr="000F4FAA" w:rsidRDefault="00DC4C76" w:rsidP="00DC4C76">
              <w:pPr>
                <w:pStyle w:val="Bibliography"/>
                <w:ind w:left="720" w:hanging="720"/>
                <w:rPr>
                  <w:noProof/>
                  <w:sz w:val="20"/>
                  <w:szCs w:val="20"/>
                </w:rPr>
              </w:pPr>
              <w:r w:rsidRPr="000F4FAA">
                <w:rPr>
                  <w:noProof/>
                  <w:sz w:val="20"/>
                  <w:szCs w:val="20"/>
                </w:rPr>
                <w:t xml:space="preserve">Centraal Bureau van Statistiek. (2019). </w:t>
              </w:r>
              <w:r w:rsidRPr="000F4FAA">
                <w:rPr>
                  <w:i/>
                  <w:iCs/>
                  <w:noProof/>
                  <w:sz w:val="20"/>
                  <w:szCs w:val="20"/>
                </w:rPr>
                <w:t>Ongelijkheid in Inkomen en Vermogen.</w:t>
              </w:r>
              <w:r w:rsidRPr="000F4FAA">
                <w:rPr>
                  <w:noProof/>
                  <w:sz w:val="20"/>
                  <w:szCs w:val="20"/>
                </w:rPr>
                <w:t xml:space="preserve"> From Centraal Bureau van Statistiek: https://longreads.cbs.nl/welvaartinnederland-2019/ongelijkheid-in-inkomen-en-vermogen/</w:t>
              </w:r>
            </w:p>
            <w:p w14:paraId="463203C8" w14:textId="77777777" w:rsidR="00DC4C76" w:rsidRPr="000F4FAA" w:rsidRDefault="00DC4C76" w:rsidP="00DC4C76">
              <w:pPr>
                <w:pStyle w:val="Bibliography"/>
                <w:ind w:left="720" w:hanging="720"/>
                <w:rPr>
                  <w:noProof/>
                  <w:sz w:val="20"/>
                  <w:szCs w:val="20"/>
                </w:rPr>
              </w:pPr>
              <w:r w:rsidRPr="000F4FAA">
                <w:rPr>
                  <w:noProof/>
                  <w:sz w:val="20"/>
                  <w:szCs w:val="20"/>
                </w:rPr>
                <w:t xml:space="preserve">Centraal Bureau voor Statistiek. (2022, June 10). </w:t>
              </w:r>
              <w:r w:rsidRPr="000F4FAA">
                <w:rPr>
                  <w:i/>
                  <w:iCs/>
                  <w:noProof/>
                  <w:sz w:val="20"/>
                  <w:szCs w:val="20"/>
                </w:rPr>
                <w:t>Regionale Kerncijfers Nederland.</w:t>
              </w:r>
              <w:r w:rsidRPr="000F4FAA">
                <w:rPr>
                  <w:noProof/>
                  <w:sz w:val="20"/>
                  <w:szCs w:val="20"/>
                </w:rPr>
                <w:t xml:space="preserve"> From CBS Open data Statline: https://opendata.cbs.nl/statline/portal.html?_la=nl&amp;_catalog=CBS&amp;tableId=70072ned&amp;_theme=235</w:t>
              </w:r>
            </w:p>
            <w:p w14:paraId="07C7FCFB" w14:textId="77777777" w:rsidR="00DC4C76" w:rsidRPr="000F4FAA" w:rsidRDefault="00DC4C76" w:rsidP="00DC4C76">
              <w:pPr>
                <w:pStyle w:val="Bibliography"/>
                <w:ind w:left="720" w:hanging="720"/>
                <w:rPr>
                  <w:noProof/>
                  <w:sz w:val="20"/>
                  <w:szCs w:val="20"/>
                </w:rPr>
              </w:pPr>
              <w:r w:rsidRPr="000F4FAA">
                <w:rPr>
                  <w:noProof/>
                  <w:sz w:val="20"/>
                  <w:szCs w:val="20"/>
                </w:rPr>
                <w:t xml:space="preserve">Centraal Bureau voor Statistiek. (2022). </w:t>
              </w:r>
              <w:r w:rsidRPr="000F4FAA">
                <w:rPr>
                  <w:i/>
                  <w:iCs/>
                  <w:noProof/>
                  <w:sz w:val="20"/>
                  <w:szCs w:val="20"/>
                </w:rPr>
                <w:t>Vermogen</w:t>
              </w:r>
              <w:r w:rsidRPr="000F4FAA">
                <w:rPr>
                  <w:noProof/>
                  <w:sz w:val="20"/>
                  <w:szCs w:val="20"/>
                </w:rPr>
                <w:t>. From CBS: https://www.cbs.nl/nl-nl/onze-diensten/methoden/begrippen/vermogen#:~:text=Het%20saldo%20van%20bezittingen%20en,eigen%20woning%20en%20consumptief%20krediet.</w:t>
              </w:r>
            </w:p>
            <w:p w14:paraId="1E40DD30" w14:textId="77777777" w:rsidR="00DC4C76" w:rsidRPr="000F4FAA" w:rsidRDefault="00DC4C76" w:rsidP="00DC4C76">
              <w:pPr>
                <w:pStyle w:val="Bibliography"/>
                <w:ind w:left="720" w:hanging="720"/>
                <w:rPr>
                  <w:noProof/>
                  <w:sz w:val="20"/>
                  <w:szCs w:val="20"/>
                </w:rPr>
              </w:pPr>
              <w:r w:rsidRPr="000F4FAA">
                <w:rPr>
                  <w:noProof/>
                  <w:sz w:val="20"/>
                  <w:szCs w:val="20"/>
                </w:rPr>
                <w:t xml:space="preserve">Clark, &amp; Kim. (2012). The Effect of Neighborhood Diversity on Volunteering: Evidence From New Zealand. </w:t>
              </w:r>
              <w:r w:rsidRPr="000F4FAA">
                <w:rPr>
                  <w:i/>
                  <w:iCs/>
                  <w:noProof/>
                  <w:sz w:val="20"/>
                  <w:szCs w:val="20"/>
                </w:rPr>
                <w:t>B E Journal of Economic Analysis &amp; Policy</w:t>
              </w:r>
              <w:r w:rsidRPr="000F4FAA">
                <w:rPr>
                  <w:noProof/>
                  <w:sz w:val="20"/>
                  <w:szCs w:val="20"/>
                </w:rPr>
                <w:t>, 1-47.</w:t>
              </w:r>
            </w:p>
            <w:p w14:paraId="39723029" w14:textId="77777777" w:rsidR="00DC4C76" w:rsidRPr="000F4FAA" w:rsidRDefault="00DC4C76" w:rsidP="00DC4C76">
              <w:pPr>
                <w:pStyle w:val="Bibliography"/>
                <w:ind w:left="720" w:hanging="720"/>
                <w:rPr>
                  <w:noProof/>
                  <w:sz w:val="20"/>
                  <w:szCs w:val="20"/>
                </w:rPr>
              </w:pPr>
              <w:r w:rsidRPr="000F4FAA">
                <w:rPr>
                  <w:noProof/>
                  <w:sz w:val="20"/>
                  <w:szCs w:val="20"/>
                </w:rPr>
                <w:t xml:space="preserve">Clifford, C. (2018, July 18). </w:t>
              </w:r>
              <w:r w:rsidRPr="000F4FAA">
                <w:rPr>
                  <w:i/>
                  <w:iCs/>
                  <w:noProof/>
                  <w:sz w:val="20"/>
                  <w:szCs w:val="20"/>
                </w:rPr>
                <w:t>Obama on wealth inequality: 'There's only so much you can eat. There's only so big a house you can have.'.</w:t>
              </w:r>
              <w:r w:rsidRPr="000F4FAA">
                <w:rPr>
                  <w:noProof/>
                  <w:sz w:val="20"/>
                  <w:szCs w:val="20"/>
                </w:rPr>
                <w:t xml:space="preserve"> From CNBC: https://www.cnbc.com/2018/07/18/barack-obama-on-wealth-inequality-only-so-much-you-can-eat.html</w:t>
              </w:r>
            </w:p>
            <w:p w14:paraId="6CAE77CC" w14:textId="77777777" w:rsidR="00DC4C76" w:rsidRPr="000F4FAA" w:rsidRDefault="00DC4C76" w:rsidP="00DC4C76">
              <w:pPr>
                <w:pStyle w:val="Bibliography"/>
                <w:ind w:left="720" w:hanging="720"/>
                <w:rPr>
                  <w:noProof/>
                  <w:sz w:val="20"/>
                  <w:szCs w:val="20"/>
                </w:rPr>
              </w:pPr>
              <w:r w:rsidRPr="000F4FAA">
                <w:rPr>
                  <w:noProof/>
                  <w:sz w:val="20"/>
                  <w:szCs w:val="20"/>
                </w:rPr>
                <w:t xml:space="preserve">Collins, &amp; Guidry. (2018). What effect does inequality have on residents’ sense of safety? Exploring the mediating processes of social capital and civic engagement. </w:t>
              </w:r>
              <w:r w:rsidRPr="000F4FAA">
                <w:rPr>
                  <w:i/>
                  <w:iCs/>
                  <w:noProof/>
                  <w:sz w:val="20"/>
                  <w:szCs w:val="20"/>
                </w:rPr>
                <w:t>Journal of Urban Affairs</w:t>
              </w:r>
              <w:r w:rsidRPr="000F4FAA">
                <w:rPr>
                  <w:noProof/>
                  <w:sz w:val="20"/>
                  <w:szCs w:val="20"/>
                </w:rPr>
                <w:t>, 1009-1026.</w:t>
              </w:r>
            </w:p>
            <w:p w14:paraId="7C36C451" w14:textId="77777777" w:rsidR="00DC4C76" w:rsidRPr="000F4FAA" w:rsidRDefault="00DC4C76" w:rsidP="00DC4C76">
              <w:pPr>
                <w:pStyle w:val="Bibliography"/>
                <w:ind w:left="720" w:hanging="720"/>
                <w:rPr>
                  <w:noProof/>
                  <w:sz w:val="20"/>
                  <w:szCs w:val="20"/>
                </w:rPr>
              </w:pPr>
              <w:r w:rsidRPr="000F4FAA">
                <w:rPr>
                  <w:noProof/>
                  <w:sz w:val="20"/>
                  <w:szCs w:val="20"/>
                </w:rPr>
                <w:t xml:space="preserve">Dai, Jiang, Sun, &amp; Wu. (2020). Inequality and Social Capital: How Inequality in China’s Housing Assets Affects People’s Trust. </w:t>
              </w:r>
              <w:r w:rsidRPr="000F4FAA">
                <w:rPr>
                  <w:i/>
                  <w:iCs/>
                  <w:noProof/>
                  <w:sz w:val="20"/>
                  <w:szCs w:val="20"/>
                </w:rPr>
                <w:t>Emerging Markets Finance and Trade</w:t>
              </w:r>
              <w:r w:rsidRPr="000F4FAA">
                <w:rPr>
                  <w:noProof/>
                  <w:sz w:val="20"/>
                  <w:szCs w:val="20"/>
                </w:rPr>
                <w:t>, 562-575.</w:t>
              </w:r>
            </w:p>
            <w:p w14:paraId="5C165754" w14:textId="77777777" w:rsidR="00DC4C76" w:rsidRPr="000F4FAA" w:rsidRDefault="00DC4C76" w:rsidP="00DC4C76">
              <w:pPr>
                <w:pStyle w:val="Bibliography"/>
                <w:ind w:left="720" w:hanging="720"/>
                <w:rPr>
                  <w:noProof/>
                  <w:sz w:val="20"/>
                  <w:szCs w:val="20"/>
                </w:rPr>
              </w:pPr>
              <w:r w:rsidRPr="000F4FAA">
                <w:rPr>
                  <w:noProof/>
                  <w:sz w:val="20"/>
                  <w:szCs w:val="20"/>
                </w:rPr>
                <w:t xml:space="preserve">D'Amato, O'Higgins, &amp; Stimolo. (2022). On inequality, growth and trust: some evidence from the lab. </w:t>
              </w:r>
              <w:r w:rsidRPr="000F4FAA">
                <w:rPr>
                  <w:i/>
                  <w:iCs/>
                  <w:noProof/>
                  <w:sz w:val="20"/>
                  <w:szCs w:val="20"/>
                </w:rPr>
                <w:t>Journal of Institutional Economics</w:t>
              </w:r>
              <w:r w:rsidRPr="000F4FAA">
                <w:rPr>
                  <w:noProof/>
                  <w:sz w:val="20"/>
                  <w:szCs w:val="20"/>
                </w:rPr>
                <w:t>, 621-636.</w:t>
              </w:r>
            </w:p>
            <w:p w14:paraId="60210DC0" w14:textId="77777777" w:rsidR="00DC4C76" w:rsidRPr="000F4FAA" w:rsidRDefault="00DC4C76" w:rsidP="00DC4C76">
              <w:pPr>
                <w:pStyle w:val="Bibliography"/>
                <w:ind w:left="720" w:hanging="720"/>
                <w:rPr>
                  <w:noProof/>
                  <w:sz w:val="20"/>
                  <w:szCs w:val="20"/>
                </w:rPr>
              </w:pPr>
              <w:r w:rsidRPr="000F4FAA">
                <w:rPr>
                  <w:noProof/>
                  <w:sz w:val="20"/>
                  <w:szCs w:val="20"/>
                </w:rPr>
                <w:lastRenderedPageBreak/>
                <w:t xml:space="preserve">Einolf, C., &amp; Chambré, S. (2011). Who volunteers? Constructing a hybrid theory. </w:t>
              </w:r>
              <w:r w:rsidRPr="000F4FAA">
                <w:rPr>
                  <w:i/>
                  <w:iCs/>
                  <w:noProof/>
                  <w:sz w:val="20"/>
                  <w:szCs w:val="20"/>
                </w:rPr>
                <w:t>International Journal of Nonprofit and Voluntary Sector Marketing</w:t>
              </w:r>
              <w:r w:rsidRPr="000F4FAA">
                <w:rPr>
                  <w:noProof/>
                  <w:sz w:val="20"/>
                  <w:szCs w:val="20"/>
                </w:rPr>
                <w:t>, 298-310.</w:t>
              </w:r>
            </w:p>
            <w:p w14:paraId="6F196F97" w14:textId="77777777" w:rsidR="00DC4C76" w:rsidRPr="000F4FAA" w:rsidRDefault="00DC4C76" w:rsidP="00DC4C76">
              <w:pPr>
                <w:pStyle w:val="Bibliography"/>
                <w:ind w:left="720" w:hanging="720"/>
                <w:rPr>
                  <w:noProof/>
                  <w:sz w:val="20"/>
                  <w:szCs w:val="20"/>
                </w:rPr>
              </w:pPr>
              <w:r w:rsidRPr="000F4FAA">
                <w:rPr>
                  <w:noProof/>
                  <w:sz w:val="20"/>
                  <w:szCs w:val="20"/>
                </w:rPr>
                <w:t xml:space="preserve">Evers, &amp; Gesthuizen. (2011). The The impact of generalized and institutional trust on donating to activist, leisure, and interest organizations: individual and contextual effects. </w:t>
              </w:r>
              <w:r w:rsidRPr="000F4FAA">
                <w:rPr>
                  <w:i/>
                  <w:iCs/>
                  <w:noProof/>
                  <w:sz w:val="20"/>
                  <w:szCs w:val="20"/>
                </w:rPr>
                <w:t>International Journal of Nonprofit and Voluntary Sector Marketing</w:t>
              </w:r>
              <w:r w:rsidRPr="000F4FAA">
                <w:rPr>
                  <w:noProof/>
                  <w:sz w:val="20"/>
                  <w:szCs w:val="20"/>
                </w:rPr>
                <w:t>, 381-392.</w:t>
              </w:r>
            </w:p>
            <w:p w14:paraId="3DDAE2D3" w14:textId="77777777" w:rsidR="00DC4C76" w:rsidRPr="000F4FAA" w:rsidRDefault="00DC4C76" w:rsidP="00DC4C76">
              <w:pPr>
                <w:pStyle w:val="Bibliography"/>
                <w:ind w:left="720" w:hanging="720"/>
                <w:rPr>
                  <w:noProof/>
                  <w:sz w:val="20"/>
                  <w:szCs w:val="20"/>
                </w:rPr>
              </w:pPr>
              <w:r w:rsidRPr="000F4FAA">
                <w:rPr>
                  <w:noProof/>
                  <w:sz w:val="20"/>
                  <w:szCs w:val="20"/>
                </w:rPr>
                <w:t xml:space="preserve">Fairbrother, &amp; Martin. (2013). Does inequality erode social trust? Results from multilevel models of US states and counties. </w:t>
              </w:r>
              <w:r w:rsidRPr="000F4FAA">
                <w:rPr>
                  <w:i/>
                  <w:iCs/>
                  <w:noProof/>
                  <w:sz w:val="20"/>
                  <w:szCs w:val="20"/>
                </w:rPr>
                <w:t>Social Science Research</w:t>
              </w:r>
              <w:r w:rsidRPr="000F4FAA">
                <w:rPr>
                  <w:noProof/>
                  <w:sz w:val="20"/>
                  <w:szCs w:val="20"/>
                </w:rPr>
                <w:t>, 347-360.</w:t>
              </w:r>
            </w:p>
            <w:p w14:paraId="113C92F2" w14:textId="77777777" w:rsidR="00DC4C76" w:rsidRPr="000F4FAA" w:rsidRDefault="00DC4C76" w:rsidP="00DC4C76">
              <w:pPr>
                <w:pStyle w:val="Bibliography"/>
                <w:ind w:left="720" w:hanging="720"/>
                <w:rPr>
                  <w:noProof/>
                  <w:sz w:val="20"/>
                  <w:szCs w:val="20"/>
                </w:rPr>
              </w:pPr>
              <w:r w:rsidRPr="000F4FAA">
                <w:rPr>
                  <w:noProof/>
                  <w:sz w:val="20"/>
                  <w:szCs w:val="20"/>
                </w:rPr>
                <w:t xml:space="preserve">Filetti, &amp; Janmaat. (2018). Income inequality and economic downturn in Europe: A multilevel analysis of their consequences for political participation. </w:t>
              </w:r>
              <w:r w:rsidRPr="000F4FAA">
                <w:rPr>
                  <w:i/>
                  <w:iCs/>
                  <w:noProof/>
                  <w:sz w:val="20"/>
                  <w:szCs w:val="20"/>
                </w:rPr>
                <w:t>Acta Politica</w:t>
              </w:r>
              <w:r w:rsidRPr="000F4FAA">
                <w:rPr>
                  <w:noProof/>
                  <w:sz w:val="20"/>
                  <w:szCs w:val="20"/>
                </w:rPr>
                <w:t>, 327-347.</w:t>
              </w:r>
            </w:p>
            <w:p w14:paraId="5BDDFCAB" w14:textId="77777777" w:rsidR="00DC4C76" w:rsidRPr="000F4FAA" w:rsidRDefault="00DC4C76" w:rsidP="00DC4C76">
              <w:pPr>
                <w:pStyle w:val="Bibliography"/>
                <w:ind w:left="720" w:hanging="720"/>
                <w:rPr>
                  <w:noProof/>
                  <w:sz w:val="20"/>
                  <w:szCs w:val="20"/>
                </w:rPr>
              </w:pPr>
              <w:r w:rsidRPr="000F4FAA">
                <w:rPr>
                  <w:noProof/>
                  <w:sz w:val="20"/>
                  <w:szCs w:val="20"/>
                </w:rPr>
                <w:t xml:space="preserve">Fladmoe, &amp; Steen-Johnsen. (2018). Is Ethnic Diversity Bad for Any Dimension of Social Capital? Trust, Networks and Voluntarism in Norwegian Communities. </w:t>
              </w:r>
              <w:r w:rsidRPr="000F4FAA">
                <w:rPr>
                  <w:i/>
                  <w:iCs/>
                  <w:noProof/>
                  <w:sz w:val="20"/>
                  <w:szCs w:val="20"/>
                </w:rPr>
                <w:t>Scandinavian Political Studies</w:t>
              </w:r>
              <w:r w:rsidRPr="000F4FAA">
                <w:rPr>
                  <w:noProof/>
                  <w:sz w:val="20"/>
                  <w:szCs w:val="20"/>
                </w:rPr>
                <w:t>, 336-366.</w:t>
              </w:r>
            </w:p>
            <w:p w14:paraId="6E331325" w14:textId="77777777" w:rsidR="00DC4C76" w:rsidRPr="000F4FAA" w:rsidRDefault="00DC4C76" w:rsidP="00DC4C76">
              <w:pPr>
                <w:pStyle w:val="Bibliography"/>
                <w:ind w:left="720" w:hanging="720"/>
                <w:rPr>
                  <w:noProof/>
                  <w:sz w:val="20"/>
                  <w:szCs w:val="20"/>
                </w:rPr>
              </w:pPr>
              <w:r w:rsidRPr="000F4FAA">
                <w:rPr>
                  <w:noProof/>
                  <w:sz w:val="20"/>
                  <w:szCs w:val="20"/>
                </w:rPr>
                <w:t xml:space="preserve">Fukuyama. (2001). Social Capital, Civil Society and Development. </w:t>
              </w:r>
              <w:r w:rsidRPr="000F4FAA">
                <w:rPr>
                  <w:i/>
                  <w:iCs/>
                  <w:noProof/>
                  <w:sz w:val="20"/>
                  <w:szCs w:val="20"/>
                </w:rPr>
                <w:t>Third World Quarterly</w:t>
              </w:r>
              <w:r w:rsidRPr="000F4FAA">
                <w:rPr>
                  <w:noProof/>
                  <w:sz w:val="20"/>
                  <w:szCs w:val="20"/>
                </w:rPr>
                <w:t>, 7-20.</w:t>
              </w:r>
            </w:p>
            <w:p w14:paraId="38726947" w14:textId="77777777" w:rsidR="00DC4C76" w:rsidRPr="000F4FAA" w:rsidRDefault="00DC4C76" w:rsidP="00DC4C76">
              <w:pPr>
                <w:pStyle w:val="Bibliography"/>
                <w:ind w:left="720" w:hanging="720"/>
                <w:rPr>
                  <w:noProof/>
                  <w:sz w:val="20"/>
                  <w:szCs w:val="20"/>
                </w:rPr>
              </w:pPr>
              <w:r w:rsidRPr="000F4FAA">
                <w:rPr>
                  <w:noProof/>
                  <w:sz w:val="20"/>
                  <w:szCs w:val="20"/>
                </w:rPr>
                <w:t xml:space="preserve">Gesthuizen, M., van der Meer, T., &amp; Scheepers, P. (2009). Ethnic Diversity and Social Capital in Europe: Tests of Putnam's Thesis in European Countries. </w:t>
              </w:r>
              <w:r w:rsidRPr="000F4FAA">
                <w:rPr>
                  <w:i/>
                  <w:iCs/>
                  <w:noProof/>
                  <w:sz w:val="20"/>
                  <w:szCs w:val="20"/>
                </w:rPr>
                <w:t>Nordic Political Science Association</w:t>
              </w:r>
              <w:r w:rsidRPr="000F4FAA">
                <w:rPr>
                  <w:noProof/>
                  <w:sz w:val="20"/>
                  <w:szCs w:val="20"/>
                </w:rPr>
                <w:t>, 121-142.</w:t>
              </w:r>
            </w:p>
            <w:p w14:paraId="183DA5EE" w14:textId="77777777" w:rsidR="00DC4C76" w:rsidRPr="000F4FAA" w:rsidRDefault="00DC4C76" w:rsidP="00DC4C76">
              <w:pPr>
                <w:pStyle w:val="Bibliography"/>
                <w:ind w:left="720" w:hanging="720"/>
                <w:rPr>
                  <w:noProof/>
                  <w:sz w:val="20"/>
                  <w:szCs w:val="20"/>
                </w:rPr>
              </w:pPr>
              <w:r w:rsidRPr="000F4FAA">
                <w:rPr>
                  <w:noProof/>
                  <w:sz w:val="20"/>
                  <w:szCs w:val="20"/>
                </w:rPr>
                <w:t xml:space="preserve">Gesthuizen, Meer, v. d., &amp; Scheepers. (2008). Education and dimensions of social capital: Do educational effects differ due to educational expansion and social security expenditure? </w:t>
              </w:r>
              <w:r w:rsidRPr="000F4FAA">
                <w:rPr>
                  <w:i/>
                  <w:iCs/>
                  <w:noProof/>
                  <w:sz w:val="20"/>
                  <w:szCs w:val="20"/>
                </w:rPr>
                <w:t>European Sociological Review</w:t>
              </w:r>
              <w:r w:rsidRPr="000F4FAA">
                <w:rPr>
                  <w:noProof/>
                  <w:sz w:val="20"/>
                  <w:szCs w:val="20"/>
                </w:rPr>
                <w:t>, 617-632.</w:t>
              </w:r>
            </w:p>
            <w:p w14:paraId="10136CD6" w14:textId="77777777" w:rsidR="00DC4C76" w:rsidRPr="000F4FAA" w:rsidRDefault="00DC4C76" w:rsidP="00DC4C76">
              <w:pPr>
                <w:pStyle w:val="Bibliography"/>
                <w:ind w:left="720" w:hanging="720"/>
                <w:rPr>
                  <w:noProof/>
                  <w:sz w:val="20"/>
                  <w:szCs w:val="20"/>
                </w:rPr>
              </w:pPr>
              <w:r w:rsidRPr="000F4FAA">
                <w:rPr>
                  <w:noProof/>
                  <w:sz w:val="20"/>
                  <w:szCs w:val="20"/>
                </w:rPr>
                <w:t xml:space="preserve">Godfrey, &amp; Cherng. (2016). The Kids are All Right? Income Inequality and Civic Engagement among Our Nation’s Youth. </w:t>
              </w:r>
              <w:r w:rsidRPr="000F4FAA">
                <w:rPr>
                  <w:i/>
                  <w:iCs/>
                  <w:noProof/>
                  <w:sz w:val="20"/>
                  <w:szCs w:val="20"/>
                </w:rPr>
                <w:t>Journal of Youth and Adolescence</w:t>
              </w:r>
              <w:r w:rsidRPr="000F4FAA">
                <w:rPr>
                  <w:noProof/>
                  <w:sz w:val="20"/>
                  <w:szCs w:val="20"/>
                </w:rPr>
                <w:t>, 2218-2232.</w:t>
              </w:r>
            </w:p>
            <w:p w14:paraId="54430B42" w14:textId="77777777" w:rsidR="00DC4C76" w:rsidRPr="000F4FAA" w:rsidRDefault="00DC4C76" w:rsidP="00DC4C76">
              <w:pPr>
                <w:pStyle w:val="Bibliography"/>
                <w:ind w:left="720" w:hanging="720"/>
                <w:rPr>
                  <w:noProof/>
                  <w:sz w:val="20"/>
                  <w:szCs w:val="20"/>
                </w:rPr>
              </w:pPr>
              <w:r w:rsidRPr="000F4FAA">
                <w:rPr>
                  <w:noProof/>
                  <w:sz w:val="20"/>
                  <w:szCs w:val="20"/>
                </w:rPr>
                <w:t xml:space="preserve">Hastings. (2018). Less equal, less trusting? Longitudinal and cross-sectional effects of income inequality on trust in U.S. States, 1973–2012. </w:t>
              </w:r>
              <w:r w:rsidRPr="000F4FAA">
                <w:rPr>
                  <w:i/>
                  <w:iCs/>
                  <w:noProof/>
                  <w:sz w:val="20"/>
                  <w:szCs w:val="20"/>
                </w:rPr>
                <w:t>Social Science Research</w:t>
              </w:r>
              <w:r w:rsidRPr="000F4FAA">
                <w:rPr>
                  <w:noProof/>
                  <w:sz w:val="20"/>
                  <w:szCs w:val="20"/>
                </w:rPr>
                <w:t>, 77-95.</w:t>
              </w:r>
            </w:p>
            <w:p w14:paraId="2B13C1B0" w14:textId="77777777" w:rsidR="00DC4C76" w:rsidRPr="000F4FAA" w:rsidRDefault="00DC4C76" w:rsidP="00DC4C76">
              <w:pPr>
                <w:pStyle w:val="Bibliography"/>
                <w:ind w:left="720" w:hanging="720"/>
                <w:rPr>
                  <w:noProof/>
                  <w:sz w:val="20"/>
                  <w:szCs w:val="20"/>
                </w:rPr>
              </w:pPr>
              <w:r w:rsidRPr="000F4FAA">
                <w:rPr>
                  <w:noProof/>
                  <w:sz w:val="20"/>
                  <w:szCs w:val="20"/>
                </w:rPr>
                <w:t xml:space="preserve">Hellevik, O. (2007). Linear versus logistic regression when the outcome is a dichotomy. </w:t>
              </w:r>
              <w:r w:rsidRPr="000F4FAA">
                <w:rPr>
                  <w:i/>
                  <w:iCs/>
                  <w:noProof/>
                  <w:sz w:val="20"/>
                  <w:szCs w:val="20"/>
                </w:rPr>
                <w:t>Quality &amp; Quantity</w:t>
              </w:r>
              <w:r w:rsidRPr="000F4FAA">
                <w:rPr>
                  <w:noProof/>
                  <w:sz w:val="20"/>
                  <w:szCs w:val="20"/>
                </w:rPr>
                <w:t>, 59-74.</w:t>
              </w:r>
            </w:p>
            <w:p w14:paraId="2FFA4731" w14:textId="77777777" w:rsidR="00DC4C76" w:rsidRPr="000F4FAA" w:rsidRDefault="00DC4C76" w:rsidP="00DC4C76">
              <w:pPr>
                <w:pStyle w:val="Bibliography"/>
                <w:ind w:left="720" w:hanging="720"/>
                <w:rPr>
                  <w:noProof/>
                  <w:sz w:val="20"/>
                  <w:szCs w:val="20"/>
                </w:rPr>
              </w:pPr>
              <w:r w:rsidRPr="000F4FAA">
                <w:rPr>
                  <w:noProof/>
                  <w:sz w:val="20"/>
                  <w:szCs w:val="20"/>
                </w:rPr>
                <w:t xml:space="preserve">Hommerich. (2015). Feeling Disconnected: Exploring the Relationship Between Different Forms of Social Capital and Civic Engagement in Japan. </w:t>
              </w:r>
              <w:r w:rsidRPr="000F4FAA">
                <w:rPr>
                  <w:i/>
                  <w:iCs/>
                  <w:noProof/>
                  <w:sz w:val="20"/>
                  <w:szCs w:val="20"/>
                </w:rPr>
                <w:t>Voluntas</w:t>
              </w:r>
              <w:r w:rsidRPr="000F4FAA">
                <w:rPr>
                  <w:noProof/>
                  <w:sz w:val="20"/>
                  <w:szCs w:val="20"/>
                </w:rPr>
                <w:t>, 45-68.</w:t>
              </w:r>
            </w:p>
            <w:p w14:paraId="2F89FCDE" w14:textId="77777777" w:rsidR="00DC4C76" w:rsidRPr="000F4FAA" w:rsidRDefault="00DC4C76" w:rsidP="00DC4C76">
              <w:pPr>
                <w:pStyle w:val="Bibliography"/>
                <w:ind w:left="720" w:hanging="720"/>
                <w:rPr>
                  <w:noProof/>
                  <w:sz w:val="20"/>
                  <w:szCs w:val="20"/>
                </w:rPr>
              </w:pPr>
              <w:r w:rsidRPr="000F4FAA">
                <w:rPr>
                  <w:noProof/>
                  <w:sz w:val="20"/>
                  <w:szCs w:val="20"/>
                </w:rPr>
                <w:t>IBM Corp. (2019). IBM SPSS Statistics for Windows, Version 26. Armonk, New York, United States of America.</w:t>
              </w:r>
            </w:p>
            <w:p w14:paraId="5BB690DC" w14:textId="77777777" w:rsidR="00DC4C76" w:rsidRPr="000F4FAA" w:rsidRDefault="00DC4C76" w:rsidP="00DC4C76">
              <w:pPr>
                <w:pStyle w:val="Bibliography"/>
                <w:ind w:left="720" w:hanging="720"/>
                <w:rPr>
                  <w:noProof/>
                  <w:sz w:val="20"/>
                  <w:szCs w:val="20"/>
                </w:rPr>
              </w:pPr>
              <w:r w:rsidRPr="000F4FAA">
                <w:rPr>
                  <w:noProof/>
                  <w:sz w:val="20"/>
                  <w:szCs w:val="20"/>
                </w:rPr>
                <w:t xml:space="preserve">Ingen, v., &amp; Bekkers. (2015). Generalized Trust Through Civic Engagement? Evidence from Five National Panel Studies. </w:t>
              </w:r>
              <w:r w:rsidRPr="000F4FAA">
                <w:rPr>
                  <w:i/>
                  <w:iCs/>
                  <w:noProof/>
                  <w:sz w:val="20"/>
                  <w:szCs w:val="20"/>
                </w:rPr>
                <w:t>Political Psychology</w:t>
              </w:r>
              <w:r w:rsidRPr="000F4FAA">
                <w:rPr>
                  <w:noProof/>
                  <w:sz w:val="20"/>
                  <w:szCs w:val="20"/>
                </w:rPr>
                <w:t>, 277-294.</w:t>
              </w:r>
            </w:p>
            <w:p w14:paraId="05E03B51" w14:textId="77777777" w:rsidR="00DC4C76" w:rsidRPr="000F4FAA" w:rsidRDefault="00DC4C76" w:rsidP="00DC4C76">
              <w:pPr>
                <w:pStyle w:val="Bibliography"/>
                <w:ind w:left="720" w:hanging="720"/>
                <w:rPr>
                  <w:noProof/>
                  <w:sz w:val="20"/>
                  <w:szCs w:val="20"/>
                </w:rPr>
              </w:pPr>
              <w:r w:rsidRPr="000F4FAA">
                <w:rPr>
                  <w:noProof/>
                  <w:sz w:val="20"/>
                  <w:szCs w:val="20"/>
                </w:rPr>
                <w:t xml:space="preserve">Kang. (2016). Inequality and crime revisited: effects of local inequality and economic segregation on crime. </w:t>
              </w:r>
              <w:r w:rsidRPr="000F4FAA">
                <w:rPr>
                  <w:i/>
                  <w:iCs/>
                  <w:noProof/>
                  <w:sz w:val="20"/>
                  <w:szCs w:val="20"/>
                </w:rPr>
                <w:t>Journal of Population Economics</w:t>
              </w:r>
              <w:r w:rsidRPr="000F4FAA">
                <w:rPr>
                  <w:noProof/>
                  <w:sz w:val="20"/>
                  <w:szCs w:val="20"/>
                </w:rPr>
                <w:t>, 593-626.</w:t>
              </w:r>
            </w:p>
            <w:p w14:paraId="06503B6A" w14:textId="77777777" w:rsidR="00DC4C76" w:rsidRPr="000F4FAA" w:rsidRDefault="00DC4C76" w:rsidP="00DC4C76">
              <w:pPr>
                <w:pStyle w:val="Bibliography"/>
                <w:ind w:left="720" w:hanging="720"/>
                <w:rPr>
                  <w:noProof/>
                  <w:sz w:val="20"/>
                  <w:szCs w:val="20"/>
                </w:rPr>
              </w:pPr>
              <w:r w:rsidRPr="000F4FAA">
                <w:rPr>
                  <w:noProof/>
                  <w:sz w:val="20"/>
                  <w:szCs w:val="20"/>
                </w:rPr>
                <w:t xml:space="preserve">Karakoc. (2013). Economic inequality and its asymmetric effect on civic engagement: Evidence from post-communist countries. </w:t>
              </w:r>
              <w:r w:rsidRPr="000F4FAA">
                <w:rPr>
                  <w:i/>
                  <w:iCs/>
                  <w:noProof/>
                  <w:sz w:val="20"/>
                  <w:szCs w:val="20"/>
                </w:rPr>
                <w:t>European Political Science Review</w:t>
              </w:r>
              <w:r w:rsidRPr="000F4FAA">
                <w:rPr>
                  <w:noProof/>
                  <w:sz w:val="20"/>
                  <w:szCs w:val="20"/>
                </w:rPr>
                <w:t>, 197-223.</w:t>
              </w:r>
            </w:p>
            <w:p w14:paraId="4F0412B2" w14:textId="77777777" w:rsidR="00DC4C76" w:rsidRPr="000F4FAA" w:rsidRDefault="00DC4C76" w:rsidP="00DC4C76">
              <w:pPr>
                <w:pStyle w:val="Bibliography"/>
                <w:ind w:left="720" w:hanging="720"/>
                <w:rPr>
                  <w:noProof/>
                  <w:sz w:val="20"/>
                  <w:szCs w:val="20"/>
                </w:rPr>
              </w:pPr>
              <w:r w:rsidRPr="000F4FAA">
                <w:rPr>
                  <w:noProof/>
                  <w:sz w:val="20"/>
                  <w:szCs w:val="20"/>
                </w:rPr>
                <w:t xml:space="preserve">Lancee, &amp; Werfhorst, v. d. (2012). Income inequality and participation: A comparison of 24 European countries. </w:t>
              </w:r>
              <w:r w:rsidRPr="000F4FAA">
                <w:rPr>
                  <w:i/>
                  <w:iCs/>
                  <w:noProof/>
                  <w:sz w:val="20"/>
                  <w:szCs w:val="20"/>
                </w:rPr>
                <w:t>Social Science Research</w:t>
              </w:r>
              <w:r w:rsidRPr="000F4FAA">
                <w:rPr>
                  <w:noProof/>
                  <w:sz w:val="20"/>
                  <w:szCs w:val="20"/>
                </w:rPr>
                <w:t>, 1166-1178.</w:t>
              </w:r>
            </w:p>
            <w:p w14:paraId="6A4E118D" w14:textId="77777777" w:rsidR="00DC4C76" w:rsidRPr="000F4FAA" w:rsidRDefault="00DC4C76" w:rsidP="00DC4C76">
              <w:pPr>
                <w:pStyle w:val="Bibliography"/>
                <w:ind w:left="720" w:hanging="720"/>
                <w:rPr>
                  <w:noProof/>
                  <w:sz w:val="20"/>
                  <w:szCs w:val="20"/>
                </w:rPr>
              </w:pPr>
              <w:r w:rsidRPr="000F4FAA">
                <w:rPr>
                  <w:noProof/>
                  <w:sz w:val="20"/>
                  <w:szCs w:val="20"/>
                </w:rPr>
                <w:t xml:space="preserve">Liu, Wen, Su, Chong, M.-l., Kong, &amp; Jiang. (2021). Social Trust, Trust Differential, and Radius of Trust on Volunteering: Evidence from the Hong Kong Chinese. </w:t>
              </w:r>
              <w:r w:rsidRPr="000F4FAA">
                <w:rPr>
                  <w:i/>
                  <w:iCs/>
                  <w:noProof/>
                  <w:sz w:val="20"/>
                  <w:szCs w:val="20"/>
                </w:rPr>
                <w:t>Journal of Social Service Research</w:t>
              </w:r>
              <w:r w:rsidRPr="000F4FAA">
                <w:rPr>
                  <w:noProof/>
                  <w:sz w:val="20"/>
                  <w:szCs w:val="20"/>
                </w:rPr>
                <w:t>, 276-291.</w:t>
              </w:r>
            </w:p>
            <w:p w14:paraId="500434B9" w14:textId="77777777" w:rsidR="00DC4C76" w:rsidRPr="000F4FAA" w:rsidRDefault="00DC4C76" w:rsidP="00DC4C76">
              <w:pPr>
                <w:pStyle w:val="Bibliography"/>
                <w:ind w:left="720" w:hanging="720"/>
                <w:rPr>
                  <w:noProof/>
                  <w:sz w:val="20"/>
                  <w:szCs w:val="20"/>
                </w:rPr>
              </w:pPr>
              <w:r w:rsidRPr="000F4FAA">
                <w:rPr>
                  <w:noProof/>
                  <w:sz w:val="20"/>
                  <w:szCs w:val="20"/>
                </w:rPr>
                <w:t xml:space="preserve">Lynch, Smith, Kaplan, &amp; House. (2000). Income inequality and mortality: Importance to health of individual income, psychosocial environment, or material conditions. </w:t>
              </w:r>
              <w:r w:rsidRPr="000F4FAA">
                <w:rPr>
                  <w:i/>
                  <w:iCs/>
                  <w:noProof/>
                  <w:sz w:val="20"/>
                  <w:szCs w:val="20"/>
                </w:rPr>
                <w:t xml:space="preserve">British Medical Journal </w:t>
              </w:r>
              <w:r w:rsidRPr="000F4FAA">
                <w:rPr>
                  <w:noProof/>
                  <w:sz w:val="20"/>
                  <w:szCs w:val="20"/>
                </w:rPr>
                <w:t>, 1200-1204.</w:t>
              </w:r>
            </w:p>
            <w:p w14:paraId="4C6789A1" w14:textId="77777777" w:rsidR="00DC4C76" w:rsidRPr="000F4FAA" w:rsidRDefault="00DC4C76" w:rsidP="00DC4C76">
              <w:pPr>
                <w:pStyle w:val="Bibliography"/>
                <w:ind w:left="720" w:hanging="720"/>
                <w:rPr>
                  <w:noProof/>
                  <w:sz w:val="20"/>
                  <w:szCs w:val="20"/>
                </w:rPr>
              </w:pPr>
              <w:r w:rsidRPr="000F4FAA">
                <w:rPr>
                  <w:noProof/>
                  <w:sz w:val="20"/>
                  <w:szCs w:val="20"/>
                </w:rPr>
                <w:t xml:space="preserve">Markussen, Sharma, Singhal, &amp; Tarp. (2021). Inequality, institutions and cooperation. </w:t>
              </w:r>
              <w:r w:rsidRPr="000F4FAA">
                <w:rPr>
                  <w:i/>
                  <w:iCs/>
                  <w:noProof/>
                  <w:sz w:val="20"/>
                  <w:szCs w:val="20"/>
                </w:rPr>
                <w:t>European Economic Review</w:t>
              </w:r>
              <w:r w:rsidRPr="000F4FAA">
                <w:rPr>
                  <w:noProof/>
                  <w:sz w:val="20"/>
                  <w:szCs w:val="20"/>
                </w:rPr>
                <w:t>.</w:t>
              </w:r>
            </w:p>
            <w:p w14:paraId="3B17B8F6" w14:textId="77777777" w:rsidR="00DC4C76" w:rsidRPr="000F4FAA" w:rsidRDefault="00DC4C76" w:rsidP="00DC4C76">
              <w:pPr>
                <w:pStyle w:val="Bibliography"/>
                <w:ind w:left="720" w:hanging="720"/>
                <w:rPr>
                  <w:noProof/>
                  <w:sz w:val="20"/>
                  <w:szCs w:val="20"/>
                </w:rPr>
              </w:pPr>
              <w:r w:rsidRPr="000F4FAA">
                <w:rPr>
                  <w:noProof/>
                  <w:sz w:val="20"/>
                  <w:szCs w:val="20"/>
                </w:rPr>
                <w:lastRenderedPageBreak/>
                <w:t xml:space="preserve">Mastromatteo, &amp; Russo. (2017). Inequality and Charity . </w:t>
              </w:r>
              <w:r w:rsidRPr="000F4FAA">
                <w:rPr>
                  <w:i/>
                  <w:iCs/>
                  <w:noProof/>
                  <w:sz w:val="20"/>
                  <w:szCs w:val="20"/>
                </w:rPr>
                <w:t>World Development</w:t>
              </w:r>
              <w:r w:rsidRPr="000F4FAA">
                <w:rPr>
                  <w:noProof/>
                  <w:sz w:val="20"/>
                  <w:szCs w:val="20"/>
                </w:rPr>
                <w:t>, 136-142.</w:t>
              </w:r>
            </w:p>
            <w:p w14:paraId="181F762F" w14:textId="77777777" w:rsidR="00DC4C76" w:rsidRPr="000F4FAA" w:rsidRDefault="00DC4C76" w:rsidP="00DC4C76">
              <w:pPr>
                <w:pStyle w:val="Bibliography"/>
                <w:ind w:left="720" w:hanging="720"/>
                <w:rPr>
                  <w:noProof/>
                  <w:sz w:val="20"/>
                  <w:szCs w:val="20"/>
                </w:rPr>
              </w:pPr>
              <w:r w:rsidRPr="000F4FAA">
                <w:rPr>
                  <w:noProof/>
                  <w:sz w:val="20"/>
                  <w:szCs w:val="20"/>
                </w:rPr>
                <w:t xml:space="preserve">Oliver. (2010). The Effects of Metropolitan Economic Segregation on Local Civic Participation. </w:t>
              </w:r>
              <w:r w:rsidRPr="000F4FAA">
                <w:rPr>
                  <w:i/>
                  <w:iCs/>
                  <w:noProof/>
                  <w:sz w:val="20"/>
                  <w:szCs w:val="20"/>
                </w:rPr>
                <w:t>Political Science</w:t>
              </w:r>
              <w:r w:rsidRPr="000F4FAA">
                <w:rPr>
                  <w:noProof/>
                  <w:sz w:val="20"/>
                  <w:szCs w:val="20"/>
                </w:rPr>
                <w:t>, 186-212.</w:t>
              </w:r>
            </w:p>
            <w:p w14:paraId="0A05A120" w14:textId="77777777" w:rsidR="00DC4C76" w:rsidRPr="000F4FAA" w:rsidRDefault="00DC4C76" w:rsidP="00DC4C76">
              <w:pPr>
                <w:pStyle w:val="Bibliography"/>
                <w:ind w:left="720" w:hanging="720"/>
                <w:rPr>
                  <w:noProof/>
                  <w:sz w:val="20"/>
                  <w:szCs w:val="20"/>
                </w:rPr>
              </w:pPr>
              <w:r w:rsidRPr="000F4FAA">
                <w:rPr>
                  <w:noProof/>
                  <w:sz w:val="20"/>
                  <w:szCs w:val="20"/>
                </w:rPr>
                <w:t xml:space="preserve">Oorschot, v., &amp; Arts. (2005). The Social Capital of European welfare States: The Crowding Out Hypothesis Revisited. </w:t>
              </w:r>
              <w:r w:rsidRPr="000F4FAA">
                <w:rPr>
                  <w:i/>
                  <w:iCs/>
                  <w:noProof/>
                  <w:sz w:val="20"/>
                  <w:szCs w:val="20"/>
                </w:rPr>
                <w:t xml:space="preserve">Journal of European social policy </w:t>
              </w:r>
              <w:r w:rsidRPr="000F4FAA">
                <w:rPr>
                  <w:noProof/>
                  <w:sz w:val="20"/>
                  <w:szCs w:val="20"/>
                </w:rPr>
                <w:t>, 5-26.</w:t>
              </w:r>
            </w:p>
            <w:p w14:paraId="1502F702" w14:textId="77777777" w:rsidR="00DC4C76" w:rsidRPr="000F4FAA" w:rsidRDefault="00DC4C76" w:rsidP="00DC4C76">
              <w:pPr>
                <w:pStyle w:val="Bibliography"/>
                <w:ind w:left="720" w:hanging="720"/>
                <w:rPr>
                  <w:noProof/>
                  <w:sz w:val="20"/>
                  <w:szCs w:val="20"/>
                </w:rPr>
              </w:pPr>
              <w:r w:rsidRPr="000F4FAA">
                <w:rPr>
                  <w:noProof/>
                  <w:sz w:val="20"/>
                  <w:szCs w:val="20"/>
                </w:rPr>
                <w:t xml:space="preserve">Picket, &amp; Wilkinson. (2015). Income inequality and health: A causal review. </w:t>
              </w:r>
              <w:r w:rsidRPr="000F4FAA">
                <w:rPr>
                  <w:i/>
                  <w:iCs/>
                  <w:noProof/>
                  <w:sz w:val="20"/>
                  <w:szCs w:val="20"/>
                </w:rPr>
                <w:t>Social Science and Medicine</w:t>
              </w:r>
              <w:r w:rsidRPr="000F4FAA">
                <w:rPr>
                  <w:noProof/>
                  <w:sz w:val="20"/>
                  <w:szCs w:val="20"/>
                </w:rPr>
                <w:t>, 316-326.</w:t>
              </w:r>
            </w:p>
            <w:p w14:paraId="2DCACBEA" w14:textId="77777777" w:rsidR="00DC4C76" w:rsidRPr="000F4FAA" w:rsidRDefault="00DC4C76" w:rsidP="00DC4C76">
              <w:pPr>
                <w:pStyle w:val="Bibliography"/>
                <w:ind w:left="720" w:hanging="720"/>
                <w:rPr>
                  <w:noProof/>
                  <w:sz w:val="20"/>
                  <w:szCs w:val="20"/>
                </w:rPr>
              </w:pPr>
              <w:r w:rsidRPr="000F4FAA">
                <w:rPr>
                  <w:noProof/>
                  <w:sz w:val="20"/>
                  <w:szCs w:val="20"/>
                </w:rPr>
                <w:t xml:space="preserve">Pickett, K., &amp; Wilkinson, R. (2015). Income inequality and health: A causal review. </w:t>
              </w:r>
              <w:r w:rsidRPr="000F4FAA">
                <w:rPr>
                  <w:i/>
                  <w:iCs/>
                  <w:noProof/>
                  <w:sz w:val="20"/>
                  <w:szCs w:val="20"/>
                </w:rPr>
                <w:t>Social Science &amp; Medicine</w:t>
              </w:r>
              <w:r w:rsidRPr="000F4FAA">
                <w:rPr>
                  <w:noProof/>
                  <w:sz w:val="20"/>
                  <w:szCs w:val="20"/>
                </w:rPr>
                <w:t>, 316-326.</w:t>
              </w:r>
            </w:p>
            <w:p w14:paraId="57FD8EB9" w14:textId="77777777" w:rsidR="00DC4C76" w:rsidRPr="000F4FAA" w:rsidRDefault="00DC4C76" w:rsidP="00DC4C76">
              <w:pPr>
                <w:pStyle w:val="Bibliography"/>
                <w:ind w:left="720" w:hanging="720"/>
                <w:rPr>
                  <w:noProof/>
                  <w:sz w:val="20"/>
                  <w:szCs w:val="20"/>
                </w:rPr>
              </w:pPr>
              <w:r w:rsidRPr="000F4FAA">
                <w:rPr>
                  <w:noProof/>
                  <w:sz w:val="20"/>
                  <w:szCs w:val="20"/>
                </w:rPr>
                <w:t xml:space="preserve">Reeskens. (2013). But Who Are Those "Most People" That Can Be Trusted? Evaluating the Radius of Trust Across 29 European Societies. </w:t>
              </w:r>
              <w:r w:rsidRPr="000F4FAA">
                <w:rPr>
                  <w:i/>
                  <w:iCs/>
                  <w:noProof/>
                  <w:sz w:val="20"/>
                  <w:szCs w:val="20"/>
                </w:rPr>
                <w:t>Social Indicators Research</w:t>
              </w:r>
              <w:r w:rsidRPr="000F4FAA">
                <w:rPr>
                  <w:noProof/>
                  <w:sz w:val="20"/>
                  <w:szCs w:val="20"/>
                </w:rPr>
                <w:t>, 703-722.</w:t>
              </w:r>
            </w:p>
            <w:p w14:paraId="35592A52" w14:textId="77777777" w:rsidR="00DC4C76" w:rsidRPr="000F4FAA" w:rsidRDefault="00DC4C76" w:rsidP="00DC4C76">
              <w:pPr>
                <w:pStyle w:val="Bibliography"/>
                <w:ind w:left="720" w:hanging="720"/>
                <w:rPr>
                  <w:noProof/>
                  <w:sz w:val="20"/>
                  <w:szCs w:val="20"/>
                </w:rPr>
              </w:pPr>
              <w:r w:rsidRPr="000F4FAA">
                <w:rPr>
                  <w:noProof/>
                  <w:sz w:val="20"/>
                  <w:szCs w:val="20"/>
                </w:rPr>
                <w:t xml:space="preserve">Rothwell. (2012). The Effects of Racial Segregation on Trust and Volunteering in US Cities. </w:t>
              </w:r>
              <w:r w:rsidRPr="000F4FAA">
                <w:rPr>
                  <w:i/>
                  <w:iCs/>
                  <w:noProof/>
                  <w:sz w:val="20"/>
                  <w:szCs w:val="20"/>
                </w:rPr>
                <w:t>Urban Studies</w:t>
              </w:r>
              <w:r w:rsidRPr="000F4FAA">
                <w:rPr>
                  <w:noProof/>
                  <w:sz w:val="20"/>
                  <w:szCs w:val="20"/>
                </w:rPr>
                <w:t>, 2109-2136.</w:t>
              </w:r>
            </w:p>
            <w:p w14:paraId="38B960D5" w14:textId="77777777" w:rsidR="00DC4C76" w:rsidRPr="000F4FAA" w:rsidRDefault="00DC4C76" w:rsidP="00DC4C76">
              <w:pPr>
                <w:pStyle w:val="Bibliography"/>
                <w:ind w:left="720" w:hanging="720"/>
                <w:rPr>
                  <w:noProof/>
                  <w:sz w:val="20"/>
                  <w:szCs w:val="20"/>
                </w:rPr>
              </w:pPr>
              <w:r w:rsidRPr="000F4FAA">
                <w:rPr>
                  <w:noProof/>
                  <w:sz w:val="20"/>
                  <w:szCs w:val="20"/>
                </w:rPr>
                <w:t xml:space="preserve">Rotolo, &amp; Wilson. (2014). Social heterogeneity and volunteering in U.S. Cities. </w:t>
              </w:r>
              <w:r w:rsidRPr="000F4FAA">
                <w:rPr>
                  <w:i/>
                  <w:iCs/>
                  <w:noProof/>
                  <w:sz w:val="20"/>
                  <w:szCs w:val="20"/>
                </w:rPr>
                <w:t>Sociological Forum</w:t>
              </w:r>
              <w:r w:rsidRPr="000F4FAA">
                <w:rPr>
                  <w:noProof/>
                  <w:sz w:val="20"/>
                  <w:szCs w:val="20"/>
                </w:rPr>
                <w:t>, 429-452.</w:t>
              </w:r>
            </w:p>
            <w:p w14:paraId="3AC4AB70" w14:textId="77777777" w:rsidR="00DC4C76" w:rsidRPr="000F4FAA" w:rsidRDefault="00DC4C76" w:rsidP="00DC4C76">
              <w:pPr>
                <w:pStyle w:val="Bibliography"/>
                <w:ind w:left="720" w:hanging="720"/>
                <w:rPr>
                  <w:noProof/>
                  <w:sz w:val="20"/>
                  <w:szCs w:val="20"/>
                </w:rPr>
              </w:pPr>
              <w:r w:rsidRPr="000F4FAA">
                <w:rPr>
                  <w:noProof/>
                  <w:sz w:val="20"/>
                  <w:szCs w:val="20"/>
                </w:rPr>
                <w:t xml:space="preserve">Smith. (2012). The Changing Effects of Community Characteristics on Volunteering in Canada. </w:t>
              </w:r>
              <w:r w:rsidRPr="000F4FAA">
                <w:rPr>
                  <w:i/>
                  <w:iCs/>
                  <w:noProof/>
                  <w:sz w:val="20"/>
                  <w:szCs w:val="20"/>
                </w:rPr>
                <w:t>Canadian Public Policy</w:t>
              </w:r>
              <w:r w:rsidRPr="000F4FAA">
                <w:rPr>
                  <w:noProof/>
                  <w:sz w:val="20"/>
                  <w:szCs w:val="20"/>
                </w:rPr>
                <w:t>, 361-373.</w:t>
              </w:r>
            </w:p>
            <w:p w14:paraId="25F1BC49" w14:textId="77777777" w:rsidR="00DC4C76" w:rsidRPr="000F4FAA" w:rsidRDefault="00DC4C76" w:rsidP="00DC4C76">
              <w:pPr>
                <w:pStyle w:val="Bibliography"/>
                <w:ind w:left="720" w:hanging="720"/>
                <w:rPr>
                  <w:noProof/>
                  <w:sz w:val="20"/>
                  <w:szCs w:val="20"/>
                </w:rPr>
              </w:pPr>
              <w:r w:rsidRPr="000F4FAA">
                <w:rPr>
                  <w:noProof/>
                  <w:sz w:val="20"/>
                  <w:szCs w:val="20"/>
                </w:rPr>
                <w:t xml:space="preserve">Solt. (2008). Economic inequality and democratic political engagement. </w:t>
              </w:r>
              <w:r w:rsidRPr="000F4FAA">
                <w:rPr>
                  <w:i/>
                  <w:iCs/>
                  <w:noProof/>
                  <w:sz w:val="20"/>
                  <w:szCs w:val="20"/>
                </w:rPr>
                <w:t>American Journal of Political Science</w:t>
              </w:r>
              <w:r w:rsidRPr="000F4FAA">
                <w:rPr>
                  <w:noProof/>
                  <w:sz w:val="20"/>
                  <w:szCs w:val="20"/>
                </w:rPr>
                <w:t>, 48-60.</w:t>
              </w:r>
            </w:p>
            <w:p w14:paraId="45D0F2C5" w14:textId="77777777" w:rsidR="00DC4C76" w:rsidRPr="000F4FAA" w:rsidRDefault="00DC4C76" w:rsidP="00DC4C76">
              <w:pPr>
                <w:pStyle w:val="Bibliography"/>
                <w:ind w:left="720" w:hanging="720"/>
                <w:rPr>
                  <w:noProof/>
                  <w:sz w:val="20"/>
                  <w:szCs w:val="20"/>
                </w:rPr>
              </w:pPr>
              <w:r w:rsidRPr="000F4FAA">
                <w:rPr>
                  <w:noProof/>
                  <w:sz w:val="20"/>
                  <w:szCs w:val="20"/>
                </w:rPr>
                <w:t xml:space="preserve">Sonderskov. (2011). Does Generalized Social Trust Lead to Associational Membership? Unravelling a Bowl of Well-Tossed Spaghetti . </w:t>
              </w:r>
              <w:r w:rsidRPr="000F4FAA">
                <w:rPr>
                  <w:i/>
                  <w:iCs/>
                  <w:noProof/>
                  <w:sz w:val="20"/>
                  <w:szCs w:val="20"/>
                </w:rPr>
                <w:t>European Sociological Review</w:t>
              </w:r>
              <w:r w:rsidRPr="000F4FAA">
                <w:rPr>
                  <w:noProof/>
                  <w:sz w:val="20"/>
                  <w:szCs w:val="20"/>
                </w:rPr>
                <w:t>, 419-434.</w:t>
              </w:r>
            </w:p>
            <w:p w14:paraId="7BFE3685" w14:textId="77777777" w:rsidR="00DC4C76" w:rsidRPr="000F4FAA" w:rsidRDefault="00DC4C76" w:rsidP="00DC4C76">
              <w:pPr>
                <w:pStyle w:val="Bibliography"/>
                <w:ind w:left="720" w:hanging="720"/>
                <w:rPr>
                  <w:noProof/>
                  <w:sz w:val="20"/>
                  <w:szCs w:val="20"/>
                </w:rPr>
              </w:pPr>
              <w:r w:rsidRPr="000F4FAA">
                <w:rPr>
                  <w:noProof/>
                  <w:sz w:val="20"/>
                  <w:szCs w:val="20"/>
                </w:rPr>
                <w:t>StataCorp LLC. (2021). Stata Statistical Software: Release 17. College Station, Texas , United States of America.</w:t>
              </w:r>
            </w:p>
            <w:p w14:paraId="627E8D0B" w14:textId="77777777" w:rsidR="00DC4C76" w:rsidRPr="000F4FAA" w:rsidRDefault="00DC4C76" w:rsidP="00DC4C76">
              <w:pPr>
                <w:pStyle w:val="Bibliography"/>
                <w:ind w:left="720" w:hanging="720"/>
                <w:rPr>
                  <w:noProof/>
                  <w:sz w:val="20"/>
                  <w:szCs w:val="20"/>
                </w:rPr>
              </w:pPr>
              <w:r w:rsidRPr="000F4FAA">
                <w:rPr>
                  <w:noProof/>
                  <w:sz w:val="20"/>
                  <w:szCs w:val="20"/>
                </w:rPr>
                <w:t xml:space="preserve">Taniguchi. (2013). The Influence of Generalized Trust on Volunteering in Japan. </w:t>
              </w:r>
              <w:r w:rsidRPr="000F4FAA">
                <w:rPr>
                  <w:i/>
                  <w:iCs/>
                  <w:noProof/>
                  <w:sz w:val="20"/>
                  <w:szCs w:val="20"/>
                </w:rPr>
                <w:t>Nonprofit and Voluntary Sector Quarterly</w:t>
              </w:r>
              <w:r w:rsidRPr="000F4FAA">
                <w:rPr>
                  <w:noProof/>
                  <w:sz w:val="20"/>
                  <w:szCs w:val="20"/>
                </w:rPr>
                <w:t>, 127-147.</w:t>
              </w:r>
            </w:p>
            <w:p w14:paraId="2BF5BB3C" w14:textId="77777777" w:rsidR="00DC4C76" w:rsidRPr="000F4FAA" w:rsidRDefault="00DC4C76" w:rsidP="00DC4C76">
              <w:pPr>
                <w:pStyle w:val="Bibliography"/>
                <w:ind w:left="720" w:hanging="720"/>
                <w:rPr>
                  <w:noProof/>
                  <w:sz w:val="20"/>
                  <w:szCs w:val="20"/>
                </w:rPr>
              </w:pPr>
              <w:r w:rsidRPr="000F4FAA">
                <w:rPr>
                  <w:noProof/>
                  <w:sz w:val="20"/>
                  <w:szCs w:val="20"/>
                </w:rPr>
                <w:t xml:space="preserve">Taniguchi, &amp; Marshall. (2014). The Effects of Social Trust and Institutional Trust on Formal Volunteering and Charitable Giving in Japan. </w:t>
              </w:r>
              <w:r w:rsidRPr="000F4FAA">
                <w:rPr>
                  <w:i/>
                  <w:iCs/>
                  <w:noProof/>
                  <w:sz w:val="20"/>
                  <w:szCs w:val="20"/>
                </w:rPr>
                <w:t>Voluntas</w:t>
              </w:r>
              <w:r w:rsidRPr="000F4FAA">
                <w:rPr>
                  <w:noProof/>
                  <w:sz w:val="20"/>
                  <w:szCs w:val="20"/>
                </w:rPr>
                <w:t>, 150-175.</w:t>
              </w:r>
            </w:p>
            <w:p w14:paraId="0D1CB747" w14:textId="77777777" w:rsidR="00DC4C76" w:rsidRPr="000F4FAA" w:rsidRDefault="00DC4C76" w:rsidP="00DC4C76">
              <w:pPr>
                <w:pStyle w:val="Bibliography"/>
                <w:ind w:left="720" w:hanging="720"/>
                <w:rPr>
                  <w:noProof/>
                  <w:sz w:val="20"/>
                  <w:szCs w:val="20"/>
                </w:rPr>
              </w:pPr>
              <w:r w:rsidRPr="000F4FAA">
                <w:rPr>
                  <w:noProof/>
                  <w:sz w:val="20"/>
                  <w:szCs w:val="20"/>
                </w:rPr>
                <w:t xml:space="preserve">Thorbecke, E., &amp; Charumilind, C. (2002). Economic inequality and its socioeconomic impact. </w:t>
              </w:r>
              <w:r w:rsidRPr="000F4FAA">
                <w:rPr>
                  <w:i/>
                  <w:iCs/>
                  <w:noProof/>
                  <w:sz w:val="20"/>
                  <w:szCs w:val="20"/>
                </w:rPr>
                <w:t xml:space="preserve">World Development </w:t>
              </w:r>
              <w:r w:rsidRPr="000F4FAA">
                <w:rPr>
                  <w:noProof/>
                  <w:sz w:val="20"/>
                  <w:szCs w:val="20"/>
                </w:rPr>
                <w:t>, 1477-1495.</w:t>
              </w:r>
            </w:p>
            <w:p w14:paraId="21AFE767" w14:textId="77777777" w:rsidR="00DC4C76" w:rsidRPr="000F4FAA" w:rsidRDefault="00DC4C76" w:rsidP="00DC4C76">
              <w:pPr>
                <w:pStyle w:val="Bibliography"/>
                <w:ind w:left="720" w:hanging="720"/>
                <w:rPr>
                  <w:noProof/>
                  <w:sz w:val="20"/>
                  <w:szCs w:val="20"/>
                </w:rPr>
              </w:pPr>
              <w:r w:rsidRPr="000F4FAA">
                <w:rPr>
                  <w:noProof/>
                  <w:sz w:val="20"/>
                  <w:szCs w:val="20"/>
                </w:rPr>
                <w:t xml:space="preserve">Uslaner. (1998). Social capital, television, and the "mean world": Trust, optimism, and civic participation. </w:t>
              </w:r>
              <w:r w:rsidRPr="000F4FAA">
                <w:rPr>
                  <w:i/>
                  <w:iCs/>
                  <w:noProof/>
                  <w:sz w:val="20"/>
                  <w:szCs w:val="20"/>
                </w:rPr>
                <w:t xml:space="preserve">Political Psychology </w:t>
              </w:r>
              <w:r w:rsidRPr="000F4FAA">
                <w:rPr>
                  <w:noProof/>
                  <w:sz w:val="20"/>
                  <w:szCs w:val="20"/>
                </w:rPr>
                <w:t>, 441-467.</w:t>
              </w:r>
            </w:p>
            <w:p w14:paraId="744D0E44" w14:textId="77777777" w:rsidR="00DC4C76" w:rsidRPr="000F4FAA" w:rsidRDefault="00DC4C76" w:rsidP="00DC4C76">
              <w:pPr>
                <w:pStyle w:val="Bibliography"/>
                <w:ind w:left="720" w:hanging="720"/>
                <w:rPr>
                  <w:noProof/>
                  <w:sz w:val="20"/>
                  <w:szCs w:val="20"/>
                </w:rPr>
              </w:pPr>
              <w:r w:rsidRPr="000F4FAA">
                <w:rPr>
                  <w:noProof/>
                  <w:sz w:val="20"/>
                  <w:szCs w:val="20"/>
                </w:rPr>
                <w:t xml:space="preserve">Uslaner. (2000). Producing and Consuming Trust. </w:t>
              </w:r>
              <w:r w:rsidRPr="000F4FAA">
                <w:rPr>
                  <w:i/>
                  <w:iCs/>
                  <w:noProof/>
                  <w:sz w:val="20"/>
                  <w:szCs w:val="20"/>
                </w:rPr>
                <w:t>Political Science Quarterly</w:t>
              </w:r>
              <w:r w:rsidRPr="000F4FAA">
                <w:rPr>
                  <w:noProof/>
                  <w:sz w:val="20"/>
                  <w:szCs w:val="20"/>
                </w:rPr>
                <w:t>, 569-590.</w:t>
              </w:r>
            </w:p>
            <w:p w14:paraId="4B293B37" w14:textId="77777777" w:rsidR="00DC4C76" w:rsidRPr="000F4FAA" w:rsidRDefault="00DC4C76" w:rsidP="00DC4C76">
              <w:pPr>
                <w:pStyle w:val="Bibliography"/>
                <w:ind w:left="720" w:hanging="720"/>
                <w:rPr>
                  <w:noProof/>
                  <w:sz w:val="20"/>
                  <w:szCs w:val="20"/>
                </w:rPr>
              </w:pPr>
              <w:r w:rsidRPr="000F4FAA">
                <w:rPr>
                  <w:noProof/>
                  <w:sz w:val="20"/>
                  <w:szCs w:val="20"/>
                </w:rPr>
                <w:t xml:space="preserve">Uslaner. (2002). Religion and Civic Engagement in Canada and the United States. </w:t>
              </w:r>
              <w:r w:rsidRPr="000F4FAA">
                <w:rPr>
                  <w:i/>
                  <w:iCs/>
                  <w:noProof/>
                  <w:sz w:val="20"/>
                  <w:szCs w:val="20"/>
                </w:rPr>
                <w:t>Journal for the Scientific Study of Religion</w:t>
              </w:r>
              <w:r w:rsidRPr="000F4FAA">
                <w:rPr>
                  <w:noProof/>
                  <w:sz w:val="20"/>
                  <w:szCs w:val="20"/>
                </w:rPr>
                <w:t>, 239-254.</w:t>
              </w:r>
            </w:p>
            <w:p w14:paraId="07D19835" w14:textId="77777777" w:rsidR="00DC4C76" w:rsidRPr="000F4FAA" w:rsidRDefault="00DC4C76" w:rsidP="00DC4C76">
              <w:pPr>
                <w:pStyle w:val="Bibliography"/>
                <w:ind w:left="720" w:hanging="720"/>
                <w:rPr>
                  <w:noProof/>
                  <w:sz w:val="20"/>
                  <w:szCs w:val="20"/>
                </w:rPr>
              </w:pPr>
              <w:r w:rsidRPr="000F4FAA">
                <w:rPr>
                  <w:noProof/>
                  <w:sz w:val="20"/>
                  <w:szCs w:val="20"/>
                </w:rPr>
                <w:t xml:space="preserve">Uslaner, &amp; Brown. (2005). Inequality, trust, and civic engagement. </w:t>
              </w:r>
              <w:r w:rsidRPr="000F4FAA">
                <w:rPr>
                  <w:i/>
                  <w:iCs/>
                  <w:noProof/>
                  <w:sz w:val="20"/>
                  <w:szCs w:val="20"/>
                </w:rPr>
                <w:t>American Politics Research</w:t>
              </w:r>
              <w:r w:rsidRPr="000F4FAA">
                <w:rPr>
                  <w:noProof/>
                  <w:sz w:val="20"/>
                  <w:szCs w:val="20"/>
                </w:rPr>
                <w:t>, 868-894.</w:t>
              </w:r>
            </w:p>
            <w:p w14:paraId="0EC8D9F6" w14:textId="77777777" w:rsidR="00DC4C76" w:rsidRPr="000F4FAA" w:rsidRDefault="00DC4C76" w:rsidP="00DC4C76">
              <w:pPr>
                <w:pStyle w:val="Bibliography"/>
                <w:ind w:left="720" w:hanging="720"/>
                <w:rPr>
                  <w:noProof/>
                  <w:sz w:val="20"/>
                  <w:szCs w:val="20"/>
                </w:rPr>
              </w:pPr>
              <w:r w:rsidRPr="000F4FAA">
                <w:rPr>
                  <w:noProof/>
                  <w:sz w:val="20"/>
                  <w:szCs w:val="20"/>
                </w:rPr>
                <w:t xml:space="preserve">Veal, &amp; Nichols. (2017). Volunteering and Income Inequality: Cross-National Relationships. </w:t>
              </w:r>
              <w:r w:rsidRPr="000F4FAA">
                <w:rPr>
                  <w:i/>
                  <w:iCs/>
                  <w:noProof/>
                  <w:sz w:val="20"/>
                  <w:szCs w:val="20"/>
                </w:rPr>
                <w:t>Voluntas</w:t>
              </w:r>
              <w:r w:rsidRPr="000F4FAA">
                <w:rPr>
                  <w:noProof/>
                  <w:sz w:val="20"/>
                  <w:szCs w:val="20"/>
                </w:rPr>
                <w:t>, 379-399.</w:t>
              </w:r>
            </w:p>
            <w:p w14:paraId="4A5E6864" w14:textId="77777777" w:rsidR="00DC4C76" w:rsidRPr="000F4FAA" w:rsidRDefault="00DC4C76" w:rsidP="00DC4C76">
              <w:pPr>
                <w:pStyle w:val="Bibliography"/>
                <w:ind w:left="720" w:hanging="720"/>
                <w:rPr>
                  <w:noProof/>
                  <w:sz w:val="20"/>
                  <w:szCs w:val="20"/>
                </w:rPr>
              </w:pPr>
              <w:r w:rsidRPr="000F4FAA">
                <w:rPr>
                  <w:noProof/>
                  <w:sz w:val="20"/>
                  <w:szCs w:val="20"/>
                </w:rPr>
                <w:t xml:space="preserve">Wilson, J. (2000). Volunteering. </w:t>
              </w:r>
              <w:r w:rsidRPr="000F4FAA">
                <w:rPr>
                  <w:i/>
                  <w:iCs/>
                  <w:noProof/>
                  <w:sz w:val="20"/>
                  <w:szCs w:val="20"/>
                </w:rPr>
                <w:t>Annual Review of Sociology</w:t>
              </w:r>
              <w:r w:rsidRPr="000F4FAA">
                <w:rPr>
                  <w:noProof/>
                  <w:sz w:val="20"/>
                  <w:szCs w:val="20"/>
                </w:rPr>
                <w:t>, 215-240.</w:t>
              </w:r>
            </w:p>
            <w:p w14:paraId="22D79CBF" w14:textId="77777777" w:rsidR="00DC4C76" w:rsidRPr="000F4FAA" w:rsidRDefault="00DC4C76" w:rsidP="00DC4C76">
              <w:pPr>
                <w:pStyle w:val="Bibliography"/>
                <w:ind w:left="720" w:hanging="720"/>
                <w:rPr>
                  <w:noProof/>
                  <w:sz w:val="20"/>
                  <w:szCs w:val="20"/>
                </w:rPr>
              </w:pPr>
              <w:r w:rsidRPr="000F4FAA">
                <w:rPr>
                  <w:noProof/>
                  <w:sz w:val="20"/>
                  <w:szCs w:val="20"/>
                </w:rPr>
                <w:t xml:space="preserve">World Inequality Database. (2022). </w:t>
              </w:r>
              <w:r w:rsidRPr="000F4FAA">
                <w:rPr>
                  <w:i/>
                  <w:iCs/>
                  <w:noProof/>
                  <w:sz w:val="20"/>
                  <w:szCs w:val="20"/>
                </w:rPr>
                <w:t>Gini index of post-tax national income, Netherlands, 1980-2021</w:t>
              </w:r>
              <w:r w:rsidRPr="000F4FAA">
                <w:rPr>
                  <w:noProof/>
                  <w:sz w:val="20"/>
                  <w:szCs w:val="20"/>
                </w:rPr>
                <w:t>. From World Inequality Database : https://wid.world/country/netherlands/</w:t>
              </w:r>
            </w:p>
            <w:p w14:paraId="44A50BC0" w14:textId="77777777" w:rsidR="00DC4C76" w:rsidRPr="000F4FAA" w:rsidRDefault="00DC4C76" w:rsidP="00DC4C76">
              <w:pPr>
                <w:pStyle w:val="Bibliography"/>
                <w:ind w:left="720" w:hanging="720"/>
                <w:rPr>
                  <w:noProof/>
                  <w:sz w:val="20"/>
                  <w:szCs w:val="20"/>
                </w:rPr>
              </w:pPr>
              <w:r w:rsidRPr="000F4FAA">
                <w:rPr>
                  <w:noProof/>
                  <w:sz w:val="20"/>
                  <w:szCs w:val="20"/>
                </w:rPr>
                <w:t xml:space="preserve">World Inequality Database. (n.d.). </w:t>
              </w:r>
              <w:r w:rsidRPr="000F4FAA">
                <w:rPr>
                  <w:i/>
                  <w:iCs/>
                  <w:noProof/>
                  <w:sz w:val="20"/>
                  <w:szCs w:val="20"/>
                </w:rPr>
                <w:t>Norway.</w:t>
              </w:r>
              <w:r w:rsidRPr="000F4FAA">
                <w:rPr>
                  <w:noProof/>
                  <w:sz w:val="20"/>
                  <w:szCs w:val="20"/>
                </w:rPr>
                <w:t xml:space="preserve"> From World Income Inequality Database: https://wid.world/country/norway/</w:t>
              </w:r>
            </w:p>
            <w:p w14:paraId="0AC09FB7" w14:textId="77777777" w:rsidR="00DC4C76" w:rsidRPr="000F4FAA" w:rsidRDefault="00DC4C76" w:rsidP="00DC4C76">
              <w:pPr>
                <w:pStyle w:val="Bibliography"/>
                <w:ind w:left="720" w:hanging="720"/>
                <w:rPr>
                  <w:noProof/>
                  <w:sz w:val="20"/>
                  <w:szCs w:val="20"/>
                </w:rPr>
              </w:pPr>
              <w:r w:rsidRPr="000F4FAA">
                <w:rPr>
                  <w:noProof/>
                  <w:sz w:val="20"/>
                  <w:szCs w:val="20"/>
                </w:rPr>
                <w:lastRenderedPageBreak/>
                <w:t xml:space="preserve">Yamagishi, &amp; Yamagishi. (1994). Trust and Commitment in the United States and Japan. </w:t>
              </w:r>
              <w:r w:rsidRPr="000F4FAA">
                <w:rPr>
                  <w:i/>
                  <w:iCs/>
                  <w:noProof/>
                  <w:sz w:val="20"/>
                  <w:szCs w:val="20"/>
                </w:rPr>
                <w:t>Motivation and Emotion</w:t>
              </w:r>
              <w:r w:rsidRPr="000F4FAA">
                <w:rPr>
                  <w:noProof/>
                  <w:sz w:val="20"/>
                  <w:szCs w:val="20"/>
                </w:rPr>
                <w:t>, 129-166.</w:t>
              </w:r>
            </w:p>
            <w:p w14:paraId="1ABBF697" w14:textId="77777777" w:rsidR="00DC4C76" w:rsidRPr="000F4FAA" w:rsidRDefault="00DC4C76" w:rsidP="00DC4C76">
              <w:pPr>
                <w:pStyle w:val="Bibliography"/>
                <w:ind w:left="720" w:hanging="720"/>
                <w:rPr>
                  <w:noProof/>
                  <w:sz w:val="20"/>
                  <w:szCs w:val="20"/>
                </w:rPr>
              </w:pPr>
              <w:r w:rsidRPr="000F4FAA">
                <w:rPr>
                  <w:noProof/>
                  <w:sz w:val="20"/>
                  <w:szCs w:val="20"/>
                </w:rPr>
                <w:t>Yang. (2022). Economic Inequality and Prosocial Behavior: A Multidimensional Analysis. Lilly Family School of Philanthropy, Indiana University.</w:t>
              </w:r>
            </w:p>
            <w:p w14:paraId="1B927B5E" w14:textId="188B2FCC" w:rsidR="006378BD" w:rsidRPr="000F4FAA" w:rsidRDefault="006378BD" w:rsidP="00DC4C76">
              <w:pPr>
                <w:rPr>
                  <w:sz w:val="20"/>
                  <w:szCs w:val="20"/>
                </w:rPr>
              </w:pPr>
              <w:r w:rsidRPr="000F4FAA">
                <w:rPr>
                  <w:b/>
                  <w:bCs/>
                  <w:noProof/>
                  <w:sz w:val="20"/>
                  <w:szCs w:val="20"/>
                </w:rPr>
                <w:fldChar w:fldCharType="end"/>
              </w:r>
            </w:p>
          </w:sdtContent>
        </w:sdt>
      </w:sdtContent>
    </w:sdt>
    <w:p w14:paraId="7C5CD02D" w14:textId="77777777" w:rsidR="00025D3A" w:rsidRDefault="00025D3A" w:rsidP="00953690">
      <w:pPr>
        <w:jc w:val="both"/>
        <w:rPr>
          <w:rFonts w:cstheme="minorHAnsi"/>
        </w:rPr>
      </w:pPr>
    </w:p>
    <w:p w14:paraId="341ADE48" w14:textId="77777777" w:rsidR="00025D3A" w:rsidRDefault="00025D3A" w:rsidP="00953690">
      <w:pPr>
        <w:jc w:val="both"/>
        <w:rPr>
          <w:rFonts w:cstheme="minorHAnsi"/>
        </w:rPr>
      </w:pPr>
    </w:p>
    <w:p w14:paraId="69E97359" w14:textId="77777777" w:rsidR="00025D3A" w:rsidRDefault="00025D3A" w:rsidP="00953690">
      <w:pPr>
        <w:jc w:val="both"/>
        <w:rPr>
          <w:rFonts w:cstheme="minorHAnsi"/>
        </w:rPr>
      </w:pPr>
    </w:p>
    <w:p w14:paraId="1985822C" w14:textId="77777777" w:rsidR="00025D3A" w:rsidRDefault="00025D3A" w:rsidP="00953690">
      <w:pPr>
        <w:jc w:val="both"/>
        <w:rPr>
          <w:rFonts w:cstheme="minorHAnsi"/>
        </w:rPr>
      </w:pPr>
    </w:p>
    <w:p w14:paraId="50F243B7" w14:textId="77777777" w:rsidR="00025D3A" w:rsidRDefault="00025D3A" w:rsidP="00953690">
      <w:pPr>
        <w:jc w:val="both"/>
        <w:rPr>
          <w:rFonts w:cstheme="minorHAnsi"/>
        </w:rPr>
      </w:pPr>
    </w:p>
    <w:p w14:paraId="5900B1F6" w14:textId="77777777" w:rsidR="00025D3A" w:rsidRDefault="00025D3A" w:rsidP="00953690">
      <w:pPr>
        <w:jc w:val="both"/>
        <w:rPr>
          <w:rFonts w:cstheme="minorHAnsi"/>
        </w:rPr>
      </w:pPr>
    </w:p>
    <w:p w14:paraId="1712356E" w14:textId="77777777" w:rsidR="00025D3A" w:rsidRDefault="00025D3A" w:rsidP="00953690">
      <w:pPr>
        <w:jc w:val="both"/>
        <w:rPr>
          <w:rFonts w:cstheme="minorHAnsi"/>
        </w:rPr>
      </w:pPr>
    </w:p>
    <w:p w14:paraId="451F6C3D" w14:textId="77777777" w:rsidR="00025D3A" w:rsidRDefault="00025D3A" w:rsidP="00953690">
      <w:pPr>
        <w:jc w:val="both"/>
        <w:rPr>
          <w:rFonts w:cstheme="minorHAnsi"/>
        </w:rPr>
      </w:pPr>
    </w:p>
    <w:p w14:paraId="580002E8" w14:textId="77777777" w:rsidR="00025D3A" w:rsidRPr="00953690" w:rsidRDefault="00025D3A" w:rsidP="00953690">
      <w:pPr>
        <w:jc w:val="both"/>
        <w:rPr>
          <w:rFonts w:cstheme="minorHAnsi"/>
        </w:rPr>
      </w:pPr>
    </w:p>
    <w:p w14:paraId="6ED81059" w14:textId="77777777" w:rsidR="00E03CB5" w:rsidRPr="004E58B0" w:rsidRDefault="00E03CB5" w:rsidP="00E03CB5"/>
    <w:sectPr w:rsidR="00E03CB5" w:rsidRPr="004E58B0" w:rsidSect="00121886">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C8441" w14:textId="77777777" w:rsidR="006A0FC3" w:rsidRDefault="006A0FC3" w:rsidP="004A6980">
      <w:pPr>
        <w:spacing w:after="0" w:line="240" w:lineRule="auto"/>
      </w:pPr>
      <w:r>
        <w:separator/>
      </w:r>
    </w:p>
  </w:endnote>
  <w:endnote w:type="continuationSeparator" w:id="0">
    <w:p w14:paraId="7A845163" w14:textId="77777777" w:rsidR="006A0FC3" w:rsidRDefault="006A0FC3" w:rsidP="004A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35260" w14:textId="77777777" w:rsidR="006A0FC3" w:rsidRDefault="006A0FC3" w:rsidP="004A6980">
      <w:pPr>
        <w:spacing w:after="0" w:line="240" w:lineRule="auto"/>
      </w:pPr>
      <w:r>
        <w:separator/>
      </w:r>
    </w:p>
  </w:footnote>
  <w:footnote w:type="continuationSeparator" w:id="0">
    <w:p w14:paraId="7D1F2294" w14:textId="77777777" w:rsidR="006A0FC3" w:rsidRDefault="006A0FC3" w:rsidP="004A6980">
      <w:pPr>
        <w:spacing w:after="0" w:line="240" w:lineRule="auto"/>
      </w:pPr>
      <w:r>
        <w:continuationSeparator/>
      </w:r>
    </w:p>
  </w:footnote>
  <w:footnote w:id="1">
    <w:p w14:paraId="15D53750" w14:textId="2F79CDC4" w:rsidR="004A6980" w:rsidRPr="002C4483" w:rsidRDefault="004A6980">
      <w:pPr>
        <w:pStyle w:val="FootnoteText"/>
        <w:rPr>
          <w:sz w:val="16"/>
          <w:szCs w:val="16"/>
          <w:lang w:val="en-US"/>
        </w:rPr>
      </w:pPr>
      <w:r w:rsidRPr="002C4483">
        <w:rPr>
          <w:rStyle w:val="FootnoteReference"/>
          <w:sz w:val="16"/>
          <w:szCs w:val="16"/>
        </w:rPr>
        <w:footnoteRef/>
      </w:r>
      <w:r w:rsidRPr="002C4483">
        <w:rPr>
          <w:sz w:val="16"/>
          <w:szCs w:val="16"/>
        </w:rPr>
        <w:t xml:space="preserve"> </w:t>
      </w:r>
      <w:r w:rsidRPr="002C4483">
        <w:rPr>
          <w:sz w:val="16"/>
          <w:szCs w:val="16"/>
          <w:lang w:val="en-US"/>
        </w:rPr>
        <w:t>This paper is based on a bachelor thesis. The introduction, theory section, and data &amp; methods section have been revised. The results</w:t>
      </w:r>
      <w:r w:rsidR="00251E0A" w:rsidRPr="002C4483">
        <w:rPr>
          <w:sz w:val="16"/>
          <w:szCs w:val="16"/>
          <w:lang w:val="en-US"/>
        </w:rPr>
        <w:t xml:space="preserve">, conclusion, and discussion </w:t>
      </w:r>
      <w:r w:rsidRPr="002C4483">
        <w:rPr>
          <w:sz w:val="16"/>
          <w:szCs w:val="16"/>
          <w:lang w:val="en-US"/>
        </w:rPr>
        <w:t xml:space="preserve">are largely the same. </w:t>
      </w:r>
      <w:r w:rsidR="00BF68FC" w:rsidRPr="002C4483">
        <w:rPr>
          <w:sz w:val="16"/>
          <w:szCs w:val="16"/>
          <w:lang w:val="en-US"/>
        </w:rPr>
        <w:t>The paper is a work in progress.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9BB0" w14:textId="3E8F2D5B" w:rsidR="00121886" w:rsidRPr="00121886" w:rsidRDefault="00121886" w:rsidP="00121886">
    <w:pPr>
      <w:spacing w:after="240" w:line="240" w:lineRule="auto"/>
      <w:jc w:val="center"/>
      <w:rPr>
        <w:rFonts w:ascii="Times New Roman" w:eastAsia="Times New Roman" w:hAnsi="Times New Roman" w:cs="Times New Roman"/>
        <w:kern w:val="0"/>
        <w:sz w:val="24"/>
        <w:szCs w:val="24"/>
        <w:lang w:val="en-US" w:eastAsia="nl-NL"/>
        <w14:ligatures w14:val="none"/>
      </w:rPr>
    </w:pPr>
    <w:r w:rsidRPr="00121886">
      <w:rPr>
        <w:rFonts w:ascii="Cambria" w:eastAsia="Times New Roman" w:hAnsi="Cambria" w:cs="Times New Roman"/>
        <w:color w:val="000000"/>
        <w:kern w:val="0"/>
        <w:sz w:val="24"/>
        <w:szCs w:val="24"/>
        <w:lang w:val="en-US" w:eastAsia="nl-NL"/>
        <w14:ligatures w14:val="none"/>
      </w:rPr>
      <w:t>European Research Network On Philanthropy 11th International Conference Zagreb, 29-30 June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4F4"/>
    <w:multiLevelType w:val="hybridMultilevel"/>
    <w:tmpl w:val="F4D2BF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9A5158"/>
    <w:multiLevelType w:val="multilevel"/>
    <w:tmpl w:val="8428797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E462FB"/>
    <w:multiLevelType w:val="hybridMultilevel"/>
    <w:tmpl w:val="5CAA6DCA"/>
    <w:lvl w:ilvl="0" w:tplc="EAD2025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48E07CB2"/>
    <w:multiLevelType w:val="hybridMultilevel"/>
    <w:tmpl w:val="6B202C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04F0DFF"/>
    <w:multiLevelType w:val="hybridMultilevel"/>
    <w:tmpl w:val="F42A8F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47A5970"/>
    <w:multiLevelType w:val="hybridMultilevel"/>
    <w:tmpl w:val="54C474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0000EAC"/>
    <w:multiLevelType w:val="hybridMultilevel"/>
    <w:tmpl w:val="03AAE8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7F7021B"/>
    <w:multiLevelType w:val="hybridMultilevel"/>
    <w:tmpl w:val="9222A2A2"/>
    <w:lvl w:ilvl="0" w:tplc="8B2EC51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385418786">
    <w:abstractNumId w:val="6"/>
  </w:num>
  <w:num w:numId="2" w16cid:durableId="982537175">
    <w:abstractNumId w:val="3"/>
  </w:num>
  <w:num w:numId="3" w16cid:durableId="173963484">
    <w:abstractNumId w:val="2"/>
  </w:num>
  <w:num w:numId="4" w16cid:durableId="390230325">
    <w:abstractNumId w:val="7"/>
  </w:num>
  <w:num w:numId="5" w16cid:durableId="615524963">
    <w:abstractNumId w:val="4"/>
  </w:num>
  <w:num w:numId="6" w16cid:durableId="1849515657">
    <w:abstractNumId w:val="1"/>
  </w:num>
  <w:num w:numId="7" w16cid:durableId="1111432441">
    <w:abstractNumId w:val="5"/>
  </w:num>
  <w:num w:numId="8" w16cid:durableId="523055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NjQ1Nzc0NTE1sTBS0lEKTi0uzszPAykwrAUAO6PHgCwAAAA="/>
  </w:docVars>
  <w:rsids>
    <w:rsidRoot w:val="00774351"/>
    <w:rsid w:val="00025D3A"/>
    <w:rsid w:val="000C782C"/>
    <w:rsid w:val="000E6158"/>
    <w:rsid w:val="000F4FAA"/>
    <w:rsid w:val="00121886"/>
    <w:rsid w:val="00144C0C"/>
    <w:rsid w:val="001618FA"/>
    <w:rsid w:val="0018546D"/>
    <w:rsid w:val="00251E0A"/>
    <w:rsid w:val="002A3228"/>
    <w:rsid w:val="002C4483"/>
    <w:rsid w:val="00315B6C"/>
    <w:rsid w:val="00341783"/>
    <w:rsid w:val="00343D9E"/>
    <w:rsid w:val="003F2072"/>
    <w:rsid w:val="00431BED"/>
    <w:rsid w:val="00487661"/>
    <w:rsid w:val="00494A58"/>
    <w:rsid w:val="004A6980"/>
    <w:rsid w:val="004B5722"/>
    <w:rsid w:val="004E58B0"/>
    <w:rsid w:val="00501422"/>
    <w:rsid w:val="00541434"/>
    <w:rsid w:val="0057391A"/>
    <w:rsid w:val="00612C27"/>
    <w:rsid w:val="006378BD"/>
    <w:rsid w:val="00666B18"/>
    <w:rsid w:val="006A0FC3"/>
    <w:rsid w:val="006A3CC6"/>
    <w:rsid w:val="006B0227"/>
    <w:rsid w:val="0070582C"/>
    <w:rsid w:val="0072617E"/>
    <w:rsid w:val="00750413"/>
    <w:rsid w:val="00774351"/>
    <w:rsid w:val="008566C3"/>
    <w:rsid w:val="008C2F0B"/>
    <w:rsid w:val="008D2A53"/>
    <w:rsid w:val="00953690"/>
    <w:rsid w:val="00982F53"/>
    <w:rsid w:val="009B178D"/>
    <w:rsid w:val="009B1FEA"/>
    <w:rsid w:val="009C5DE0"/>
    <w:rsid w:val="009D6AF8"/>
    <w:rsid w:val="00A147CF"/>
    <w:rsid w:val="00AE47D9"/>
    <w:rsid w:val="00BF68FC"/>
    <w:rsid w:val="00C1522E"/>
    <w:rsid w:val="00C96164"/>
    <w:rsid w:val="00CD0B2F"/>
    <w:rsid w:val="00D40664"/>
    <w:rsid w:val="00D61E61"/>
    <w:rsid w:val="00DC4C76"/>
    <w:rsid w:val="00E03CB5"/>
    <w:rsid w:val="00E11E42"/>
    <w:rsid w:val="00EC464D"/>
    <w:rsid w:val="00F06497"/>
    <w:rsid w:val="00F815C0"/>
    <w:rsid w:val="00F94C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253E3"/>
  <w15:docId w15:val="{727F9F06-9E1F-4F5C-8732-AABE55B2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3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6980"/>
    <w:pPr>
      <w:keepNext/>
      <w:keepLines/>
      <w:spacing w:before="40" w:after="0"/>
      <w:outlineLvl w:val="1"/>
    </w:pPr>
    <w:rPr>
      <w:rFonts w:asciiTheme="majorHAnsi" w:eastAsiaTheme="majorEastAsia" w:hAnsiTheme="majorHAnsi" w:cstheme="majorBidi"/>
      <w:color w:val="2F5496" w:themeColor="accent1" w:themeShade="BF"/>
      <w:kern w:val="0"/>
      <w:sz w:val="26"/>
      <w:szCs w:val="26"/>
      <w:lang w:val="en-US"/>
    </w:rPr>
  </w:style>
  <w:style w:type="paragraph" w:styleId="Heading3">
    <w:name w:val="heading 3"/>
    <w:basedOn w:val="Normal"/>
    <w:next w:val="Normal"/>
    <w:link w:val="Heading3Char"/>
    <w:uiPriority w:val="9"/>
    <w:unhideWhenUsed/>
    <w:qFormat/>
    <w:rsid w:val="00953690"/>
    <w:pPr>
      <w:keepNext/>
      <w:keepLines/>
      <w:spacing w:before="40" w:after="0"/>
      <w:outlineLvl w:val="2"/>
    </w:pPr>
    <w:rPr>
      <w:rFonts w:asciiTheme="majorHAnsi" w:eastAsiaTheme="majorEastAsia" w:hAnsiTheme="majorHAnsi" w:cstheme="majorBidi"/>
      <w:color w:val="1F3763" w:themeColor="accent1" w:themeShade="7F"/>
      <w:kern w:val="0"/>
      <w:sz w:val="24"/>
      <w:szCs w:val="24"/>
      <w:lang w:val="en-US"/>
    </w:rPr>
  </w:style>
  <w:style w:type="paragraph" w:styleId="Heading4">
    <w:name w:val="heading 4"/>
    <w:basedOn w:val="Normal"/>
    <w:next w:val="Normal"/>
    <w:link w:val="Heading4Char"/>
    <w:uiPriority w:val="9"/>
    <w:unhideWhenUsed/>
    <w:qFormat/>
    <w:rsid w:val="00487661"/>
    <w:pPr>
      <w:keepNext/>
      <w:keepLines/>
      <w:spacing w:before="40" w:after="0"/>
      <w:outlineLvl w:val="3"/>
    </w:pPr>
    <w:rPr>
      <w:rFonts w:asciiTheme="majorHAnsi" w:eastAsiaTheme="majorEastAsia" w:hAnsiTheme="majorHAnsi" w:cstheme="majorBidi"/>
      <w:i/>
      <w:iCs/>
      <w:color w:val="2F5496" w:themeColor="accent1" w:themeShade="BF"/>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4351"/>
    <w:rPr>
      <w:sz w:val="16"/>
      <w:szCs w:val="16"/>
    </w:rPr>
  </w:style>
  <w:style w:type="paragraph" w:styleId="CommentText">
    <w:name w:val="annotation text"/>
    <w:basedOn w:val="Normal"/>
    <w:link w:val="CommentTextChar"/>
    <w:uiPriority w:val="99"/>
    <w:unhideWhenUsed/>
    <w:rsid w:val="00774351"/>
    <w:pPr>
      <w:spacing w:line="240" w:lineRule="auto"/>
    </w:pPr>
    <w:rPr>
      <w:kern w:val="0"/>
      <w:sz w:val="20"/>
      <w:szCs w:val="20"/>
      <w:lang w:val="nl-NL"/>
    </w:rPr>
  </w:style>
  <w:style w:type="character" w:customStyle="1" w:styleId="CommentTextChar">
    <w:name w:val="Comment Text Char"/>
    <w:basedOn w:val="DefaultParagraphFont"/>
    <w:link w:val="CommentText"/>
    <w:uiPriority w:val="99"/>
    <w:rsid w:val="00774351"/>
    <w:rPr>
      <w:kern w:val="0"/>
      <w:sz w:val="20"/>
      <w:szCs w:val="20"/>
      <w:lang w:val="nl-NL"/>
    </w:rPr>
  </w:style>
  <w:style w:type="character" w:customStyle="1" w:styleId="Heading1Char">
    <w:name w:val="Heading 1 Char"/>
    <w:basedOn w:val="DefaultParagraphFont"/>
    <w:link w:val="Heading1"/>
    <w:uiPriority w:val="9"/>
    <w:rsid w:val="0077435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774351"/>
    <w:pPr>
      <w:spacing w:before="100" w:beforeAutospacing="1" w:after="100" w:afterAutospacing="1" w:line="240" w:lineRule="auto"/>
    </w:pPr>
    <w:rPr>
      <w:rFonts w:ascii="Times New Roman" w:eastAsia="Times New Roman" w:hAnsi="Times New Roman" w:cs="Times New Roman"/>
      <w:kern w:val="0"/>
      <w:sz w:val="24"/>
      <w:szCs w:val="24"/>
      <w:lang w:val="nl-NL" w:eastAsia="nl-NL"/>
    </w:rPr>
  </w:style>
  <w:style w:type="paragraph" w:styleId="FootnoteText">
    <w:name w:val="footnote text"/>
    <w:basedOn w:val="Normal"/>
    <w:link w:val="FootnoteTextChar"/>
    <w:uiPriority w:val="99"/>
    <w:semiHidden/>
    <w:unhideWhenUsed/>
    <w:rsid w:val="004A69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6980"/>
    <w:rPr>
      <w:sz w:val="20"/>
      <w:szCs w:val="20"/>
    </w:rPr>
  </w:style>
  <w:style w:type="character" w:styleId="FootnoteReference">
    <w:name w:val="footnote reference"/>
    <w:basedOn w:val="DefaultParagraphFont"/>
    <w:uiPriority w:val="99"/>
    <w:semiHidden/>
    <w:unhideWhenUsed/>
    <w:rsid w:val="004A6980"/>
    <w:rPr>
      <w:vertAlign w:val="superscript"/>
    </w:rPr>
  </w:style>
  <w:style w:type="character" w:customStyle="1" w:styleId="Heading2Char">
    <w:name w:val="Heading 2 Char"/>
    <w:basedOn w:val="DefaultParagraphFont"/>
    <w:link w:val="Heading2"/>
    <w:uiPriority w:val="9"/>
    <w:rsid w:val="004A6980"/>
    <w:rPr>
      <w:rFonts w:asciiTheme="majorHAnsi" w:eastAsiaTheme="majorEastAsia" w:hAnsiTheme="majorHAnsi" w:cstheme="majorBidi"/>
      <w:color w:val="2F5496" w:themeColor="accent1" w:themeShade="BF"/>
      <w:kern w:val="0"/>
      <w:sz w:val="26"/>
      <w:szCs w:val="26"/>
      <w:lang w:val="en-US"/>
    </w:rPr>
  </w:style>
  <w:style w:type="character" w:customStyle="1" w:styleId="Heading3Char">
    <w:name w:val="Heading 3 Char"/>
    <w:basedOn w:val="DefaultParagraphFont"/>
    <w:link w:val="Heading3"/>
    <w:uiPriority w:val="9"/>
    <w:rsid w:val="00953690"/>
    <w:rPr>
      <w:rFonts w:asciiTheme="majorHAnsi" w:eastAsiaTheme="majorEastAsia" w:hAnsiTheme="majorHAnsi" w:cstheme="majorBidi"/>
      <w:color w:val="1F3763" w:themeColor="accent1" w:themeShade="7F"/>
      <w:kern w:val="0"/>
      <w:sz w:val="24"/>
      <w:szCs w:val="24"/>
      <w:lang w:val="en-US"/>
    </w:rPr>
  </w:style>
  <w:style w:type="table" w:styleId="TableGrid">
    <w:name w:val="Table Grid"/>
    <w:basedOn w:val="TableNormal"/>
    <w:uiPriority w:val="39"/>
    <w:rsid w:val="00D40664"/>
    <w:pPr>
      <w:spacing w:after="0" w:line="240" w:lineRule="auto"/>
    </w:pPr>
    <w:rPr>
      <w:rFonts w:ascii="Verdana" w:hAnsi="Verdana"/>
      <w:kern w:val="0"/>
      <w:sz w:val="20"/>
      <w:szCs w:val="20"/>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C9D"/>
  </w:style>
  <w:style w:type="paragraph" w:styleId="Footer">
    <w:name w:val="footer"/>
    <w:basedOn w:val="Normal"/>
    <w:link w:val="FooterChar"/>
    <w:uiPriority w:val="99"/>
    <w:unhideWhenUsed/>
    <w:rsid w:val="00F94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C9D"/>
  </w:style>
  <w:style w:type="character" w:customStyle="1" w:styleId="Heading4Char">
    <w:name w:val="Heading 4 Char"/>
    <w:basedOn w:val="DefaultParagraphFont"/>
    <w:link w:val="Heading4"/>
    <w:uiPriority w:val="9"/>
    <w:rsid w:val="00487661"/>
    <w:rPr>
      <w:rFonts w:asciiTheme="majorHAnsi" w:eastAsiaTheme="majorEastAsia" w:hAnsiTheme="majorHAnsi" w:cstheme="majorBidi"/>
      <w:i/>
      <w:iCs/>
      <w:color w:val="2F5496" w:themeColor="accent1" w:themeShade="BF"/>
      <w:kern w:val="0"/>
      <w:lang w:val="en-US"/>
    </w:rPr>
  </w:style>
  <w:style w:type="paragraph" w:styleId="Bibliography">
    <w:name w:val="Bibliography"/>
    <w:basedOn w:val="Normal"/>
    <w:next w:val="Normal"/>
    <w:uiPriority w:val="37"/>
    <w:unhideWhenUsed/>
    <w:rsid w:val="006378BD"/>
  </w:style>
  <w:style w:type="paragraph" w:styleId="ListParagraph">
    <w:name w:val="List Paragraph"/>
    <w:basedOn w:val="Normal"/>
    <w:uiPriority w:val="34"/>
    <w:qFormat/>
    <w:rsid w:val="00BF68FC"/>
    <w:pPr>
      <w:ind w:left="720"/>
      <w:contextualSpacing/>
    </w:pPr>
  </w:style>
  <w:style w:type="numbering" w:customStyle="1" w:styleId="CurrentList1">
    <w:name w:val="Current List1"/>
    <w:uiPriority w:val="99"/>
    <w:rsid w:val="0054143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3089">
      <w:bodyDiv w:val="1"/>
      <w:marLeft w:val="0"/>
      <w:marRight w:val="0"/>
      <w:marTop w:val="0"/>
      <w:marBottom w:val="0"/>
      <w:divBdr>
        <w:top w:val="none" w:sz="0" w:space="0" w:color="auto"/>
        <w:left w:val="none" w:sz="0" w:space="0" w:color="auto"/>
        <w:bottom w:val="none" w:sz="0" w:space="0" w:color="auto"/>
        <w:right w:val="none" w:sz="0" w:space="0" w:color="auto"/>
      </w:divBdr>
    </w:div>
    <w:div w:id="82191096">
      <w:bodyDiv w:val="1"/>
      <w:marLeft w:val="0"/>
      <w:marRight w:val="0"/>
      <w:marTop w:val="0"/>
      <w:marBottom w:val="0"/>
      <w:divBdr>
        <w:top w:val="none" w:sz="0" w:space="0" w:color="auto"/>
        <w:left w:val="none" w:sz="0" w:space="0" w:color="auto"/>
        <w:bottom w:val="none" w:sz="0" w:space="0" w:color="auto"/>
        <w:right w:val="none" w:sz="0" w:space="0" w:color="auto"/>
      </w:divBdr>
    </w:div>
    <w:div w:id="98107881">
      <w:bodyDiv w:val="1"/>
      <w:marLeft w:val="0"/>
      <w:marRight w:val="0"/>
      <w:marTop w:val="0"/>
      <w:marBottom w:val="0"/>
      <w:divBdr>
        <w:top w:val="none" w:sz="0" w:space="0" w:color="auto"/>
        <w:left w:val="none" w:sz="0" w:space="0" w:color="auto"/>
        <w:bottom w:val="none" w:sz="0" w:space="0" w:color="auto"/>
        <w:right w:val="none" w:sz="0" w:space="0" w:color="auto"/>
      </w:divBdr>
    </w:div>
    <w:div w:id="98306816">
      <w:bodyDiv w:val="1"/>
      <w:marLeft w:val="0"/>
      <w:marRight w:val="0"/>
      <w:marTop w:val="0"/>
      <w:marBottom w:val="0"/>
      <w:divBdr>
        <w:top w:val="none" w:sz="0" w:space="0" w:color="auto"/>
        <w:left w:val="none" w:sz="0" w:space="0" w:color="auto"/>
        <w:bottom w:val="none" w:sz="0" w:space="0" w:color="auto"/>
        <w:right w:val="none" w:sz="0" w:space="0" w:color="auto"/>
      </w:divBdr>
    </w:div>
    <w:div w:id="103616651">
      <w:bodyDiv w:val="1"/>
      <w:marLeft w:val="0"/>
      <w:marRight w:val="0"/>
      <w:marTop w:val="0"/>
      <w:marBottom w:val="0"/>
      <w:divBdr>
        <w:top w:val="none" w:sz="0" w:space="0" w:color="auto"/>
        <w:left w:val="none" w:sz="0" w:space="0" w:color="auto"/>
        <w:bottom w:val="none" w:sz="0" w:space="0" w:color="auto"/>
        <w:right w:val="none" w:sz="0" w:space="0" w:color="auto"/>
      </w:divBdr>
    </w:div>
    <w:div w:id="117720802">
      <w:bodyDiv w:val="1"/>
      <w:marLeft w:val="0"/>
      <w:marRight w:val="0"/>
      <w:marTop w:val="0"/>
      <w:marBottom w:val="0"/>
      <w:divBdr>
        <w:top w:val="none" w:sz="0" w:space="0" w:color="auto"/>
        <w:left w:val="none" w:sz="0" w:space="0" w:color="auto"/>
        <w:bottom w:val="none" w:sz="0" w:space="0" w:color="auto"/>
        <w:right w:val="none" w:sz="0" w:space="0" w:color="auto"/>
      </w:divBdr>
    </w:div>
    <w:div w:id="119232237">
      <w:bodyDiv w:val="1"/>
      <w:marLeft w:val="0"/>
      <w:marRight w:val="0"/>
      <w:marTop w:val="0"/>
      <w:marBottom w:val="0"/>
      <w:divBdr>
        <w:top w:val="none" w:sz="0" w:space="0" w:color="auto"/>
        <w:left w:val="none" w:sz="0" w:space="0" w:color="auto"/>
        <w:bottom w:val="none" w:sz="0" w:space="0" w:color="auto"/>
        <w:right w:val="none" w:sz="0" w:space="0" w:color="auto"/>
      </w:divBdr>
    </w:div>
    <w:div w:id="120002093">
      <w:bodyDiv w:val="1"/>
      <w:marLeft w:val="0"/>
      <w:marRight w:val="0"/>
      <w:marTop w:val="0"/>
      <w:marBottom w:val="0"/>
      <w:divBdr>
        <w:top w:val="none" w:sz="0" w:space="0" w:color="auto"/>
        <w:left w:val="none" w:sz="0" w:space="0" w:color="auto"/>
        <w:bottom w:val="none" w:sz="0" w:space="0" w:color="auto"/>
        <w:right w:val="none" w:sz="0" w:space="0" w:color="auto"/>
      </w:divBdr>
    </w:div>
    <w:div w:id="124085794">
      <w:bodyDiv w:val="1"/>
      <w:marLeft w:val="0"/>
      <w:marRight w:val="0"/>
      <w:marTop w:val="0"/>
      <w:marBottom w:val="0"/>
      <w:divBdr>
        <w:top w:val="none" w:sz="0" w:space="0" w:color="auto"/>
        <w:left w:val="none" w:sz="0" w:space="0" w:color="auto"/>
        <w:bottom w:val="none" w:sz="0" w:space="0" w:color="auto"/>
        <w:right w:val="none" w:sz="0" w:space="0" w:color="auto"/>
      </w:divBdr>
    </w:div>
    <w:div w:id="147786811">
      <w:bodyDiv w:val="1"/>
      <w:marLeft w:val="0"/>
      <w:marRight w:val="0"/>
      <w:marTop w:val="0"/>
      <w:marBottom w:val="0"/>
      <w:divBdr>
        <w:top w:val="none" w:sz="0" w:space="0" w:color="auto"/>
        <w:left w:val="none" w:sz="0" w:space="0" w:color="auto"/>
        <w:bottom w:val="none" w:sz="0" w:space="0" w:color="auto"/>
        <w:right w:val="none" w:sz="0" w:space="0" w:color="auto"/>
      </w:divBdr>
    </w:div>
    <w:div w:id="173959008">
      <w:bodyDiv w:val="1"/>
      <w:marLeft w:val="0"/>
      <w:marRight w:val="0"/>
      <w:marTop w:val="0"/>
      <w:marBottom w:val="0"/>
      <w:divBdr>
        <w:top w:val="none" w:sz="0" w:space="0" w:color="auto"/>
        <w:left w:val="none" w:sz="0" w:space="0" w:color="auto"/>
        <w:bottom w:val="none" w:sz="0" w:space="0" w:color="auto"/>
        <w:right w:val="none" w:sz="0" w:space="0" w:color="auto"/>
      </w:divBdr>
    </w:div>
    <w:div w:id="199899612">
      <w:bodyDiv w:val="1"/>
      <w:marLeft w:val="0"/>
      <w:marRight w:val="0"/>
      <w:marTop w:val="0"/>
      <w:marBottom w:val="0"/>
      <w:divBdr>
        <w:top w:val="none" w:sz="0" w:space="0" w:color="auto"/>
        <w:left w:val="none" w:sz="0" w:space="0" w:color="auto"/>
        <w:bottom w:val="none" w:sz="0" w:space="0" w:color="auto"/>
        <w:right w:val="none" w:sz="0" w:space="0" w:color="auto"/>
      </w:divBdr>
    </w:div>
    <w:div w:id="211623274">
      <w:bodyDiv w:val="1"/>
      <w:marLeft w:val="0"/>
      <w:marRight w:val="0"/>
      <w:marTop w:val="0"/>
      <w:marBottom w:val="0"/>
      <w:divBdr>
        <w:top w:val="none" w:sz="0" w:space="0" w:color="auto"/>
        <w:left w:val="none" w:sz="0" w:space="0" w:color="auto"/>
        <w:bottom w:val="none" w:sz="0" w:space="0" w:color="auto"/>
        <w:right w:val="none" w:sz="0" w:space="0" w:color="auto"/>
      </w:divBdr>
    </w:div>
    <w:div w:id="219680751">
      <w:bodyDiv w:val="1"/>
      <w:marLeft w:val="0"/>
      <w:marRight w:val="0"/>
      <w:marTop w:val="0"/>
      <w:marBottom w:val="0"/>
      <w:divBdr>
        <w:top w:val="none" w:sz="0" w:space="0" w:color="auto"/>
        <w:left w:val="none" w:sz="0" w:space="0" w:color="auto"/>
        <w:bottom w:val="none" w:sz="0" w:space="0" w:color="auto"/>
        <w:right w:val="none" w:sz="0" w:space="0" w:color="auto"/>
      </w:divBdr>
    </w:div>
    <w:div w:id="239566110">
      <w:bodyDiv w:val="1"/>
      <w:marLeft w:val="0"/>
      <w:marRight w:val="0"/>
      <w:marTop w:val="0"/>
      <w:marBottom w:val="0"/>
      <w:divBdr>
        <w:top w:val="none" w:sz="0" w:space="0" w:color="auto"/>
        <w:left w:val="none" w:sz="0" w:space="0" w:color="auto"/>
        <w:bottom w:val="none" w:sz="0" w:space="0" w:color="auto"/>
        <w:right w:val="none" w:sz="0" w:space="0" w:color="auto"/>
      </w:divBdr>
    </w:div>
    <w:div w:id="278418232">
      <w:bodyDiv w:val="1"/>
      <w:marLeft w:val="0"/>
      <w:marRight w:val="0"/>
      <w:marTop w:val="0"/>
      <w:marBottom w:val="0"/>
      <w:divBdr>
        <w:top w:val="none" w:sz="0" w:space="0" w:color="auto"/>
        <w:left w:val="none" w:sz="0" w:space="0" w:color="auto"/>
        <w:bottom w:val="none" w:sz="0" w:space="0" w:color="auto"/>
        <w:right w:val="none" w:sz="0" w:space="0" w:color="auto"/>
      </w:divBdr>
    </w:div>
    <w:div w:id="282078347">
      <w:bodyDiv w:val="1"/>
      <w:marLeft w:val="0"/>
      <w:marRight w:val="0"/>
      <w:marTop w:val="0"/>
      <w:marBottom w:val="0"/>
      <w:divBdr>
        <w:top w:val="none" w:sz="0" w:space="0" w:color="auto"/>
        <w:left w:val="none" w:sz="0" w:space="0" w:color="auto"/>
        <w:bottom w:val="none" w:sz="0" w:space="0" w:color="auto"/>
        <w:right w:val="none" w:sz="0" w:space="0" w:color="auto"/>
      </w:divBdr>
    </w:div>
    <w:div w:id="327638772">
      <w:bodyDiv w:val="1"/>
      <w:marLeft w:val="0"/>
      <w:marRight w:val="0"/>
      <w:marTop w:val="0"/>
      <w:marBottom w:val="0"/>
      <w:divBdr>
        <w:top w:val="none" w:sz="0" w:space="0" w:color="auto"/>
        <w:left w:val="none" w:sz="0" w:space="0" w:color="auto"/>
        <w:bottom w:val="none" w:sz="0" w:space="0" w:color="auto"/>
        <w:right w:val="none" w:sz="0" w:space="0" w:color="auto"/>
      </w:divBdr>
    </w:div>
    <w:div w:id="334575097">
      <w:bodyDiv w:val="1"/>
      <w:marLeft w:val="0"/>
      <w:marRight w:val="0"/>
      <w:marTop w:val="0"/>
      <w:marBottom w:val="0"/>
      <w:divBdr>
        <w:top w:val="none" w:sz="0" w:space="0" w:color="auto"/>
        <w:left w:val="none" w:sz="0" w:space="0" w:color="auto"/>
        <w:bottom w:val="none" w:sz="0" w:space="0" w:color="auto"/>
        <w:right w:val="none" w:sz="0" w:space="0" w:color="auto"/>
      </w:divBdr>
    </w:div>
    <w:div w:id="360477274">
      <w:bodyDiv w:val="1"/>
      <w:marLeft w:val="0"/>
      <w:marRight w:val="0"/>
      <w:marTop w:val="0"/>
      <w:marBottom w:val="0"/>
      <w:divBdr>
        <w:top w:val="none" w:sz="0" w:space="0" w:color="auto"/>
        <w:left w:val="none" w:sz="0" w:space="0" w:color="auto"/>
        <w:bottom w:val="none" w:sz="0" w:space="0" w:color="auto"/>
        <w:right w:val="none" w:sz="0" w:space="0" w:color="auto"/>
      </w:divBdr>
    </w:div>
    <w:div w:id="363791928">
      <w:bodyDiv w:val="1"/>
      <w:marLeft w:val="0"/>
      <w:marRight w:val="0"/>
      <w:marTop w:val="0"/>
      <w:marBottom w:val="0"/>
      <w:divBdr>
        <w:top w:val="none" w:sz="0" w:space="0" w:color="auto"/>
        <w:left w:val="none" w:sz="0" w:space="0" w:color="auto"/>
        <w:bottom w:val="none" w:sz="0" w:space="0" w:color="auto"/>
        <w:right w:val="none" w:sz="0" w:space="0" w:color="auto"/>
      </w:divBdr>
    </w:div>
    <w:div w:id="450905432">
      <w:bodyDiv w:val="1"/>
      <w:marLeft w:val="0"/>
      <w:marRight w:val="0"/>
      <w:marTop w:val="0"/>
      <w:marBottom w:val="0"/>
      <w:divBdr>
        <w:top w:val="none" w:sz="0" w:space="0" w:color="auto"/>
        <w:left w:val="none" w:sz="0" w:space="0" w:color="auto"/>
        <w:bottom w:val="none" w:sz="0" w:space="0" w:color="auto"/>
        <w:right w:val="none" w:sz="0" w:space="0" w:color="auto"/>
      </w:divBdr>
    </w:div>
    <w:div w:id="462357020">
      <w:bodyDiv w:val="1"/>
      <w:marLeft w:val="0"/>
      <w:marRight w:val="0"/>
      <w:marTop w:val="0"/>
      <w:marBottom w:val="0"/>
      <w:divBdr>
        <w:top w:val="none" w:sz="0" w:space="0" w:color="auto"/>
        <w:left w:val="none" w:sz="0" w:space="0" w:color="auto"/>
        <w:bottom w:val="none" w:sz="0" w:space="0" w:color="auto"/>
        <w:right w:val="none" w:sz="0" w:space="0" w:color="auto"/>
      </w:divBdr>
    </w:div>
    <w:div w:id="483358188">
      <w:bodyDiv w:val="1"/>
      <w:marLeft w:val="0"/>
      <w:marRight w:val="0"/>
      <w:marTop w:val="0"/>
      <w:marBottom w:val="0"/>
      <w:divBdr>
        <w:top w:val="none" w:sz="0" w:space="0" w:color="auto"/>
        <w:left w:val="none" w:sz="0" w:space="0" w:color="auto"/>
        <w:bottom w:val="none" w:sz="0" w:space="0" w:color="auto"/>
        <w:right w:val="none" w:sz="0" w:space="0" w:color="auto"/>
      </w:divBdr>
    </w:div>
    <w:div w:id="533277205">
      <w:bodyDiv w:val="1"/>
      <w:marLeft w:val="0"/>
      <w:marRight w:val="0"/>
      <w:marTop w:val="0"/>
      <w:marBottom w:val="0"/>
      <w:divBdr>
        <w:top w:val="none" w:sz="0" w:space="0" w:color="auto"/>
        <w:left w:val="none" w:sz="0" w:space="0" w:color="auto"/>
        <w:bottom w:val="none" w:sz="0" w:space="0" w:color="auto"/>
        <w:right w:val="none" w:sz="0" w:space="0" w:color="auto"/>
      </w:divBdr>
    </w:div>
    <w:div w:id="551187711">
      <w:bodyDiv w:val="1"/>
      <w:marLeft w:val="0"/>
      <w:marRight w:val="0"/>
      <w:marTop w:val="0"/>
      <w:marBottom w:val="0"/>
      <w:divBdr>
        <w:top w:val="none" w:sz="0" w:space="0" w:color="auto"/>
        <w:left w:val="none" w:sz="0" w:space="0" w:color="auto"/>
        <w:bottom w:val="none" w:sz="0" w:space="0" w:color="auto"/>
        <w:right w:val="none" w:sz="0" w:space="0" w:color="auto"/>
      </w:divBdr>
    </w:div>
    <w:div w:id="562520375">
      <w:bodyDiv w:val="1"/>
      <w:marLeft w:val="0"/>
      <w:marRight w:val="0"/>
      <w:marTop w:val="0"/>
      <w:marBottom w:val="0"/>
      <w:divBdr>
        <w:top w:val="none" w:sz="0" w:space="0" w:color="auto"/>
        <w:left w:val="none" w:sz="0" w:space="0" w:color="auto"/>
        <w:bottom w:val="none" w:sz="0" w:space="0" w:color="auto"/>
        <w:right w:val="none" w:sz="0" w:space="0" w:color="auto"/>
      </w:divBdr>
    </w:div>
    <w:div w:id="572810823">
      <w:bodyDiv w:val="1"/>
      <w:marLeft w:val="0"/>
      <w:marRight w:val="0"/>
      <w:marTop w:val="0"/>
      <w:marBottom w:val="0"/>
      <w:divBdr>
        <w:top w:val="none" w:sz="0" w:space="0" w:color="auto"/>
        <w:left w:val="none" w:sz="0" w:space="0" w:color="auto"/>
        <w:bottom w:val="none" w:sz="0" w:space="0" w:color="auto"/>
        <w:right w:val="none" w:sz="0" w:space="0" w:color="auto"/>
      </w:divBdr>
    </w:div>
    <w:div w:id="575020172">
      <w:bodyDiv w:val="1"/>
      <w:marLeft w:val="0"/>
      <w:marRight w:val="0"/>
      <w:marTop w:val="0"/>
      <w:marBottom w:val="0"/>
      <w:divBdr>
        <w:top w:val="none" w:sz="0" w:space="0" w:color="auto"/>
        <w:left w:val="none" w:sz="0" w:space="0" w:color="auto"/>
        <w:bottom w:val="none" w:sz="0" w:space="0" w:color="auto"/>
        <w:right w:val="none" w:sz="0" w:space="0" w:color="auto"/>
      </w:divBdr>
    </w:div>
    <w:div w:id="597104547">
      <w:bodyDiv w:val="1"/>
      <w:marLeft w:val="0"/>
      <w:marRight w:val="0"/>
      <w:marTop w:val="0"/>
      <w:marBottom w:val="0"/>
      <w:divBdr>
        <w:top w:val="none" w:sz="0" w:space="0" w:color="auto"/>
        <w:left w:val="none" w:sz="0" w:space="0" w:color="auto"/>
        <w:bottom w:val="none" w:sz="0" w:space="0" w:color="auto"/>
        <w:right w:val="none" w:sz="0" w:space="0" w:color="auto"/>
      </w:divBdr>
    </w:div>
    <w:div w:id="603461841">
      <w:bodyDiv w:val="1"/>
      <w:marLeft w:val="0"/>
      <w:marRight w:val="0"/>
      <w:marTop w:val="0"/>
      <w:marBottom w:val="0"/>
      <w:divBdr>
        <w:top w:val="none" w:sz="0" w:space="0" w:color="auto"/>
        <w:left w:val="none" w:sz="0" w:space="0" w:color="auto"/>
        <w:bottom w:val="none" w:sz="0" w:space="0" w:color="auto"/>
        <w:right w:val="none" w:sz="0" w:space="0" w:color="auto"/>
      </w:divBdr>
    </w:div>
    <w:div w:id="615328086">
      <w:bodyDiv w:val="1"/>
      <w:marLeft w:val="0"/>
      <w:marRight w:val="0"/>
      <w:marTop w:val="0"/>
      <w:marBottom w:val="0"/>
      <w:divBdr>
        <w:top w:val="none" w:sz="0" w:space="0" w:color="auto"/>
        <w:left w:val="none" w:sz="0" w:space="0" w:color="auto"/>
        <w:bottom w:val="none" w:sz="0" w:space="0" w:color="auto"/>
        <w:right w:val="none" w:sz="0" w:space="0" w:color="auto"/>
      </w:divBdr>
    </w:div>
    <w:div w:id="662201472">
      <w:bodyDiv w:val="1"/>
      <w:marLeft w:val="0"/>
      <w:marRight w:val="0"/>
      <w:marTop w:val="0"/>
      <w:marBottom w:val="0"/>
      <w:divBdr>
        <w:top w:val="none" w:sz="0" w:space="0" w:color="auto"/>
        <w:left w:val="none" w:sz="0" w:space="0" w:color="auto"/>
        <w:bottom w:val="none" w:sz="0" w:space="0" w:color="auto"/>
        <w:right w:val="none" w:sz="0" w:space="0" w:color="auto"/>
      </w:divBdr>
    </w:div>
    <w:div w:id="679502364">
      <w:bodyDiv w:val="1"/>
      <w:marLeft w:val="0"/>
      <w:marRight w:val="0"/>
      <w:marTop w:val="0"/>
      <w:marBottom w:val="0"/>
      <w:divBdr>
        <w:top w:val="none" w:sz="0" w:space="0" w:color="auto"/>
        <w:left w:val="none" w:sz="0" w:space="0" w:color="auto"/>
        <w:bottom w:val="none" w:sz="0" w:space="0" w:color="auto"/>
        <w:right w:val="none" w:sz="0" w:space="0" w:color="auto"/>
      </w:divBdr>
    </w:div>
    <w:div w:id="689570264">
      <w:bodyDiv w:val="1"/>
      <w:marLeft w:val="0"/>
      <w:marRight w:val="0"/>
      <w:marTop w:val="0"/>
      <w:marBottom w:val="0"/>
      <w:divBdr>
        <w:top w:val="none" w:sz="0" w:space="0" w:color="auto"/>
        <w:left w:val="none" w:sz="0" w:space="0" w:color="auto"/>
        <w:bottom w:val="none" w:sz="0" w:space="0" w:color="auto"/>
        <w:right w:val="none" w:sz="0" w:space="0" w:color="auto"/>
      </w:divBdr>
    </w:div>
    <w:div w:id="719284541">
      <w:bodyDiv w:val="1"/>
      <w:marLeft w:val="0"/>
      <w:marRight w:val="0"/>
      <w:marTop w:val="0"/>
      <w:marBottom w:val="0"/>
      <w:divBdr>
        <w:top w:val="none" w:sz="0" w:space="0" w:color="auto"/>
        <w:left w:val="none" w:sz="0" w:space="0" w:color="auto"/>
        <w:bottom w:val="none" w:sz="0" w:space="0" w:color="auto"/>
        <w:right w:val="none" w:sz="0" w:space="0" w:color="auto"/>
      </w:divBdr>
    </w:div>
    <w:div w:id="759910028">
      <w:bodyDiv w:val="1"/>
      <w:marLeft w:val="0"/>
      <w:marRight w:val="0"/>
      <w:marTop w:val="0"/>
      <w:marBottom w:val="0"/>
      <w:divBdr>
        <w:top w:val="none" w:sz="0" w:space="0" w:color="auto"/>
        <w:left w:val="none" w:sz="0" w:space="0" w:color="auto"/>
        <w:bottom w:val="none" w:sz="0" w:space="0" w:color="auto"/>
        <w:right w:val="none" w:sz="0" w:space="0" w:color="auto"/>
      </w:divBdr>
    </w:div>
    <w:div w:id="811361169">
      <w:bodyDiv w:val="1"/>
      <w:marLeft w:val="0"/>
      <w:marRight w:val="0"/>
      <w:marTop w:val="0"/>
      <w:marBottom w:val="0"/>
      <w:divBdr>
        <w:top w:val="none" w:sz="0" w:space="0" w:color="auto"/>
        <w:left w:val="none" w:sz="0" w:space="0" w:color="auto"/>
        <w:bottom w:val="none" w:sz="0" w:space="0" w:color="auto"/>
        <w:right w:val="none" w:sz="0" w:space="0" w:color="auto"/>
      </w:divBdr>
    </w:div>
    <w:div w:id="850485053">
      <w:bodyDiv w:val="1"/>
      <w:marLeft w:val="0"/>
      <w:marRight w:val="0"/>
      <w:marTop w:val="0"/>
      <w:marBottom w:val="0"/>
      <w:divBdr>
        <w:top w:val="none" w:sz="0" w:space="0" w:color="auto"/>
        <w:left w:val="none" w:sz="0" w:space="0" w:color="auto"/>
        <w:bottom w:val="none" w:sz="0" w:space="0" w:color="auto"/>
        <w:right w:val="none" w:sz="0" w:space="0" w:color="auto"/>
      </w:divBdr>
    </w:div>
    <w:div w:id="855583492">
      <w:bodyDiv w:val="1"/>
      <w:marLeft w:val="0"/>
      <w:marRight w:val="0"/>
      <w:marTop w:val="0"/>
      <w:marBottom w:val="0"/>
      <w:divBdr>
        <w:top w:val="none" w:sz="0" w:space="0" w:color="auto"/>
        <w:left w:val="none" w:sz="0" w:space="0" w:color="auto"/>
        <w:bottom w:val="none" w:sz="0" w:space="0" w:color="auto"/>
        <w:right w:val="none" w:sz="0" w:space="0" w:color="auto"/>
      </w:divBdr>
    </w:div>
    <w:div w:id="865021389">
      <w:bodyDiv w:val="1"/>
      <w:marLeft w:val="0"/>
      <w:marRight w:val="0"/>
      <w:marTop w:val="0"/>
      <w:marBottom w:val="0"/>
      <w:divBdr>
        <w:top w:val="none" w:sz="0" w:space="0" w:color="auto"/>
        <w:left w:val="none" w:sz="0" w:space="0" w:color="auto"/>
        <w:bottom w:val="none" w:sz="0" w:space="0" w:color="auto"/>
        <w:right w:val="none" w:sz="0" w:space="0" w:color="auto"/>
      </w:divBdr>
    </w:div>
    <w:div w:id="865632155">
      <w:bodyDiv w:val="1"/>
      <w:marLeft w:val="0"/>
      <w:marRight w:val="0"/>
      <w:marTop w:val="0"/>
      <w:marBottom w:val="0"/>
      <w:divBdr>
        <w:top w:val="none" w:sz="0" w:space="0" w:color="auto"/>
        <w:left w:val="none" w:sz="0" w:space="0" w:color="auto"/>
        <w:bottom w:val="none" w:sz="0" w:space="0" w:color="auto"/>
        <w:right w:val="none" w:sz="0" w:space="0" w:color="auto"/>
      </w:divBdr>
    </w:div>
    <w:div w:id="892928026">
      <w:bodyDiv w:val="1"/>
      <w:marLeft w:val="0"/>
      <w:marRight w:val="0"/>
      <w:marTop w:val="0"/>
      <w:marBottom w:val="0"/>
      <w:divBdr>
        <w:top w:val="none" w:sz="0" w:space="0" w:color="auto"/>
        <w:left w:val="none" w:sz="0" w:space="0" w:color="auto"/>
        <w:bottom w:val="none" w:sz="0" w:space="0" w:color="auto"/>
        <w:right w:val="none" w:sz="0" w:space="0" w:color="auto"/>
      </w:divBdr>
    </w:div>
    <w:div w:id="906762431">
      <w:bodyDiv w:val="1"/>
      <w:marLeft w:val="0"/>
      <w:marRight w:val="0"/>
      <w:marTop w:val="0"/>
      <w:marBottom w:val="0"/>
      <w:divBdr>
        <w:top w:val="none" w:sz="0" w:space="0" w:color="auto"/>
        <w:left w:val="none" w:sz="0" w:space="0" w:color="auto"/>
        <w:bottom w:val="none" w:sz="0" w:space="0" w:color="auto"/>
        <w:right w:val="none" w:sz="0" w:space="0" w:color="auto"/>
      </w:divBdr>
    </w:div>
    <w:div w:id="948046180">
      <w:bodyDiv w:val="1"/>
      <w:marLeft w:val="0"/>
      <w:marRight w:val="0"/>
      <w:marTop w:val="0"/>
      <w:marBottom w:val="0"/>
      <w:divBdr>
        <w:top w:val="none" w:sz="0" w:space="0" w:color="auto"/>
        <w:left w:val="none" w:sz="0" w:space="0" w:color="auto"/>
        <w:bottom w:val="none" w:sz="0" w:space="0" w:color="auto"/>
        <w:right w:val="none" w:sz="0" w:space="0" w:color="auto"/>
      </w:divBdr>
    </w:div>
    <w:div w:id="970473838">
      <w:bodyDiv w:val="1"/>
      <w:marLeft w:val="0"/>
      <w:marRight w:val="0"/>
      <w:marTop w:val="0"/>
      <w:marBottom w:val="0"/>
      <w:divBdr>
        <w:top w:val="none" w:sz="0" w:space="0" w:color="auto"/>
        <w:left w:val="none" w:sz="0" w:space="0" w:color="auto"/>
        <w:bottom w:val="none" w:sz="0" w:space="0" w:color="auto"/>
        <w:right w:val="none" w:sz="0" w:space="0" w:color="auto"/>
      </w:divBdr>
    </w:div>
    <w:div w:id="1004480649">
      <w:bodyDiv w:val="1"/>
      <w:marLeft w:val="0"/>
      <w:marRight w:val="0"/>
      <w:marTop w:val="0"/>
      <w:marBottom w:val="0"/>
      <w:divBdr>
        <w:top w:val="none" w:sz="0" w:space="0" w:color="auto"/>
        <w:left w:val="none" w:sz="0" w:space="0" w:color="auto"/>
        <w:bottom w:val="none" w:sz="0" w:space="0" w:color="auto"/>
        <w:right w:val="none" w:sz="0" w:space="0" w:color="auto"/>
      </w:divBdr>
    </w:div>
    <w:div w:id="1015840725">
      <w:bodyDiv w:val="1"/>
      <w:marLeft w:val="0"/>
      <w:marRight w:val="0"/>
      <w:marTop w:val="0"/>
      <w:marBottom w:val="0"/>
      <w:divBdr>
        <w:top w:val="none" w:sz="0" w:space="0" w:color="auto"/>
        <w:left w:val="none" w:sz="0" w:space="0" w:color="auto"/>
        <w:bottom w:val="none" w:sz="0" w:space="0" w:color="auto"/>
        <w:right w:val="none" w:sz="0" w:space="0" w:color="auto"/>
      </w:divBdr>
    </w:div>
    <w:div w:id="1029332338">
      <w:bodyDiv w:val="1"/>
      <w:marLeft w:val="0"/>
      <w:marRight w:val="0"/>
      <w:marTop w:val="0"/>
      <w:marBottom w:val="0"/>
      <w:divBdr>
        <w:top w:val="none" w:sz="0" w:space="0" w:color="auto"/>
        <w:left w:val="none" w:sz="0" w:space="0" w:color="auto"/>
        <w:bottom w:val="none" w:sz="0" w:space="0" w:color="auto"/>
        <w:right w:val="none" w:sz="0" w:space="0" w:color="auto"/>
      </w:divBdr>
    </w:div>
    <w:div w:id="1053847389">
      <w:bodyDiv w:val="1"/>
      <w:marLeft w:val="0"/>
      <w:marRight w:val="0"/>
      <w:marTop w:val="0"/>
      <w:marBottom w:val="0"/>
      <w:divBdr>
        <w:top w:val="none" w:sz="0" w:space="0" w:color="auto"/>
        <w:left w:val="none" w:sz="0" w:space="0" w:color="auto"/>
        <w:bottom w:val="none" w:sz="0" w:space="0" w:color="auto"/>
        <w:right w:val="none" w:sz="0" w:space="0" w:color="auto"/>
      </w:divBdr>
    </w:div>
    <w:div w:id="1055813338">
      <w:bodyDiv w:val="1"/>
      <w:marLeft w:val="0"/>
      <w:marRight w:val="0"/>
      <w:marTop w:val="0"/>
      <w:marBottom w:val="0"/>
      <w:divBdr>
        <w:top w:val="none" w:sz="0" w:space="0" w:color="auto"/>
        <w:left w:val="none" w:sz="0" w:space="0" w:color="auto"/>
        <w:bottom w:val="none" w:sz="0" w:space="0" w:color="auto"/>
        <w:right w:val="none" w:sz="0" w:space="0" w:color="auto"/>
      </w:divBdr>
    </w:div>
    <w:div w:id="1056589118">
      <w:bodyDiv w:val="1"/>
      <w:marLeft w:val="0"/>
      <w:marRight w:val="0"/>
      <w:marTop w:val="0"/>
      <w:marBottom w:val="0"/>
      <w:divBdr>
        <w:top w:val="none" w:sz="0" w:space="0" w:color="auto"/>
        <w:left w:val="none" w:sz="0" w:space="0" w:color="auto"/>
        <w:bottom w:val="none" w:sz="0" w:space="0" w:color="auto"/>
        <w:right w:val="none" w:sz="0" w:space="0" w:color="auto"/>
      </w:divBdr>
    </w:div>
    <w:div w:id="1076782122">
      <w:bodyDiv w:val="1"/>
      <w:marLeft w:val="0"/>
      <w:marRight w:val="0"/>
      <w:marTop w:val="0"/>
      <w:marBottom w:val="0"/>
      <w:divBdr>
        <w:top w:val="none" w:sz="0" w:space="0" w:color="auto"/>
        <w:left w:val="none" w:sz="0" w:space="0" w:color="auto"/>
        <w:bottom w:val="none" w:sz="0" w:space="0" w:color="auto"/>
        <w:right w:val="none" w:sz="0" w:space="0" w:color="auto"/>
      </w:divBdr>
    </w:div>
    <w:div w:id="1087457642">
      <w:bodyDiv w:val="1"/>
      <w:marLeft w:val="0"/>
      <w:marRight w:val="0"/>
      <w:marTop w:val="0"/>
      <w:marBottom w:val="0"/>
      <w:divBdr>
        <w:top w:val="none" w:sz="0" w:space="0" w:color="auto"/>
        <w:left w:val="none" w:sz="0" w:space="0" w:color="auto"/>
        <w:bottom w:val="none" w:sz="0" w:space="0" w:color="auto"/>
        <w:right w:val="none" w:sz="0" w:space="0" w:color="auto"/>
      </w:divBdr>
    </w:div>
    <w:div w:id="1089961411">
      <w:bodyDiv w:val="1"/>
      <w:marLeft w:val="0"/>
      <w:marRight w:val="0"/>
      <w:marTop w:val="0"/>
      <w:marBottom w:val="0"/>
      <w:divBdr>
        <w:top w:val="none" w:sz="0" w:space="0" w:color="auto"/>
        <w:left w:val="none" w:sz="0" w:space="0" w:color="auto"/>
        <w:bottom w:val="none" w:sz="0" w:space="0" w:color="auto"/>
        <w:right w:val="none" w:sz="0" w:space="0" w:color="auto"/>
      </w:divBdr>
    </w:div>
    <w:div w:id="1114710787">
      <w:bodyDiv w:val="1"/>
      <w:marLeft w:val="0"/>
      <w:marRight w:val="0"/>
      <w:marTop w:val="0"/>
      <w:marBottom w:val="0"/>
      <w:divBdr>
        <w:top w:val="none" w:sz="0" w:space="0" w:color="auto"/>
        <w:left w:val="none" w:sz="0" w:space="0" w:color="auto"/>
        <w:bottom w:val="none" w:sz="0" w:space="0" w:color="auto"/>
        <w:right w:val="none" w:sz="0" w:space="0" w:color="auto"/>
      </w:divBdr>
    </w:div>
    <w:div w:id="1127552276">
      <w:bodyDiv w:val="1"/>
      <w:marLeft w:val="0"/>
      <w:marRight w:val="0"/>
      <w:marTop w:val="0"/>
      <w:marBottom w:val="0"/>
      <w:divBdr>
        <w:top w:val="none" w:sz="0" w:space="0" w:color="auto"/>
        <w:left w:val="none" w:sz="0" w:space="0" w:color="auto"/>
        <w:bottom w:val="none" w:sz="0" w:space="0" w:color="auto"/>
        <w:right w:val="none" w:sz="0" w:space="0" w:color="auto"/>
      </w:divBdr>
    </w:div>
    <w:div w:id="1145704420">
      <w:bodyDiv w:val="1"/>
      <w:marLeft w:val="0"/>
      <w:marRight w:val="0"/>
      <w:marTop w:val="0"/>
      <w:marBottom w:val="0"/>
      <w:divBdr>
        <w:top w:val="none" w:sz="0" w:space="0" w:color="auto"/>
        <w:left w:val="none" w:sz="0" w:space="0" w:color="auto"/>
        <w:bottom w:val="none" w:sz="0" w:space="0" w:color="auto"/>
        <w:right w:val="none" w:sz="0" w:space="0" w:color="auto"/>
      </w:divBdr>
    </w:div>
    <w:div w:id="1193686397">
      <w:bodyDiv w:val="1"/>
      <w:marLeft w:val="0"/>
      <w:marRight w:val="0"/>
      <w:marTop w:val="0"/>
      <w:marBottom w:val="0"/>
      <w:divBdr>
        <w:top w:val="none" w:sz="0" w:space="0" w:color="auto"/>
        <w:left w:val="none" w:sz="0" w:space="0" w:color="auto"/>
        <w:bottom w:val="none" w:sz="0" w:space="0" w:color="auto"/>
        <w:right w:val="none" w:sz="0" w:space="0" w:color="auto"/>
      </w:divBdr>
    </w:div>
    <w:div w:id="1219315901">
      <w:bodyDiv w:val="1"/>
      <w:marLeft w:val="0"/>
      <w:marRight w:val="0"/>
      <w:marTop w:val="0"/>
      <w:marBottom w:val="0"/>
      <w:divBdr>
        <w:top w:val="none" w:sz="0" w:space="0" w:color="auto"/>
        <w:left w:val="none" w:sz="0" w:space="0" w:color="auto"/>
        <w:bottom w:val="none" w:sz="0" w:space="0" w:color="auto"/>
        <w:right w:val="none" w:sz="0" w:space="0" w:color="auto"/>
      </w:divBdr>
    </w:div>
    <w:div w:id="1230770545">
      <w:bodyDiv w:val="1"/>
      <w:marLeft w:val="0"/>
      <w:marRight w:val="0"/>
      <w:marTop w:val="0"/>
      <w:marBottom w:val="0"/>
      <w:divBdr>
        <w:top w:val="none" w:sz="0" w:space="0" w:color="auto"/>
        <w:left w:val="none" w:sz="0" w:space="0" w:color="auto"/>
        <w:bottom w:val="none" w:sz="0" w:space="0" w:color="auto"/>
        <w:right w:val="none" w:sz="0" w:space="0" w:color="auto"/>
      </w:divBdr>
    </w:div>
    <w:div w:id="1267886204">
      <w:bodyDiv w:val="1"/>
      <w:marLeft w:val="0"/>
      <w:marRight w:val="0"/>
      <w:marTop w:val="0"/>
      <w:marBottom w:val="0"/>
      <w:divBdr>
        <w:top w:val="none" w:sz="0" w:space="0" w:color="auto"/>
        <w:left w:val="none" w:sz="0" w:space="0" w:color="auto"/>
        <w:bottom w:val="none" w:sz="0" w:space="0" w:color="auto"/>
        <w:right w:val="none" w:sz="0" w:space="0" w:color="auto"/>
      </w:divBdr>
    </w:div>
    <w:div w:id="1276447350">
      <w:bodyDiv w:val="1"/>
      <w:marLeft w:val="0"/>
      <w:marRight w:val="0"/>
      <w:marTop w:val="0"/>
      <w:marBottom w:val="0"/>
      <w:divBdr>
        <w:top w:val="none" w:sz="0" w:space="0" w:color="auto"/>
        <w:left w:val="none" w:sz="0" w:space="0" w:color="auto"/>
        <w:bottom w:val="none" w:sz="0" w:space="0" w:color="auto"/>
        <w:right w:val="none" w:sz="0" w:space="0" w:color="auto"/>
      </w:divBdr>
    </w:div>
    <w:div w:id="1281761497">
      <w:bodyDiv w:val="1"/>
      <w:marLeft w:val="0"/>
      <w:marRight w:val="0"/>
      <w:marTop w:val="0"/>
      <w:marBottom w:val="0"/>
      <w:divBdr>
        <w:top w:val="none" w:sz="0" w:space="0" w:color="auto"/>
        <w:left w:val="none" w:sz="0" w:space="0" w:color="auto"/>
        <w:bottom w:val="none" w:sz="0" w:space="0" w:color="auto"/>
        <w:right w:val="none" w:sz="0" w:space="0" w:color="auto"/>
      </w:divBdr>
    </w:div>
    <w:div w:id="1282224944">
      <w:bodyDiv w:val="1"/>
      <w:marLeft w:val="0"/>
      <w:marRight w:val="0"/>
      <w:marTop w:val="0"/>
      <w:marBottom w:val="0"/>
      <w:divBdr>
        <w:top w:val="none" w:sz="0" w:space="0" w:color="auto"/>
        <w:left w:val="none" w:sz="0" w:space="0" w:color="auto"/>
        <w:bottom w:val="none" w:sz="0" w:space="0" w:color="auto"/>
        <w:right w:val="none" w:sz="0" w:space="0" w:color="auto"/>
      </w:divBdr>
    </w:div>
    <w:div w:id="1300112834">
      <w:bodyDiv w:val="1"/>
      <w:marLeft w:val="0"/>
      <w:marRight w:val="0"/>
      <w:marTop w:val="0"/>
      <w:marBottom w:val="0"/>
      <w:divBdr>
        <w:top w:val="none" w:sz="0" w:space="0" w:color="auto"/>
        <w:left w:val="none" w:sz="0" w:space="0" w:color="auto"/>
        <w:bottom w:val="none" w:sz="0" w:space="0" w:color="auto"/>
        <w:right w:val="none" w:sz="0" w:space="0" w:color="auto"/>
      </w:divBdr>
    </w:div>
    <w:div w:id="1332561087">
      <w:bodyDiv w:val="1"/>
      <w:marLeft w:val="0"/>
      <w:marRight w:val="0"/>
      <w:marTop w:val="0"/>
      <w:marBottom w:val="0"/>
      <w:divBdr>
        <w:top w:val="none" w:sz="0" w:space="0" w:color="auto"/>
        <w:left w:val="none" w:sz="0" w:space="0" w:color="auto"/>
        <w:bottom w:val="none" w:sz="0" w:space="0" w:color="auto"/>
        <w:right w:val="none" w:sz="0" w:space="0" w:color="auto"/>
      </w:divBdr>
    </w:div>
    <w:div w:id="1379940466">
      <w:bodyDiv w:val="1"/>
      <w:marLeft w:val="0"/>
      <w:marRight w:val="0"/>
      <w:marTop w:val="0"/>
      <w:marBottom w:val="0"/>
      <w:divBdr>
        <w:top w:val="none" w:sz="0" w:space="0" w:color="auto"/>
        <w:left w:val="none" w:sz="0" w:space="0" w:color="auto"/>
        <w:bottom w:val="none" w:sz="0" w:space="0" w:color="auto"/>
        <w:right w:val="none" w:sz="0" w:space="0" w:color="auto"/>
      </w:divBdr>
    </w:div>
    <w:div w:id="1390611719">
      <w:bodyDiv w:val="1"/>
      <w:marLeft w:val="0"/>
      <w:marRight w:val="0"/>
      <w:marTop w:val="0"/>
      <w:marBottom w:val="0"/>
      <w:divBdr>
        <w:top w:val="none" w:sz="0" w:space="0" w:color="auto"/>
        <w:left w:val="none" w:sz="0" w:space="0" w:color="auto"/>
        <w:bottom w:val="none" w:sz="0" w:space="0" w:color="auto"/>
        <w:right w:val="none" w:sz="0" w:space="0" w:color="auto"/>
      </w:divBdr>
    </w:div>
    <w:div w:id="1395929841">
      <w:bodyDiv w:val="1"/>
      <w:marLeft w:val="0"/>
      <w:marRight w:val="0"/>
      <w:marTop w:val="0"/>
      <w:marBottom w:val="0"/>
      <w:divBdr>
        <w:top w:val="none" w:sz="0" w:space="0" w:color="auto"/>
        <w:left w:val="none" w:sz="0" w:space="0" w:color="auto"/>
        <w:bottom w:val="none" w:sz="0" w:space="0" w:color="auto"/>
        <w:right w:val="none" w:sz="0" w:space="0" w:color="auto"/>
      </w:divBdr>
    </w:div>
    <w:div w:id="1440376598">
      <w:bodyDiv w:val="1"/>
      <w:marLeft w:val="0"/>
      <w:marRight w:val="0"/>
      <w:marTop w:val="0"/>
      <w:marBottom w:val="0"/>
      <w:divBdr>
        <w:top w:val="none" w:sz="0" w:space="0" w:color="auto"/>
        <w:left w:val="none" w:sz="0" w:space="0" w:color="auto"/>
        <w:bottom w:val="none" w:sz="0" w:space="0" w:color="auto"/>
        <w:right w:val="none" w:sz="0" w:space="0" w:color="auto"/>
      </w:divBdr>
    </w:div>
    <w:div w:id="1450395085">
      <w:bodyDiv w:val="1"/>
      <w:marLeft w:val="0"/>
      <w:marRight w:val="0"/>
      <w:marTop w:val="0"/>
      <w:marBottom w:val="0"/>
      <w:divBdr>
        <w:top w:val="none" w:sz="0" w:space="0" w:color="auto"/>
        <w:left w:val="none" w:sz="0" w:space="0" w:color="auto"/>
        <w:bottom w:val="none" w:sz="0" w:space="0" w:color="auto"/>
        <w:right w:val="none" w:sz="0" w:space="0" w:color="auto"/>
      </w:divBdr>
    </w:div>
    <w:div w:id="1452630820">
      <w:bodyDiv w:val="1"/>
      <w:marLeft w:val="0"/>
      <w:marRight w:val="0"/>
      <w:marTop w:val="0"/>
      <w:marBottom w:val="0"/>
      <w:divBdr>
        <w:top w:val="none" w:sz="0" w:space="0" w:color="auto"/>
        <w:left w:val="none" w:sz="0" w:space="0" w:color="auto"/>
        <w:bottom w:val="none" w:sz="0" w:space="0" w:color="auto"/>
        <w:right w:val="none" w:sz="0" w:space="0" w:color="auto"/>
      </w:divBdr>
    </w:div>
    <w:div w:id="1462112761">
      <w:bodyDiv w:val="1"/>
      <w:marLeft w:val="0"/>
      <w:marRight w:val="0"/>
      <w:marTop w:val="0"/>
      <w:marBottom w:val="0"/>
      <w:divBdr>
        <w:top w:val="none" w:sz="0" w:space="0" w:color="auto"/>
        <w:left w:val="none" w:sz="0" w:space="0" w:color="auto"/>
        <w:bottom w:val="none" w:sz="0" w:space="0" w:color="auto"/>
        <w:right w:val="none" w:sz="0" w:space="0" w:color="auto"/>
      </w:divBdr>
    </w:div>
    <w:div w:id="1467040811">
      <w:bodyDiv w:val="1"/>
      <w:marLeft w:val="0"/>
      <w:marRight w:val="0"/>
      <w:marTop w:val="0"/>
      <w:marBottom w:val="0"/>
      <w:divBdr>
        <w:top w:val="none" w:sz="0" w:space="0" w:color="auto"/>
        <w:left w:val="none" w:sz="0" w:space="0" w:color="auto"/>
        <w:bottom w:val="none" w:sz="0" w:space="0" w:color="auto"/>
        <w:right w:val="none" w:sz="0" w:space="0" w:color="auto"/>
      </w:divBdr>
    </w:div>
    <w:div w:id="1470971374">
      <w:bodyDiv w:val="1"/>
      <w:marLeft w:val="0"/>
      <w:marRight w:val="0"/>
      <w:marTop w:val="0"/>
      <w:marBottom w:val="0"/>
      <w:divBdr>
        <w:top w:val="none" w:sz="0" w:space="0" w:color="auto"/>
        <w:left w:val="none" w:sz="0" w:space="0" w:color="auto"/>
        <w:bottom w:val="none" w:sz="0" w:space="0" w:color="auto"/>
        <w:right w:val="none" w:sz="0" w:space="0" w:color="auto"/>
      </w:divBdr>
    </w:div>
    <w:div w:id="1482310629">
      <w:bodyDiv w:val="1"/>
      <w:marLeft w:val="0"/>
      <w:marRight w:val="0"/>
      <w:marTop w:val="0"/>
      <w:marBottom w:val="0"/>
      <w:divBdr>
        <w:top w:val="none" w:sz="0" w:space="0" w:color="auto"/>
        <w:left w:val="none" w:sz="0" w:space="0" w:color="auto"/>
        <w:bottom w:val="none" w:sz="0" w:space="0" w:color="auto"/>
        <w:right w:val="none" w:sz="0" w:space="0" w:color="auto"/>
      </w:divBdr>
    </w:div>
    <w:div w:id="1494101780">
      <w:bodyDiv w:val="1"/>
      <w:marLeft w:val="0"/>
      <w:marRight w:val="0"/>
      <w:marTop w:val="0"/>
      <w:marBottom w:val="0"/>
      <w:divBdr>
        <w:top w:val="none" w:sz="0" w:space="0" w:color="auto"/>
        <w:left w:val="none" w:sz="0" w:space="0" w:color="auto"/>
        <w:bottom w:val="none" w:sz="0" w:space="0" w:color="auto"/>
        <w:right w:val="none" w:sz="0" w:space="0" w:color="auto"/>
      </w:divBdr>
    </w:div>
    <w:div w:id="1499924503">
      <w:bodyDiv w:val="1"/>
      <w:marLeft w:val="0"/>
      <w:marRight w:val="0"/>
      <w:marTop w:val="0"/>
      <w:marBottom w:val="0"/>
      <w:divBdr>
        <w:top w:val="none" w:sz="0" w:space="0" w:color="auto"/>
        <w:left w:val="none" w:sz="0" w:space="0" w:color="auto"/>
        <w:bottom w:val="none" w:sz="0" w:space="0" w:color="auto"/>
        <w:right w:val="none" w:sz="0" w:space="0" w:color="auto"/>
      </w:divBdr>
    </w:div>
    <w:div w:id="1510831275">
      <w:bodyDiv w:val="1"/>
      <w:marLeft w:val="0"/>
      <w:marRight w:val="0"/>
      <w:marTop w:val="0"/>
      <w:marBottom w:val="0"/>
      <w:divBdr>
        <w:top w:val="none" w:sz="0" w:space="0" w:color="auto"/>
        <w:left w:val="none" w:sz="0" w:space="0" w:color="auto"/>
        <w:bottom w:val="none" w:sz="0" w:space="0" w:color="auto"/>
        <w:right w:val="none" w:sz="0" w:space="0" w:color="auto"/>
      </w:divBdr>
    </w:div>
    <w:div w:id="1525745521">
      <w:bodyDiv w:val="1"/>
      <w:marLeft w:val="0"/>
      <w:marRight w:val="0"/>
      <w:marTop w:val="0"/>
      <w:marBottom w:val="0"/>
      <w:divBdr>
        <w:top w:val="none" w:sz="0" w:space="0" w:color="auto"/>
        <w:left w:val="none" w:sz="0" w:space="0" w:color="auto"/>
        <w:bottom w:val="none" w:sz="0" w:space="0" w:color="auto"/>
        <w:right w:val="none" w:sz="0" w:space="0" w:color="auto"/>
      </w:divBdr>
    </w:div>
    <w:div w:id="1537541607">
      <w:bodyDiv w:val="1"/>
      <w:marLeft w:val="0"/>
      <w:marRight w:val="0"/>
      <w:marTop w:val="0"/>
      <w:marBottom w:val="0"/>
      <w:divBdr>
        <w:top w:val="none" w:sz="0" w:space="0" w:color="auto"/>
        <w:left w:val="none" w:sz="0" w:space="0" w:color="auto"/>
        <w:bottom w:val="none" w:sz="0" w:space="0" w:color="auto"/>
        <w:right w:val="none" w:sz="0" w:space="0" w:color="auto"/>
      </w:divBdr>
    </w:div>
    <w:div w:id="1566407540">
      <w:bodyDiv w:val="1"/>
      <w:marLeft w:val="0"/>
      <w:marRight w:val="0"/>
      <w:marTop w:val="0"/>
      <w:marBottom w:val="0"/>
      <w:divBdr>
        <w:top w:val="none" w:sz="0" w:space="0" w:color="auto"/>
        <w:left w:val="none" w:sz="0" w:space="0" w:color="auto"/>
        <w:bottom w:val="none" w:sz="0" w:space="0" w:color="auto"/>
        <w:right w:val="none" w:sz="0" w:space="0" w:color="auto"/>
      </w:divBdr>
    </w:div>
    <w:div w:id="1569881998">
      <w:bodyDiv w:val="1"/>
      <w:marLeft w:val="0"/>
      <w:marRight w:val="0"/>
      <w:marTop w:val="0"/>
      <w:marBottom w:val="0"/>
      <w:divBdr>
        <w:top w:val="none" w:sz="0" w:space="0" w:color="auto"/>
        <w:left w:val="none" w:sz="0" w:space="0" w:color="auto"/>
        <w:bottom w:val="none" w:sz="0" w:space="0" w:color="auto"/>
        <w:right w:val="none" w:sz="0" w:space="0" w:color="auto"/>
      </w:divBdr>
    </w:div>
    <w:div w:id="1575779828">
      <w:bodyDiv w:val="1"/>
      <w:marLeft w:val="0"/>
      <w:marRight w:val="0"/>
      <w:marTop w:val="0"/>
      <w:marBottom w:val="0"/>
      <w:divBdr>
        <w:top w:val="none" w:sz="0" w:space="0" w:color="auto"/>
        <w:left w:val="none" w:sz="0" w:space="0" w:color="auto"/>
        <w:bottom w:val="none" w:sz="0" w:space="0" w:color="auto"/>
        <w:right w:val="none" w:sz="0" w:space="0" w:color="auto"/>
      </w:divBdr>
    </w:div>
    <w:div w:id="1594586501">
      <w:bodyDiv w:val="1"/>
      <w:marLeft w:val="0"/>
      <w:marRight w:val="0"/>
      <w:marTop w:val="0"/>
      <w:marBottom w:val="0"/>
      <w:divBdr>
        <w:top w:val="none" w:sz="0" w:space="0" w:color="auto"/>
        <w:left w:val="none" w:sz="0" w:space="0" w:color="auto"/>
        <w:bottom w:val="none" w:sz="0" w:space="0" w:color="auto"/>
        <w:right w:val="none" w:sz="0" w:space="0" w:color="auto"/>
      </w:divBdr>
    </w:div>
    <w:div w:id="1619725156">
      <w:bodyDiv w:val="1"/>
      <w:marLeft w:val="0"/>
      <w:marRight w:val="0"/>
      <w:marTop w:val="0"/>
      <w:marBottom w:val="0"/>
      <w:divBdr>
        <w:top w:val="none" w:sz="0" w:space="0" w:color="auto"/>
        <w:left w:val="none" w:sz="0" w:space="0" w:color="auto"/>
        <w:bottom w:val="none" w:sz="0" w:space="0" w:color="auto"/>
        <w:right w:val="none" w:sz="0" w:space="0" w:color="auto"/>
      </w:divBdr>
    </w:div>
    <w:div w:id="1637711210">
      <w:bodyDiv w:val="1"/>
      <w:marLeft w:val="0"/>
      <w:marRight w:val="0"/>
      <w:marTop w:val="0"/>
      <w:marBottom w:val="0"/>
      <w:divBdr>
        <w:top w:val="none" w:sz="0" w:space="0" w:color="auto"/>
        <w:left w:val="none" w:sz="0" w:space="0" w:color="auto"/>
        <w:bottom w:val="none" w:sz="0" w:space="0" w:color="auto"/>
        <w:right w:val="none" w:sz="0" w:space="0" w:color="auto"/>
      </w:divBdr>
    </w:div>
    <w:div w:id="1638025694">
      <w:bodyDiv w:val="1"/>
      <w:marLeft w:val="0"/>
      <w:marRight w:val="0"/>
      <w:marTop w:val="0"/>
      <w:marBottom w:val="0"/>
      <w:divBdr>
        <w:top w:val="none" w:sz="0" w:space="0" w:color="auto"/>
        <w:left w:val="none" w:sz="0" w:space="0" w:color="auto"/>
        <w:bottom w:val="none" w:sz="0" w:space="0" w:color="auto"/>
        <w:right w:val="none" w:sz="0" w:space="0" w:color="auto"/>
      </w:divBdr>
    </w:div>
    <w:div w:id="1641572650">
      <w:bodyDiv w:val="1"/>
      <w:marLeft w:val="0"/>
      <w:marRight w:val="0"/>
      <w:marTop w:val="0"/>
      <w:marBottom w:val="0"/>
      <w:divBdr>
        <w:top w:val="none" w:sz="0" w:space="0" w:color="auto"/>
        <w:left w:val="none" w:sz="0" w:space="0" w:color="auto"/>
        <w:bottom w:val="none" w:sz="0" w:space="0" w:color="auto"/>
        <w:right w:val="none" w:sz="0" w:space="0" w:color="auto"/>
      </w:divBdr>
    </w:div>
    <w:div w:id="1649900621">
      <w:bodyDiv w:val="1"/>
      <w:marLeft w:val="0"/>
      <w:marRight w:val="0"/>
      <w:marTop w:val="0"/>
      <w:marBottom w:val="0"/>
      <w:divBdr>
        <w:top w:val="none" w:sz="0" w:space="0" w:color="auto"/>
        <w:left w:val="none" w:sz="0" w:space="0" w:color="auto"/>
        <w:bottom w:val="none" w:sz="0" w:space="0" w:color="auto"/>
        <w:right w:val="none" w:sz="0" w:space="0" w:color="auto"/>
      </w:divBdr>
    </w:div>
    <w:div w:id="1653753771">
      <w:bodyDiv w:val="1"/>
      <w:marLeft w:val="0"/>
      <w:marRight w:val="0"/>
      <w:marTop w:val="0"/>
      <w:marBottom w:val="0"/>
      <w:divBdr>
        <w:top w:val="none" w:sz="0" w:space="0" w:color="auto"/>
        <w:left w:val="none" w:sz="0" w:space="0" w:color="auto"/>
        <w:bottom w:val="none" w:sz="0" w:space="0" w:color="auto"/>
        <w:right w:val="none" w:sz="0" w:space="0" w:color="auto"/>
      </w:divBdr>
    </w:div>
    <w:div w:id="1655991316">
      <w:bodyDiv w:val="1"/>
      <w:marLeft w:val="0"/>
      <w:marRight w:val="0"/>
      <w:marTop w:val="0"/>
      <w:marBottom w:val="0"/>
      <w:divBdr>
        <w:top w:val="none" w:sz="0" w:space="0" w:color="auto"/>
        <w:left w:val="none" w:sz="0" w:space="0" w:color="auto"/>
        <w:bottom w:val="none" w:sz="0" w:space="0" w:color="auto"/>
        <w:right w:val="none" w:sz="0" w:space="0" w:color="auto"/>
      </w:divBdr>
    </w:div>
    <w:div w:id="1678270332">
      <w:bodyDiv w:val="1"/>
      <w:marLeft w:val="0"/>
      <w:marRight w:val="0"/>
      <w:marTop w:val="0"/>
      <w:marBottom w:val="0"/>
      <w:divBdr>
        <w:top w:val="none" w:sz="0" w:space="0" w:color="auto"/>
        <w:left w:val="none" w:sz="0" w:space="0" w:color="auto"/>
        <w:bottom w:val="none" w:sz="0" w:space="0" w:color="auto"/>
        <w:right w:val="none" w:sz="0" w:space="0" w:color="auto"/>
      </w:divBdr>
    </w:div>
    <w:div w:id="1733651514">
      <w:bodyDiv w:val="1"/>
      <w:marLeft w:val="0"/>
      <w:marRight w:val="0"/>
      <w:marTop w:val="0"/>
      <w:marBottom w:val="0"/>
      <w:divBdr>
        <w:top w:val="none" w:sz="0" w:space="0" w:color="auto"/>
        <w:left w:val="none" w:sz="0" w:space="0" w:color="auto"/>
        <w:bottom w:val="none" w:sz="0" w:space="0" w:color="auto"/>
        <w:right w:val="none" w:sz="0" w:space="0" w:color="auto"/>
      </w:divBdr>
    </w:div>
    <w:div w:id="1790120069">
      <w:bodyDiv w:val="1"/>
      <w:marLeft w:val="0"/>
      <w:marRight w:val="0"/>
      <w:marTop w:val="0"/>
      <w:marBottom w:val="0"/>
      <w:divBdr>
        <w:top w:val="none" w:sz="0" w:space="0" w:color="auto"/>
        <w:left w:val="none" w:sz="0" w:space="0" w:color="auto"/>
        <w:bottom w:val="none" w:sz="0" w:space="0" w:color="auto"/>
        <w:right w:val="none" w:sz="0" w:space="0" w:color="auto"/>
      </w:divBdr>
    </w:div>
    <w:div w:id="1793016686">
      <w:bodyDiv w:val="1"/>
      <w:marLeft w:val="0"/>
      <w:marRight w:val="0"/>
      <w:marTop w:val="0"/>
      <w:marBottom w:val="0"/>
      <w:divBdr>
        <w:top w:val="none" w:sz="0" w:space="0" w:color="auto"/>
        <w:left w:val="none" w:sz="0" w:space="0" w:color="auto"/>
        <w:bottom w:val="none" w:sz="0" w:space="0" w:color="auto"/>
        <w:right w:val="none" w:sz="0" w:space="0" w:color="auto"/>
      </w:divBdr>
    </w:div>
    <w:div w:id="1816488154">
      <w:bodyDiv w:val="1"/>
      <w:marLeft w:val="0"/>
      <w:marRight w:val="0"/>
      <w:marTop w:val="0"/>
      <w:marBottom w:val="0"/>
      <w:divBdr>
        <w:top w:val="none" w:sz="0" w:space="0" w:color="auto"/>
        <w:left w:val="none" w:sz="0" w:space="0" w:color="auto"/>
        <w:bottom w:val="none" w:sz="0" w:space="0" w:color="auto"/>
        <w:right w:val="none" w:sz="0" w:space="0" w:color="auto"/>
      </w:divBdr>
    </w:div>
    <w:div w:id="1834641522">
      <w:bodyDiv w:val="1"/>
      <w:marLeft w:val="0"/>
      <w:marRight w:val="0"/>
      <w:marTop w:val="0"/>
      <w:marBottom w:val="0"/>
      <w:divBdr>
        <w:top w:val="none" w:sz="0" w:space="0" w:color="auto"/>
        <w:left w:val="none" w:sz="0" w:space="0" w:color="auto"/>
        <w:bottom w:val="none" w:sz="0" w:space="0" w:color="auto"/>
        <w:right w:val="none" w:sz="0" w:space="0" w:color="auto"/>
      </w:divBdr>
    </w:div>
    <w:div w:id="1870682207">
      <w:bodyDiv w:val="1"/>
      <w:marLeft w:val="0"/>
      <w:marRight w:val="0"/>
      <w:marTop w:val="0"/>
      <w:marBottom w:val="0"/>
      <w:divBdr>
        <w:top w:val="none" w:sz="0" w:space="0" w:color="auto"/>
        <w:left w:val="none" w:sz="0" w:space="0" w:color="auto"/>
        <w:bottom w:val="none" w:sz="0" w:space="0" w:color="auto"/>
        <w:right w:val="none" w:sz="0" w:space="0" w:color="auto"/>
      </w:divBdr>
    </w:div>
    <w:div w:id="1892039537">
      <w:bodyDiv w:val="1"/>
      <w:marLeft w:val="0"/>
      <w:marRight w:val="0"/>
      <w:marTop w:val="0"/>
      <w:marBottom w:val="0"/>
      <w:divBdr>
        <w:top w:val="none" w:sz="0" w:space="0" w:color="auto"/>
        <w:left w:val="none" w:sz="0" w:space="0" w:color="auto"/>
        <w:bottom w:val="none" w:sz="0" w:space="0" w:color="auto"/>
        <w:right w:val="none" w:sz="0" w:space="0" w:color="auto"/>
      </w:divBdr>
    </w:div>
    <w:div w:id="1900744776">
      <w:bodyDiv w:val="1"/>
      <w:marLeft w:val="0"/>
      <w:marRight w:val="0"/>
      <w:marTop w:val="0"/>
      <w:marBottom w:val="0"/>
      <w:divBdr>
        <w:top w:val="none" w:sz="0" w:space="0" w:color="auto"/>
        <w:left w:val="none" w:sz="0" w:space="0" w:color="auto"/>
        <w:bottom w:val="none" w:sz="0" w:space="0" w:color="auto"/>
        <w:right w:val="none" w:sz="0" w:space="0" w:color="auto"/>
      </w:divBdr>
    </w:div>
    <w:div w:id="1940330504">
      <w:bodyDiv w:val="1"/>
      <w:marLeft w:val="0"/>
      <w:marRight w:val="0"/>
      <w:marTop w:val="0"/>
      <w:marBottom w:val="0"/>
      <w:divBdr>
        <w:top w:val="none" w:sz="0" w:space="0" w:color="auto"/>
        <w:left w:val="none" w:sz="0" w:space="0" w:color="auto"/>
        <w:bottom w:val="none" w:sz="0" w:space="0" w:color="auto"/>
        <w:right w:val="none" w:sz="0" w:space="0" w:color="auto"/>
      </w:divBdr>
    </w:div>
    <w:div w:id="1940989589">
      <w:bodyDiv w:val="1"/>
      <w:marLeft w:val="0"/>
      <w:marRight w:val="0"/>
      <w:marTop w:val="0"/>
      <w:marBottom w:val="0"/>
      <w:divBdr>
        <w:top w:val="none" w:sz="0" w:space="0" w:color="auto"/>
        <w:left w:val="none" w:sz="0" w:space="0" w:color="auto"/>
        <w:bottom w:val="none" w:sz="0" w:space="0" w:color="auto"/>
        <w:right w:val="none" w:sz="0" w:space="0" w:color="auto"/>
      </w:divBdr>
    </w:div>
    <w:div w:id="1943218153">
      <w:bodyDiv w:val="1"/>
      <w:marLeft w:val="0"/>
      <w:marRight w:val="0"/>
      <w:marTop w:val="0"/>
      <w:marBottom w:val="0"/>
      <w:divBdr>
        <w:top w:val="none" w:sz="0" w:space="0" w:color="auto"/>
        <w:left w:val="none" w:sz="0" w:space="0" w:color="auto"/>
        <w:bottom w:val="none" w:sz="0" w:space="0" w:color="auto"/>
        <w:right w:val="none" w:sz="0" w:space="0" w:color="auto"/>
      </w:divBdr>
    </w:div>
    <w:div w:id="1965116189">
      <w:bodyDiv w:val="1"/>
      <w:marLeft w:val="0"/>
      <w:marRight w:val="0"/>
      <w:marTop w:val="0"/>
      <w:marBottom w:val="0"/>
      <w:divBdr>
        <w:top w:val="none" w:sz="0" w:space="0" w:color="auto"/>
        <w:left w:val="none" w:sz="0" w:space="0" w:color="auto"/>
        <w:bottom w:val="none" w:sz="0" w:space="0" w:color="auto"/>
        <w:right w:val="none" w:sz="0" w:space="0" w:color="auto"/>
      </w:divBdr>
    </w:div>
    <w:div w:id="1987202680">
      <w:bodyDiv w:val="1"/>
      <w:marLeft w:val="0"/>
      <w:marRight w:val="0"/>
      <w:marTop w:val="0"/>
      <w:marBottom w:val="0"/>
      <w:divBdr>
        <w:top w:val="none" w:sz="0" w:space="0" w:color="auto"/>
        <w:left w:val="none" w:sz="0" w:space="0" w:color="auto"/>
        <w:bottom w:val="none" w:sz="0" w:space="0" w:color="auto"/>
        <w:right w:val="none" w:sz="0" w:space="0" w:color="auto"/>
      </w:divBdr>
    </w:div>
    <w:div w:id="1997224357">
      <w:bodyDiv w:val="1"/>
      <w:marLeft w:val="0"/>
      <w:marRight w:val="0"/>
      <w:marTop w:val="0"/>
      <w:marBottom w:val="0"/>
      <w:divBdr>
        <w:top w:val="none" w:sz="0" w:space="0" w:color="auto"/>
        <w:left w:val="none" w:sz="0" w:space="0" w:color="auto"/>
        <w:bottom w:val="none" w:sz="0" w:space="0" w:color="auto"/>
        <w:right w:val="none" w:sz="0" w:space="0" w:color="auto"/>
      </w:divBdr>
    </w:div>
    <w:div w:id="2048410784">
      <w:bodyDiv w:val="1"/>
      <w:marLeft w:val="0"/>
      <w:marRight w:val="0"/>
      <w:marTop w:val="0"/>
      <w:marBottom w:val="0"/>
      <w:divBdr>
        <w:top w:val="none" w:sz="0" w:space="0" w:color="auto"/>
        <w:left w:val="none" w:sz="0" w:space="0" w:color="auto"/>
        <w:bottom w:val="none" w:sz="0" w:space="0" w:color="auto"/>
        <w:right w:val="none" w:sz="0" w:space="0" w:color="auto"/>
      </w:divBdr>
    </w:div>
    <w:div w:id="2050570406">
      <w:bodyDiv w:val="1"/>
      <w:marLeft w:val="0"/>
      <w:marRight w:val="0"/>
      <w:marTop w:val="0"/>
      <w:marBottom w:val="0"/>
      <w:divBdr>
        <w:top w:val="none" w:sz="0" w:space="0" w:color="auto"/>
        <w:left w:val="none" w:sz="0" w:space="0" w:color="auto"/>
        <w:bottom w:val="none" w:sz="0" w:space="0" w:color="auto"/>
        <w:right w:val="none" w:sz="0" w:space="0" w:color="auto"/>
      </w:divBdr>
    </w:div>
    <w:div w:id="2143495628">
      <w:bodyDiv w:val="1"/>
      <w:marLeft w:val="0"/>
      <w:marRight w:val="0"/>
      <w:marTop w:val="0"/>
      <w:marBottom w:val="0"/>
      <w:divBdr>
        <w:top w:val="none" w:sz="0" w:space="0" w:color="auto"/>
        <w:left w:val="none" w:sz="0" w:space="0" w:color="auto"/>
        <w:bottom w:val="none" w:sz="0" w:space="0" w:color="auto"/>
        <w:right w:val="none" w:sz="0" w:space="0" w:color="auto"/>
      </w:divBdr>
    </w:div>
    <w:div w:id="2145273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Sheet1!$B$2</c:f>
              <c:strCache>
                <c:ptCount val="1"/>
                <c:pt idx="0">
                  <c:v>Bottom </c:v>
                </c:pt>
              </c:strCache>
            </c:strRef>
          </c:tx>
          <c:spPr>
            <a:solidFill>
              <a:schemeClr val="accent3">
                <a:shade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Sheet1!$A$11:$A$13</c:f>
              <c:strCache>
                <c:ptCount val="3"/>
                <c:pt idx="0">
                  <c:v>Roosendaal</c:v>
                </c:pt>
                <c:pt idx="1">
                  <c:v>Rotterdam</c:v>
                </c:pt>
                <c:pt idx="2">
                  <c:v>Rozendaal</c:v>
                </c:pt>
              </c:strCache>
            </c:strRef>
          </c:cat>
          <c:val>
            <c:numRef>
              <c:f>Sheet1!$B$11:$B$13</c:f>
              <c:numCache>
                <c:formatCode>General</c:formatCode>
                <c:ptCount val="3"/>
                <c:pt idx="0">
                  <c:v>19</c:v>
                </c:pt>
                <c:pt idx="1">
                  <c:v>36</c:v>
                </c:pt>
                <c:pt idx="2">
                  <c:v>6</c:v>
                </c:pt>
              </c:numCache>
            </c:numRef>
          </c:val>
          <c:extLst>
            <c:ext xmlns:c16="http://schemas.microsoft.com/office/drawing/2014/chart" uri="{C3380CC4-5D6E-409C-BE32-E72D297353CC}">
              <c16:uniqueId val="{00000000-6B6A-4FB9-A3D4-F88CA035BA43}"/>
            </c:ext>
          </c:extLst>
        </c:ser>
        <c:ser>
          <c:idx val="1"/>
          <c:order val="1"/>
          <c:tx>
            <c:strRef>
              <c:f>Sheet1!$C$2</c:f>
              <c:strCache>
                <c:ptCount val="1"/>
                <c:pt idx="0">
                  <c:v>2nd quintile</c:v>
                </c:pt>
              </c:strCache>
            </c:strRef>
          </c:tx>
          <c:spPr>
            <a:solidFill>
              <a:schemeClr val="accent3">
                <a:shade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Sheet1!$A$11:$A$13</c:f>
              <c:strCache>
                <c:ptCount val="3"/>
                <c:pt idx="0">
                  <c:v>Roosendaal</c:v>
                </c:pt>
                <c:pt idx="1">
                  <c:v>Rotterdam</c:v>
                </c:pt>
                <c:pt idx="2">
                  <c:v>Rozendaal</c:v>
                </c:pt>
              </c:strCache>
            </c:strRef>
          </c:cat>
          <c:val>
            <c:numRef>
              <c:f>Sheet1!$C$11:$C$13</c:f>
              <c:numCache>
                <c:formatCode>General</c:formatCode>
                <c:ptCount val="3"/>
                <c:pt idx="0">
                  <c:v>19</c:v>
                </c:pt>
                <c:pt idx="1">
                  <c:v>25</c:v>
                </c:pt>
                <c:pt idx="2">
                  <c:v>5</c:v>
                </c:pt>
              </c:numCache>
            </c:numRef>
          </c:val>
          <c:extLst>
            <c:ext xmlns:c16="http://schemas.microsoft.com/office/drawing/2014/chart" uri="{C3380CC4-5D6E-409C-BE32-E72D297353CC}">
              <c16:uniqueId val="{00000001-6B6A-4FB9-A3D4-F88CA035BA43}"/>
            </c:ext>
          </c:extLst>
        </c:ser>
        <c:ser>
          <c:idx val="2"/>
          <c:order val="2"/>
          <c:tx>
            <c:strRef>
              <c:f>Sheet1!$D$2</c:f>
              <c:strCache>
                <c:ptCount val="1"/>
                <c:pt idx="0">
                  <c:v>3rd quintile</c:v>
                </c:pt>
              </c:strCache>
            </c:strRef>
          </c:tx>
          <c:spPr>
            <a:solidFill>
              <a:schemeClr val="accent3">
                <a:shade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Sheet1!$A$11:$A$13</c:f>
              <c:strCache>
                <c:ptCount val="3"/>
                <c:pt idx="0">
                  <c:v>Roosendaal</c:v>
                </c:pt>
                <c:pt idx="1">
                  <c:v>Rotterdam</c:v>
                </c:pt>
                <c:pt idx="2">
                  <c:v>Rozendaal</c:v>
                </c:pt>
              </c:strCache>
            </c:strRef>
          </c:cat>
          <c:val>
            <c:numRef>
              <c:f>Sheet1!$D$11:$D$13</c:f>
              <c:numCache>
                <c:formatCode>General</c:formatCode>
                <c:ptCount val="3"/>
                <c:pt idx="0">
                  <c:v>23</c:v>
                </c:pt>
                <c:pt idx="1">
                  <c:v>17</c:v>
                </c:pt>
                <c:pt idx="2">
                  <c:v>11</c:v>
                </c:pt>
              </c:numCache>
            </c:numRef>
          </c:val>
          <c:extLst>
            <c:ext xmlns:c16="http://schemas.microsoft.com/office/drawing/2014/chart" uri="{C3380CC4-5D6E-409C-BE32-E72D297353CC}">
              <c16:uniqueId val="{00000002-6B6A-4FB9-A3D4-F88CA035BA43}"/>
            </c:ext>
          </c:extLst>
        </c:ser>
        <c:ser>
          <c:idx val="3"/>
          <c:order val="3"/>
          <c:tx>
            <c:strRef>
              <c:f>Sheet1!$E$2</c:f>
              <c:strCache>
                <c:ptCount val="1"/>
                <c:pt idx="0">
                  <c:v>4th quintile</c:v>
                </c:pt>
              </c:strCache>
            </c:strRef>
          </c:tx>
          <c:spPr>
            <a:solidFill>
              <a:schemeClr val="accent3">
                <a:tint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Sheet1!$A$11:$A$13</c:f>
              <c:strCache>
                <c:ptCount val="3"/>
                <c:pt idx="0">
                  <c:v>Roosendaal</c:v>
                </c:pt>
                <c:pt idx="1">
                  <c:v>Rotterdam</c:v>
                </c:pt>
                <c:pt idx="2">
                  <c:v>Rozendaal</c:v>
                </c:pt>
              </c:strCache>
            </c:strRef>
          </c:cat>
          <c:val>
            <c:numRef>
              <c:f>Sheet1!$E$11:$E$13</c:f>
              <c:numCache>
                <c:formatCode>General</c:formatCode>
                <c:ptCount val="3"/>
                <c:pt idx="0">
                  <c:v>21</c:v>
                </c:pt>
                <c:pt idx="1">
                  <c:v>12</c:v>
                </c:pt>
                <c:pt idx="2">
                  <c:v>21</c:v>
                </c:pt>
              </c:numCache>
            </c:numRef>
          </c:val>
          <c:extLst>
            <c:ext xmlns:c16="http://schemas.microsoft.com/office/drawing/2014/chart" uri="{C3380CC4-5D6E-409C-BE32-E72D297353CC}">
              <c16:uniqueId val="{00000003-6B6A-4FB9-A3D4-F88CA035BA43}"/>
            </c:ext>
          </c:extLst>
        </c:ser>
        <c:ser>
          <c:idx val="4"/>
          <c:order val="4"/>
          <c:tx>
            <c:strRef>
              <c:f>Sheet1!$F$2</c:f>
              <c:strCache>
                <c:ptCount val="1"/>
                <c:pt idx="0">
                  <c:v>Top</c:v>
                </c:pt>
              </c:strCache>
            </c:strRef>
          </c:tx>
          <c:spPr>
            <a:solidFill>
              <a:schemeClr val="accent3">
                <a:tint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Sheet1!$A$11:$A$13</c:f>
              <c:strCache>
                <c:ptCount val="3"/>
                <c:pt idx="0">
                  <c:v>Roosendaal</c:v>
                </c:pt>
                <c:pt idx="1">
                  <c:v>Rotterdam</c:v>
                </c:pt>
                <c:pt idx="2">
                  <c:v>Rozendaal</c:v>
                </c:pt>
              </c:strCache>
            </c:strRef>
          </c:cat>
          <c:val>
            <c:numRef>
              <c:f>Sheet1!$F$11:$F$13</c:f>
              <c:numCache>
                <c:formatCode>General</c:formatCode>
                <c:ptCount val="3"/>
                <c:pt idx="0">
                  <c:v>17</c:v>
                </c:pt>
                <c:pt idx="1">
                  <c:v>10</c:v>
                </c:pt>
                <c:pt idx="2">
                  <c:v>57</c:v>
                </c:pt>
              </c:numCache>
            </c:numRef>
          </c:val>
          <c:extLst>
            <c:ext xmlns:c16="http://schemas.microsoft.com/office/drawing/2014/chart" uri="{C3380CC4-5D6E-409C-BE32-E72D297353CC}">
              <c16:uniqueId val="{00000004-6B6A-4FB9-A3D4-F88CA035BA43}"/>
            </c:ext>
          </c:extLst>
        </c:ser>
        <c:ser>
          <c:idx val="5"/>
          <c:order val="5"/>
          <c:tx>
            <c:strRef>
              <c:f>Sheet1!$G$2</c:f>
              <c:strCache>
                <c:ptCount val="1"/>
                <c:pt idx="0">
                  <c:v>Inequality Score</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Sheet1!$A$11:$A$13</c:f>
              <c:strCache>
                <c:ptCount val="3"/>
                <c:pt idx="0">
                  <c:v>Roosendaal</c:v>
                </c:pt>
                <c:pt idx="1">
                  <c:v>Rotterdam</c:v>
                </c:pt>
                <c:pt idx="2">
                  <c:v>Rozendaal</c:v>
                </c:pt>
              </c:strCache>
            </c:strRef>
          </c:cat>
          <c:val>
            <c:numRef>
              <c:f>Sheet1!$G$11:$G$13</c:f>
              <c:numCache>
                <c:formatCode>General</c:formatCode>
                <c:ptCount val="3"/>
                <c:pt idx="0">
                  <c:v>9</c:v>
                </c:pt>
                <c:pt idx="1">
                  <c:v>42</c:v>
                </c:pt>
                <c:pt idx="2">
                  <c:v>76</c:v>
                </c:pt>
              </c:numCache>
            </c:numRef>
          </c:val>
          <c:extLst>
            <c:ext xmlns:c16="http://schemas.microsoft.com/office/drawing/2014/chart" uri="{C3380CC4-5D6E-409C-BE32-E72D297353CC}">
              <c16:uniqueId val="{00000005-6B6A-4FB9-A3D4-F88CA035BA43}"/>
            </c:ext>
          </c:extLst>
        </c:ser>
        <c:dLbls>
          <c:dLblPos val="outEnd"/>
          <c:showLegendKey val="0"/>
          <c:showVal val="1"/>
          <c:showCatName val="0"/>
          <c:showSerName val="0"/>
          <c:showPercent val="0"/>
          <c:showBubbleSize val="0"/>
        </c:dLbls>
        <c:gapWidth val="219"/>
        <c:overlap val="-27"/>
        <c:axId val="1464050592"/>
        <c:axId val="1464051008"/>
      </c:barChart>
      <c:catAx>
        <c:axId val="146405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solidFill>
                <a:latin typeface="+mn-lt"/>
                <a:ea typeface="+mn-ea"/>
                <a:cs typeface="+mn-cs"/>
              </a:defRPr>
            </a:pPr>
            <a:endParaRPr lang="en-US"/>
          </a:p>
        </c:txPr>
        <c:crossAx val="1464051008"/>
        <c:crossesAt val="20"/>
        <c:auto val="1"/>
        <c:lblAlgn val="ctr"/>
        <c:lblOffset val="100"/>
        <c:noMultiLvlLbl val="0"/>
      </c:catAx>
      <c:valAx>
        <c:axId val="1464051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405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6C0A0CC12AB348A66227BFC8E0370E" ma:contentTypeVersion="8" ma:contentTypeDescription="Ein neues Dokument erstellen." ma:contentTypeScope="" ma:versionID="ea6e0703b479da8a4c64464861b100f0">
  <xsd:schema xmlns:xsd="http://www.w3.org/2001/XMLSchema" xmlns:xs="http://www.w3.org/2001/XMLSchema" xmlns:p="http://schemas.microsoft.com/office/2006/metadata/properties" xmlns:ns3="be783c85-59c0-43da-bec5-234908fc9de5" xmlns:ns4="d14b8d56-fe41-453a-87ce-c0324d48f970" targetNamespace="http://schemas.microsoft.com/office/2006/metadata/properties" ma:root="true" ma:fieldsID="201d19271d71e55fe2cfdbe92669d446" ns3:_="" ns4:_="">
    <xsd:import namespace="be783c85-59c0-43da-bec5-234908fc9de5"/>
    <xsd:import namespace="d14b8d56-fe41-453a-87ce-c0324d48f9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83c85-59c0-43da-bec5-234908fc9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4b8d56-fe41-453a-87ce-c0324d48f970"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e783c85-59c0-43da-bec5-234908fc9d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Cat18</b:Tag>
    <b:SourceType>DocumentFromInternetSite</b:SourceType>
    <b:Guid>{C7FC1566-09C1-46F1-968B-BE132C09F413}</b:Guid>
    <b:Title>Obama on wealth inequality: 'There's only so much you can eat. There's only so big a house you can have.'</b:Title>
    <b:Year>2018</b:Year>
    <b:Month>July</b:Month>
    <b:Day>18</b:Day>
    <b:Author>
      <b:Author>
        <b:NameList>
          <b:Person>
            <b:Last>Clifford</b:Last>
            <b:First>Catherine</b:First>
          </b:Person>
        </b:NameList>
      </b:Author>
    </b:Author>
    <b:InternetSiteTitle>CNBC</b:InternetSiteTitle>
    <b:URL>https://www.cnbc.com/2018/07/18/barack-obama-on-wealth-inequality-only-so-much-you-can-eat.html</b:URL>
    <b:RefOrder>1</b:RefOrder>
  </b:Source>
  <b:Source>
    <b:Tag>Cam14</b:Tag>
    <b:SourceType>Report</b:SourceType>
    <b:Guid>{8A369AC3-548C-4F75-9068-7DA4B8EC01E4}</b:Guid>
    <b:Author>
      <b:Author>
        <b:NameList>
          <b:Person>
            <b:Last>Caminada</b:Last>
            <b:First>Koen</b:First>
          </b:Person>
          <b:Person>
            <b:Last>Been</b:Last>
            <b:First>Jim</b:First>
          </b:Person>
          <b:Person>
            <b:Last>Goudswaard</b:Last>
            <b:First>Kees</b:First>
          </b:Person>
          <b:Person>
            <b:Last>Graaf-Zijl</b:Last>
            <b:First>Marloes</b:First>
            <b:Middle>de</b:Middle>
          </b:Person>
        </b:NameList>
      </b:Author>
    </b:Author>
    <b:Title>De ontwikkeling van inkomensongelijkheid en inkomensherverdeling in Nederland 1990-2012</b:Title>
    <b:Year>2014</b:Year>
    <b:Publisher>Leiden University</b:Publisher>
    <b:City>Leiden</b:City>
    <b:RefOrder>2</b:RefOrder>
  </b:Source>
  <b:Source>
    <b:Tag>Wor22</b:Tag>
    <b:SourceType>InternetSite</b:SourceType>
    <b:Guid>{0F0BB00E-7616-4E1C-A074-F76E0B69EAAF}</b:Guid>
    <b:Title>Gini index of post-tax national income, Netherlands, 1980-2021</b:Title>
    <b:Year>2022</b:Year>
    <b:Author>
      <b:Author>
        <b:Corporate>World Inequality Database</b:Corporate>
      </b:Author>
    </b:Author>
    <b:InternetSiteTitle>World Inequality Database </b:InternetSiteTitle>
    <b:URL>https://wid.world/country/netherlands/</b:URL>
    <b:RefOrder>3</b:RefOrder>
  </b:Source>
  <b:Source>
    <b:Tag>Wor5</b:Tag>
    <b:SourceType>DocumentFromInternetSite</b:SourceType>
    <b:Guid>{6B1F76B5-7ECB-4F0F-9335-95475B293249}</b:Guid>
    <b:Author>
      <b:Author>
        <b:Corporate>World Inequality Database</b:Corporate>
      </b:Author>
    </b:Author>
    <b:Title>Norway</b:Title>
    <b:InternetSiteTitle>World Income Inequality Database</b:InternetSiteTitle>
    <b:URL>https://wid.world/country/norway/</b:URL>
    <b:RefOrder>4</b:RefOrder>
  </b:Source>
  <b:Source>
    <b:Tag>Cen191</b:Tag>
    <b:SourceType>DocumentFromInternetSite</b:SourceType>
    <b:Guid>{A88AD6CF-5507-4161-A253-0AAA1B4D070E}</b:Guid>
    <b:Title>Ongelijkheid in Inkomen en Vermogen</b:Title>
    <b:Year>2019</b:Year>
    <b:Author>
      <b:Author>
        <b:Corporate>Centraal Bureau van Statistiek</b:Corporate>
      </b:Author>
    </b:Author>
    <b:InternetSiteTitle>Centraal Bureau van Statistiek</b:InternetSiteTitle>
    <b:URL>https://longreads.cbs.nl/welvaartinnederland-2019/ongelijkheid-in-inkomen-en-vermogen/</b:URL>
    <b:RefOrder>5</b:RefOrder>
  </b:Source>
  <b:Source>
    <b:Tag>Sta21</b:Tag>
    <b:SourceType>ElectronicSource</b:SourceType>
    <b:Guid>{0D565EBD-2726-4319-8EE7-91636CF22A8D}</b:Guid>
    <b:Author>
      <b:Author>
        <b:Corporate>StataCorp LLC</b:Corporate>
      </b:Author>
    </b:Author>
    <b:Title>Stata Statistical Software: Release 17</b:Title>
    <b:City>College Station</b:City>
    <b:StateProvince>Texas </b:StateProvince>
    <b:CountryRegion>United States of America</b:CountryRegion>
    <b:Year>2021</b:Year>
    <b:RefOrder>14</b:RefOrder>
  </b:Source>
  <b:Source>
    <b:Tag>IBM19</b:Tag>
    <b:SourceType>ElectronicSource</b:SourceType>
    <b:Guid>{43486B5F-D57F-4A94-895D-156B8864B228}</b:Guid>
    <b:Title>IBM SPSS Statistics for Windows, Version 26</b:Title>
    <b:Year>2019</b:Year>
    <b:Author>
      <b:Author>
        <b:Corporate>IBM Corp.</b:Corporate>
      </b:Author>
    </b:Author>
    <b:City>Armonk</b:City>
    <b:StateProvince>New York</b:StateProvince>
    <b:CountryRegion>United States of America</b:CountryRegion>
    <b:RefOrder>15</b:RefOrder>
  </b:Source>
  <b:Source>
    <b:Tag>Ott07</b:Tag>
    <b:SourceType>JournalArticle</b:SourceType>
    <b:Guid>{22D79606-E86D-4822-9A38-3B32DD058F3D}</b:Guid>
    <b:Author>
      <b:Author>
        <b:NameList>
          <b:Person>
            <b:Last>Hellevik</b:Last>
            <b:First>Ottar</b:First>
          </b:Person>
        </b:NameList>
      </b:Author>
    </b:Author>
    <b:Title>Linear versus logistic regression when the outcome is a dichotomy</b:Title>
    <b:JournalName>Quality &amp; Quantity</b:JournalName>
    <b:Year>2007</b:Year>
    <b:Pages>59-74</b:Pages>
    <b:RefOrder>16</b:RefOrder>
  </b:Source>
  <b:Source>
    <b:Tag>Yuh21</b:Tag>
    <b:SourceType>JournalArticle</b:SourceType>
    <b:Guid>{E04A6C81-8886-4EF6-A431-3852D118FC4A}</b:Guid>
    <b:Author>
      <b:Author>
        <b:NameList>
          <b:Person>
            <b:Last>Ba</b:Last>
            <b:First>Yuhao</b:First>
          </b:Person>
          <b:Person>
            <b:Last>Berrett</b:Last>
            <b:First>Jessica</b:First>
          </b:Person>
          <b:Person>
            <b:Last>Coupet</b:Last>
            <b:First>Jason</b:First>
          </b:Person>
        </b:NameList>
      </b:Author>
    </b:Author>
    <b:Title>Panel Data Analysis: A Guide for Nonprofit Studies </b:Title>
    <b:JournalName>Voluntas</b:JournalName>
    <b:Year>2021</b:Year>
    <b:RefOrder>13</b:RefOrder>
  </b:Source>
  <b:Source>
    <b:Tag>All09</b:Tag>
    <b:SourceType>Book</b:SourceType>
    <b:Guid>{7B98E69A-57F0-40FF-B211-8DF990EFE0D7}</b:Guid>
    <b:Title>Fixed Effects Regression Models</b:Title>
    <b:Year>2009</b:Year>
    <b:Author>
      <b:Author>
        <b:NameList>
          <b:Person>
            <b:Last>Allison</b:Last>
            <b:First>Paul</b:First>
            <b:Middle>D.</b:Middle>
          </b:Person>
        </b:NameList>
      </b:Author>
    </b:Author>
    <b:City>Thousand Oaks</b:City>
    <b:Publisher>Sage</b:Publisher>
    <b:RefOrder>17</b:RefOrder>
  </b:Source>
  <b:Source>
    <b:Tag>Ren171</b:Tag>
    <b:SourceType>Misc</b:SourceType>
    <b:Guid>{7281FB94-15B9-4371-86FC-B9CFF8B869CE}</b:Guid>
    <b:Title>Giving in the Netherlands Panel Survey (GINPS): 2002 - 2022 Public User File version 9</b:Title>
    <b:Year>2021</b:Year>
    <b:Author>
      <b:Author>
        <b:NameList>
          <b:Person>
            <b:Last>Bekkers</b:Last>
            <b:First>René</b:First>
          </b:Person>
          <b:Person>
            <b:Last>Schuyt</b:Last>
            <b:First>Theo</b:First>
          </b:Person>
          <b:Person>
            <b:Last>Gouwenberg</b:Last>
            <b:First>Barbara</b:First>
          </b:Person>
          <b:Person>
            <b:Last>de Wit</b:Last>
            <b:First>Arjen</b:First>
          </b:Person>
          <b:Person>
            <b:Last>van Teunenbroek</b:Last>
            <b:First>Claire</b:First>
          </b:Person>
        </b:NameList>
      </b:Author>
    </b:Author>
    <b:Publisher>Center for Philanthropic Studies, Vrije Universiteit (VU)</b:Publisher>
    <b:City>Amsterdam</b:City>
    <b:RefOrder>6</b:RefOrder>
  </b:Source>
  <b:Source>
    <b:Tag>Cen22</b:Tag>
    <b:SourceType>DocumentFromInternetSite</b:SourceType>
    <b:Guid>{F4C6A4DB-E654-4F8B-8D58-867A222FBC7F}</b:Guid>
    <b:Title>Regionale Kerncijfers Nederland</b:Title>
    <b:InternetSiteTitle>CBS Open data Statline</b:InternetSiteTitle>
    <b:Year>2022</b:Year>
    <b:Month>June</b:Month>
    <b:Day>10</b:Day>
    <b:URL>https://opendata.cbs.nl/statline/portal.html?_la=nl&amp;_catalog=CBS&amp;tableId=70072ned&amp;_theme=235</b:URL>
    <b:Author>
      <b:Author>
        <b:Corporate>Centraal Bureau voor Statistiek</b:Corporate>
      </b:Author>
    </b:Author>
    <b:RefOrder>7</b:RefOrder>
  </b:Source>
  <b:Source>
    <b:Tag>Cen221</b:Tag>
    <b:SourceType>InternetSite</b:SourceType>
    <b:Guid>{300BC630-9C31-461F-8D71-B29D0E2FA8AA}</b:Guid>
    <b:Title>Vermogen</b:Title>
    <b:Year>2022</b:Year>
    <b:Author>
      <b:Author>
        <b:Corporate>Centraal Bureau voor Statistiek</b:Corporate>
      </b:Author>
    </b:Author>
    <b:InternetSiteTitle>CBS</b:InternetSiteTitle>
    <b:URL>https://www.cbs.nl/nl-nl/onze-diensten/methoden/begrippen/vermogen#:~:text=Het%20saldo%20van%20bezittingen%20en,eigen%20woning%20en%20consumptief%20krediet.</b:URL>
    <b:RefOrder>8</b:RefOrder>
  </b:Source>
  <b:Source>
    <b:Tag>Chr11</b:Tag>
    <b:SourceType>JournalArticle</b:SourceType>
    <b:Guid>{6552F468-07DB-40A4-A406-B6F7A8096BF3}</b:Guid>
    <b:Title>Who volunteers? Constructing a hybrid theory</b:Title>
    <b:Year>2011</b:Year>
    <b:Author>
      <b:Author>
        <b:NameList>
          <b:Person>
            <b:Last>Einolf</b:Last>
            <b:First>Christopher</b:First>
          </b:Person>
          <b:Person>
            <b:Last>Chambré</b:Last>
            <b:First>Susan</b:First>
          </b:Person>
        </b:NameList>
      </b:Author>
    </b:Author>
    <b:JournalName>International Journal of Nonprofit and Voluntary Sector Marketing</b:JournalName>
    <b:Pages>298-310</b:Pages>
    <b:RefOrder>9</b:RefOrder>
  </b:Source>
  <b:Source>
    <b:Tag>Joh00</b:Tag>
    <b:SourceType>JournalArticle</b:SourceType>
    <b:Guid>{4E20CF3A-53C0-4325-A43A-13B4EF4F0B24}</b:Guid>
    <b:Author>
      <b:Author>
        <b:NameList>
          <b:Person>
            <b:Last>Wilson</b:Last>
            <b:First>John</b:First>
          </b:Person>
        </b:NameList>
      </b:Author>
    </b:Author>
    <b:Title>Volunteering</b:Title>
    <b:JournalName>Annual Review of Sociology</b:JournalName>
    <b:Year>2000</b:Year>
    <b:Pages>215-240</b:Pages>
    <b:RefOrder>10</b:RefOrder>
  </b:Source>
  <b:Source>
    <b:Tag>Kat15</b:Tag>
    <b:SourceType>JournalArticle</b:SourceType>
    <b:Guid>{C61E964C-B0E1-4A32-95C3-7C434664A42F}</b:Guid>
    <b:Author>
      <b:Author>
        <b:NameList>
          <b:Person>
            <b:Last>Pickett</b:Last>
            <b:First>Kate</b:First>
          </b:Person>
          <b:Person>
            <b:Last>Wilkinson</b:Last>
            <b:First>Richard</b:First>
          </b:Person>
        </b:NameList>
      </b:Author>
    </b:Author>
    <b:Title>Income inequality and health: A causal review</b:Title>
    <b:JournalName>Social Science &amp; Medicine</b:JournalName>
    <b:Year>2015</b:Year>
    <b:Pages>316-326</b:Pages>
    <b:RefOrder>11</b:RefOrder>
  </b:Source>
  <b:Source>
    <b:Tag>Ges09</b:Tag>
    <b:SourceType>JournalArticle</b:SourceType>
    <b:Guid>{F11DF29C-A71D-476D-93BA-186DC083F2A3}</b:Guid>
    <b:Author>
      <b:Author>
        <b:NameList>
          <b:Person>
            <b:Last>Gesthuizen</b:Last>
            <b:First>Maurice</b:First>
          </b:Person>
          <b:Person>
            <b:Last>van der Meer</b:Last>
            <b:First>Tom</b:First>
          </b:Person>
          <b:Person>
            <b:Last>Scheepers</b:Last>
            <b:First>Peer</b:First>
          </b:Person>
        </b:NameList>
      </b:Author>
    </b:Author>
    <b:Title>Ethnic Diversity and Social Capital in Europe: Tests of Putnam's Thesis in European Countries</b:Title>
    <b:JournalName>Nordic Political Science Association</b:JournalName>
    <b:Year>2009</b:Year>
    <b:Pages>121-142</b:Pages>
    <b:RefOrder>12</b:RefOrder>
  </b:Source>
  <b:Source>
    <b:Tag>Tho02</b:Tag>
    <b:SourceType>JournalArticle</b:SourceType>
    <b:Guid>{DEDA7DA9-97B6-4B8F-B2F4-5CD65E164F95}</b:Guid>
    <b:Title>Economic inequality and its socioeconomic impact</b:Title>
    <b:Year>2002</b:Year>
    <b:Author>
      <b:Author>
        <b:NameList>
          <b:Person>
            <b:Last>Thorbecke</b:Last>
            <b:First>E</b:First>
          </b:Person>
          <b:Person>
            <b:Last>Charumilind</b:Last>
            <b:First>C</b:First>
          </b:Person>
        </b:NameList>
      </b:Author>
    </b:Author>
    <b:JournalName>World Development </b:JournalName>
    <b:Pages>1477-1495</b:Pages>
    <b:RefOrder>18</b:RefOrder>
  </b:Source>
  <b:Source>
    <b:Tag>Bla82</b:Tag>
    <b:SourceType>JournalArticle</b:SourceType>
    <b:Guid>{77C42A91-FB9A-4A47-B63C-565F12699AB6}</b:Guid>
    <b:Author>
      <b:Author>
        <b:NameList>
          <b:Person>
            <b:Last>Blau</b:Last>
          </b:Person>
          <b:Person>
            <b:Last>Blau</b:Last>
          </b:Person>
        </b:NameList>
      </b:Author>
    </b:Author>
    <b:Title>The Cost of Inequality: Metropolitan Structure and Violent Crime</b:Title>
    <b:JournalName>American Sociological Review</b:JournalName>
    <b:Year>1982</b:Year>
    <b:Pages>114-129</b:Pages>
    <b:RefOrder>19</b:RefOrder>
  </b:Source>
  <b:Source>
    <b:Tag>Kan16</b:Tag>
    <b:SourceType>JournalArticle</b:SourceType>
    <b:Guid>{7C49BDC6-9BBB-46AD-B161-6A5108C935D1}</b:Guid>
    <b:Author>
      <b:Author>
        <b:NameList>
          <b:Person>
            <b:Last>Kang</b:Last>
          </b:Person>
        </b:NameList>
      </b:Author>
    </b:Author>
    <b:Title>Inequality and crime revisited: effects of local inequality and economic segregation on crime</b:Title>
    <b:JournalName>Journal of Population Economics</b:JournalName>
    <b:Year>2016</b:Year>
    <b:Pages>593-626</b:Pages>
    <b:RefOrder>20</b:RefOrder>
  </b:Source>
  <b:Source>
    <b:Tag>Pic15</b:Tag>
    <b:SourceType>JournalArticle</b:SourceType>
    <b:Guid>{2366701B-A085-404E-9109-A3FEA4DBED7F}</b:Guid>
    <b:Author>
      <b:Author>
        <b:NameList>
          <b:Person>
            <b:Last>Picket</b:Last>
          </b:Person>
          <b:Person>
            <b:Last>Wilkinson</b:Last>
          </b:Person>
        </b:NameList>
      </b:Author>
    </b:Author>
    <b:Title>Income inequality and health: A causal review</b:Title>
    <b:JournalName>Social Science and Medicine</b:JournalName>
    <b:Year>2015</b:Year>
    <b:Pages>316-326</b:Pages>
    <b:RefOrder>21</b:RefOrder>
  </b:Source>
  <b:Source>
    <b:Tag>Sol08</b:Tag>
    <b:SourceType>JournalArticle</b:SourceType>
    <b:Guid>{666DB8B3-93A0-4AD4-A84F-ADC31AAC7D27}</b:Guid>
    <b:Author>
      <b:Author>
        <b:NameList>
          <b:Person>
            <b:Last>Solt</b:Last>
          </b:Person>
        </b:NameList>
      </b:Author>
    </b:Author>
    <b:Title>Economic inequality and democratic political engagement</b:Title>
    <b:JournalName>American Journal of Political Science</b:JournalName>
    <b:Year>2008</b:Year>
    <b:Pages>48-60</b:Pages>
    <b:RefOrder>22</b:RefOrder>
  </b:Source>
  <b:Source>
    <b:Tag>Usl05</b:Tag>
    <b:SourceType>JournalArticle</b:SourceType>
    <b:Guid>{77EAF803-1EDC-4AAE-A7DC-8ECCB1D566E5}</b:Guid>
    <b:Author>
      <b:Author>
        <b:NameList>
          <b:Person>
            <b:Last>Uslaner</b:Last>
          </b:Person>
          <b:Person>
            <b:Last>Brown</b:Last>
          </b:Person>
        </b:NameList>
      </b:Author>
    </b:Author>
    <b:Title>Inequality, trust, and civic engagement</b:Title>
    <b:JournalName>American Politics Research</b:JournalName>
    <b:Year>2005</b:Year>
    <b:Pages>868-894</b:Pages>
    <b:RefOrder>23</b:RefOrder>
  </b:Source>
  <b:Source>
    <b:Tag>Ale00</b:Tag>
    <b:SourceType>JournalArticle</b:SourceType>
    <b:Guid>{5B66CE0C-B36C-4333-A7BC-65318CF62576}</b:Guid>
    <b:Title>Participation in Heterogeneous Communities</b:Title>
    <b:JournalName>The Quarterly Journal of Economics</b:JournalName>
    <b:Year>2000</b:Year>
    <b:Author>
      <b:Author>
        <b:NameList>
          <b:Person>
            <b:Last>Alesina</b:Last>
          </b:Person>
          <b:Person>
            <b:Last>Ferrara</b:Last>
            <b:First>La</b:First>
          </b:Person>
        </b:NameList>
      </b:Author>
    </b:Author>
    <b:RefOrder>24</b:RefOrder>
  </b:Source>
  <b:Source>
    <b:Tag>Kar13</b:Tag>
    <b:SourceType>JournalArticle</b:SourceType>
    <b:Guid>{E41D1010-72B0-427C-8654-DDFBE9353011}</b:Guid>
    <b:Title>Economic inequality and its asymmetric effect on civic engagement: Evidence from post-communist countries</b:Title>
    <b:JournalName>European Political Science Review</b:JournalName>
    <b:Year>2013</b:Year>
    <b:Pages>197-223</b:Pages>
    <b:Author>
      <b:Author>
        <b:NameList>
          <b:Person>
            <b:Last>Karakoc</b:Last>
          </b:Person>
        </b:NameList>
      </b:Author>
    </b:Author>
    <b:RefOrder>25</b:RefOrder>
  </b:Source>
  <b:Source>
    <b:Tag>Fil18</b:Tag>
    <b:SourceType>JournalArticle</b:SourceType>
    <b:Guid>{BB9DBD56-E498-48BC-A792-41229A876971}</b:Guid>
    <b:Author>
      <b:Author>
        <b:NameList>
          <b:Person>
            <b:Last>Filetti</b:Last>
          </b:Person>
          <b:Person>
            <b:Last>Janmaat</b:Last>
          </b:Person>
        </b:NameList>
      </b:Author>
    </b:Author>
    <b:Title>Income inequality and economic downturn in Europe: A multilevel analysis of their consequences for political participation</b:Title>
    <b:JournalName>Acta Politica</b:JournalName>
    <b:Year>2018</b:Year>
    <b:Pages>327-347</b:Pages>
    <b:RefOrder>26</b:RefOrder>
  </b:Source>
  <b:Source>
    <b:Tag>Lyn00</b:Tag>
    <b:SourceType>JournalArticle</b:SourceType>
    <b:Guid>{D4B8CAFE-E010-4D53-A792-E79934371FC2}</b:Guid>
    <b:Author>
      <b:Author>
        <b:NameList>
          <b:Person>
            <b:Last>Lynch</b:Last>
          </b:Person>
          <b:Person>
            <b:Last>Smith</b:Last>
          </b:Person>
          <b:Person>
            <b:Last>Kaplan</b:Last>
          </b:Person>
          <b:Person>
            <b:Last>House</b:Last>
          </b:Person>
        </b:NameList>
      </b:Author>
    </b:Author>
    <b:Title>Income inequality and mortality: Importance to health of individual income, psychosocial environment, or material conditions</b:Title>
    <b:JournalName>British Medical Journal </b:JournalName>
    <b:Year>2000</b:Year>
    <b:Pages>1200-1204</b:Pages>
    <b:RefOrder>27</b:RefOrder>
  </b:Source>
  <b:Source>
    <b:Tag>Lan12</b:Tag>
    <b:SourceType>JournalArticle</b:SourceType>
    <b:Guid>{9DC8B23C-F639-46D6-BE73-A1CDE439E88A}</b:Guid>
    <b:Author>
      <b:Author>
        <b:NameList>
          <b:Person>
            <b:Last>Lancee</b:Last>
          </b:Person>
          <b:Person>
            <b:Last>Werfhorst</b:Last>
            <b:First>van</b:First>
            <b:Middle>der</b:Middle>
          </b:Person>
        </b:NameList>
      </b:Author>
    </b:Author>
    <b:Title>Income inequality and participation: A comparison of 24 European countries</b:Title>
    <b:JournalName>Social Science Research</b:JournalName>
    <b:Year>2012</b:Year>
    <b:Pages>1166-1178</b:Pages>
    <b:RefOrder>28</b:RefOrder>
  </b:Source>
  <b:Source>
    <b:Tag>Vea17</b:Tag>
    <b:SourceType>JournalArticle</b:SourceType>
    <b:Guid>{47E551B3-5FB7-4FC0-BBF0-DF32556F2867}</b:Guid>
    <b:Author>
      <b:Author>
        <b:NameList>
          <b:Person>
            <b:Last>Veal</b:Last>
          </b:Person>
          <b:Person>
            <b:Last>Nichols</b:Last>
          </b:Person>
        </b:NameList>
      </b:Author>
    </b:Author>
    <b:Title>Volunteering and Income Inequality: Cross-National Relationships</b:Title>
    <b:JournalName>Voluntas</b:JournalName>
    <b:Year>2017</b:Year>
    <b:Pages>379-399</b:Pages>
    <b:RefOrder>29</b:RefOrder>
  </b:Source>
  <b:Source>
    <b:Tag>Ges08</b:Tag>
    <b:SourceType>JournalArticle</b:SourceType>
    <b:Guid>{F2FB5D94-FB25-48D8-92CF-3E40C4F809AC}</b:Guid>
    <b:Author>
      <b:Author>
        <b:NameList>
          <b:Person>
            <b:Last>Gesthuizen</b:Last>
          </b:Person>
          <b:Person>
            <b:Last>Meer</b:Last>
            <b:First>van</b:First>
            <b:Middle>der</b:Middle>
          </b:Person>
          <b:Person>
            <b:Last>Scheepers</b:Last>
          </b:Person>
        </b:NameList>
      </b:Author>
    </b:Author>
    <b:Title>Education and dimensions of social capital: Do educational effects differ due to educational expansion and social security expenditure?</b:Title>
    <b:JournalName>European Sociological Review</b:JournalName>
    <b:Year>2008</b:Year>
    <b:Pages>617-632</b:Pages>
    <b:RefOrder>30</b:RefOrder>
  </b:Source>
  <b:Source>
    <b:Tag>Eve11</b:Tag>
    <b:SourceType>JournalArticle</b:SourceType>
    <b:Guid>{07A0487A-0DD9-4FA9-83EE-7D56CB1402C9}</b:Guid>
    <b:Title>The The impact of generalized and institutional trust on donating to activist, leisure, and interest organizations: individual and contextual effects</b:Title>
    <b:JournalName>International Journal of Nonprofit and Voluntary Sector Marketing</b:JournalName>
    <b:Year>2011</b:Year>
    <b:Pages>381-392</b:Pages>
    <b:Author>
      <b:Author>
        <b:NameList>
          <b:Person>
            <b:Last>Evers</b:Last>
          </b:Person>
          <b:Person>
            <b:Last>Gesthuizen</b:Last>
          </b:Person>
        </b:NameList>
      </b:Author>
    </b:Author>
    <b:RefOrder>31</b:RefOrder>
  </b:Source>
  <b:Source>
    <b:Tag>Mas17</b:Tag>
    <b:SourceType>JournalArticle</b:SourceType>
    <b:Guid>{DB502EC9-1039-4512-A725-33098C76CD4F}</b:Guid>
    <b:Author>
      <b:Author>
        <b:NameList>
          <b:Person>
            <b:Last>Mastromatteo</b:Last>
          </b:Person>
          <b:Person>
            <b:Last>Russo</b:Last>
          </b:Person>
        </b:NameList>
      </b:Author>
    </b:Author>
    <b:Title>Inequality and Charity </b:Title>
    <b:JournalName>World Development</b:JournalName>
    <b:Year>2017</b:Year>
    <b:Pages>136-142</b:Pages>
    <b:RefOrder>32</b:RefOrder>
  </b:Source>
  <b:Source>
    <b:Tag>van05</b:Tag>
    <b:SourceType>JournalArticle</b:SourceType>
    <b:Guid>{E2DB948E-67A0-475F-B45F-61281C1F6B6D}</b:Guid>
    <b:Author>
      <b:Author>
        <b:NameList>
          <b:Person>
            <b:Last>Oorschot</b:Last>
            <b:First>van</b:First>
          </b:Person>
          <b:Person>
            <b:Last>Arts</b:Last>
          </b:Person>
        </b:NameList>
      </b:Author>
    </b:Author>
    <b:Title>The Social Capital of European welfare States: The Crowding Out Hypothesis Revisited</b:Title>
    <b:JournalName>Journal of European social policy </b:JournalName>
    <b:Year>2005</b:Year>
    <b:Pages>5-26</b:Pages>
    <b:RefOrder>33</b:RefOrder>
  </b:Source>
  <b:Source>
    <b:Tag>Rot12</b:Tag>
    <b:SourceType>JournalArticle</b:SourceType>
    <b:Guid>{BEEA8360-E95F-4DEC-B929-F87D6DDE7D61}</b:Guid>
    <b:Author>
      <b:Author>
        <b:NameList>
          <b:Person>
            <b:Last>Rothwell</b:Last>
          </b:Person>
        </b:NameList>
      </b:Author>
    </b:Author>
    <b:Title>The Effects of Racial Segregation on Trust and Volunteering in US Cities</b:Title>
    <b:JournalName>Urban Studies</b:JournalName>
    <b:Year>2012</b:Year>
    <b:Pages>2109-2136</b:Pages>
    <b:RefOrder>34</b:RefOrder>
  </b:Source>
  <b:Source>
    <b:Tag>Rot14</b:Tag>
    <b:SourceType>JournalArticle</b:SourceType>
    <b:Guid>{2F6F0F44-BCB9-4948-909E-62B380999EA7}</b:Guid>
    <b:Author>
      <b:Author>
        <b:NameList>
          <b:Person>
            <b:Last>Rotolo</b:Last>
          </b:Person>
          <b:Person>
            <b:Last>Wilson</b:Last>
          </b:Person>
        </b:NameList>
      </b:Author>
    </b:Author>
    <b:Title>Social heterogeneity and volunteering in U.S. Cities</b:Title>
    <b:JournalName>Sociological Forum</b:JournalName>
    <b:Year>2014</b:Year>
    <b:Pages>429-452</b:Pages>
    <b:RefOrder>35</b:RefOrder>
  </b:Source>
  <b:Source>
    <b:Tag>Oli10</b:Tag>
    <b:SourceType>JournalArticle</b:SourceType>
    <b:Guid>{8A79CD41-AAC1-4134-AE45-0C37C133FBB8}</b:Guid>
    <b:Author>
      <b:Author>
        <b:NameList>
          <b:Person>
            <b:Last>Oliver</b:Last>
          </b:Person>
        </b:NameList>
      </b:Author>
    </b:Author>
    <b:Title>The Effects of Metropolitan Economic Segregation on Local Civic Participation</b:Title>
    <b:JournalName>Political Science</b:JournalName>
    <b:Year>2010</b:Year>
    <b:Pages>186-212</b:Pages>
    <b:RefOrder>36</b:RefOrder>
  </b:Source>
  <b:Source>
    <b:Tag>Cla12</b:Tag>
    <b:SourceType>JournalArticle</b:SourceType>
    <b:Guid>{2FC837FF-4776-4534-AE96-4F60A95FADE0}</b:Guid>
    <b:Author>
      <b:Author>
        <b:NameList>
          <b:Person>
            <b:Last>Clark</b:Last>
          </b:Person>
          <b:Person>
            <b:Last>Kim</b:Last>
          </b:Person>
        </b:NameList>
      </b:Author>
    </b:Author>
    <b:Title>The Effect of Neighborhood Diversity on Volunteering: Evidence From New Zealand</b:Title>
    <b:JournalName>B E Journal of Economic Analysis &amp; Policy</b:JournalName>
    <b:Year>2012</b:Year>
    <b:Pages>1-47</b:Pages>
    <b:RefOrder>37</b:RefOrder>
  </b:Source>
  <b:Source>
    <b:Tag>God16</b:Tag>
    <b:SourceType>JournalArticle</b:SourceType>
    <b:Guid>{37933771-8042-4596-AFF3-6A8E5B1027A9}</b:Guid>
    <b:Author>
      <b:Author>
        <b:NameList>
          <b:Person>
            <b:Last>Godfrey</b:Last>
          </b:Person>
          <b:Person>
            <b:Last>Cherng</b:Last>
          </b:Person>
        </b:NameList>
      </b:Author>
    </b:Author>
    <b:Title>The Kids are All Right? Income Inequality and Civic Engagement among Our Nation’s Youth</b:Title>
    <b:JournalName>Journal of Youth and Adolescence</b:JournalName>
    <b:Year>2016</b:Year>
    <b:Pages>2218-2232</b:Pages>
    <b:RefOrder>38</b:RefOrder>
  </b:Source>
  <b:Source>
    <b:Tag>Smi12</b:Tag>
    <b:SourceType>JournalArticle</b:SourceType>
    <b:Guid>{456BD733-031B-403D-BC8E-871EF20DBFF4}</b:Guid>
    <b:Author>
      <b:Author>
        <b:NameList>
          <b:Person>
            <b:Last>Smith</b:Last>
          </b:Person>
        </b:NameList>
      </b:Author>
    </b:Author>
    <b:Title>The Changing Effects of Community Characteristics on Volunteering in Canada</b:Title>
    <b:JournalName>Canadian Public Policy</b:JournalName>
    <b:Year>2012</b:Year>
    <b:Pages>361-373</b:Pages>
    <b:RefOrder>39</b:RefOrder>
  </b:Source>
  <b:Source>
    <b:Tag>Col18</b:Tag>
    <b:SourceType>JournalArticle</b:SourceType>
    <b:Guid>{D32FA480-1353-42A6-9B91-9E6F80A7A1C8}</b:Guid>
    <b:Author>
      <b:Author>
        <b:NameList>
          <b:Person>
            <b:Last>Collins</b:Last>
          </b:Person>
          <b:Person>
            <b:Last>Guidry</b:Last>
          </b:Person>
        </b:NameList>
      </b:Author>
    </b:Author>
    <b:Title>What effect does inequality have on residents’ sense of safety? Exploring the mediating processes of social capital and civic engagement</b:Title>
    <b:JournalName>Journal of Urban Affairs</b:JournalName>
    <b:Year>2018</b:Year>
    <b:Pages>1009-1026</b:Pages>
    <b:RefOrder>40</b:RefOrder>
  </b:Source>
  <b:Source>
    <b:Tag>Fla18</b:Tag>
    <b:SourceType>JournalArticle</b:SourceType>
    <b:Guid>{47C45FE5-BC20-45F5-9933-9D787FF75045}</b:Guid>
    <b:Title>Is Ethnic Diversity Bad for Any Dimension of Social Capital? Trust, Networks and Voluntarism in Norwegian Communities</b:Title>
    <b:JournalName>Scandinavian Political Studies</b:JournalName>
    <b:Year>2018</b:Year>
    <b:Pages>336-366</b:Pages>
    <b:Author>
      <b:Author>
        <b:NameList>
          <b:Person>
            <b:Last>Fladmoe</b:Last>
          </b:Person>
          <b:Person>
            <b:Last>Steen-Johnsen</b:Last>
          </b:Person>
        </b:NameList>
      </b:Author>
    </b:Author>
    <b:RefOrder>41</b:RefOrder>
  </b:Source>
  <b:Source>
    <b:Tag>Usl02</b:Tag>
    <b:SourceType>JournalArticle</b:SourceType>
    <b:Guid>{2FC0CACE-137D-4AD9-99D9-1ECE8697DADE}</b:Guid>
    <b:Author>
      <b:Author>
        <b:NameList>
          <b:Person>
            <b:Last>Uslaner</b:Last>
          </b:Person>
        </b:NameList>
      </b:Author>
    </b:Author>
    <b:Title>Religion and Civic Engagement in Canada and the United States</b:Title>
    <b:JournalName>Journal for the Scientific Study of Religion</b:JournalName>
    <b:Year>2002</b:Year>
    <b:Pages>239-254</b:Pages>
    <b:RefOrder>42</b:RefOrder>
  </b:Source>
  <b:Source>
    <b:Tag>Bjo08</b:Tag>
    <b:SourceType>JournalArticle</b:SourceType>
    <b:Guid>{66DDFED6-AC0A-4B52-8906-D45900FF74CD}</b:Guid>
    <b:Title>Social trust and fractionalization: A possible reinterpretation</b:Title>
    <b:JournalName>European Sociological Review</b:JournalName>
    <b:Year>2008</b:Year>
    <b:Pages>271-283</b:Pages>
    <b:Author>
      <b:Author>
        <b:NameList>
          <b:Person>
            <b:Last>Bjornskov</b:Last>
          </b:Person>
        </b:NameList>
      </b:Author>
    </b:Author>
    <b:RefOrder>43</b:RefOrder>
  </b:Source>
  <b:Source>
    <b:Tag>Ree13</b:Tag>
    <b:SourceType>JournalArticle</b:SourceType>
    <b:Guid>{B03CD9C9-38AD-42BB-ADB5-A0782AC3ABA3}</b:Guid>
    <b:Author>
      <b:Author>
        <b:NameList>
          <b:Person>
            <b:Last>Reeskens</b:Last>
          </b:Person>
        </b:NameList>
      </b:Author>
    </b:Author>
    <b:Title>But Who Are Those "Most People" That Can Be Trusted? Evaluating the Radius of Trust Across 29 European Societies</b:Title>
    <b:JournalName>Social Indicators Research</b:JournalName>
    <b:Year>2013</b:Year>
    <b:Pages>703-722</b:Pages>
    <b:RefOrder>44</b:RefOrder>
  </b:Source>
  <b:Source>
    <b:Tag>Fuk01</b:Tag>
    <b:SourceType>JournalArticle</b:SourceType>
    <b:Guid>{7BB7B91B-8172-4B1E-A36B-94263F6F9293}</b:Guid>
    <b:Author>
      <b:Author>
        <b:NameList>
          <b:Person>
            <b:Last>Fukuyama</b:Last>
          </b:Person>
        </b:NameList>
      </b:Author>
    </b:Author>
    <b:Title>Social Capital, Civil Society and Development</b:Title>
    <b:JournalName>Third World Quarterly</b:JournalName>
    <b:Year>2001</b:Year>
    <b:Pages>7-20</b:Pages>
    <b:RefOrder>45</b:RefOrder>
  </b:Source>
  <b:Source>
    <b:Tag>Has18</b:Tag>
    <b:SourceType>JournalArticle</b:SourceType>
    <b:Guid>{633EDABE-EF19-4B5D-8EF3-356F885544EA}</b:Guid>
    <b:Author>
      <b:Author>
        <b:NameList>
          <b:Person>
            <b:Last>Hastings</b:Last>
          </b:Person>
        </b:NameList>
      </b:Author>
    </b:Author>
    <b:Title>Less equal, less trusting? Longitudinal and cross-sectional effects of income inequality on trust in U.S. States, 1973–2012</b:Title>
    <b:JournalName>Social Science Research</b:JournalName>
    <b:Year>2018</b:Year>
    <b:Pages>77-95</b:Pages>
    <b:RefOrder>46</b:RefOrder>
  </b:Source>
  <b:Source>
    <b:Tag>Fai13</b:Tag>
    <b:SourceType>JournalArticle</b:SourceType>
    <b:Guid>{EBCDAC59-0D94-4C40-A383-16AD8C236ECA}</b:Guid>
    <b:Author>
      <b:Author>
        <b:NameList>
          <b:Person>
            <b:Last>Fairbrother</b:Last>
          </b:Person>
          <b:Person>
            <b:Last>Martin</b:Last>
          </b:Person>
        </b:NameList>
      </b:Author>
    </b:Author>
    <b:Title>Does inequality erode social trust? Results from multilevel models of US states and counties</b:Title>
    <b:JournalName>Social Science Research</b:JournalName>
    <b:Year>2013</b:Year>
    <b:Pages>347-360</b:Pages>
    <b:RefOrder>47</b:RefOrder>
  </b:Source>
  <b:Source>
    <b:Tag>Dai20</b:Tag>
    <b:SourceType>JournalArticle</b:SourceType>
    <b:Guid>{051D777E-C704-475E-B540-CEE0AB59E4D7}</b:Guid>
    <b:Author>
      <b:Author>
        <b:NameList>
          <b:Person>
            <b:Last>Dai</b:Last>
          </b:Person>
          <b:Person>
            <b:Last>Jiang</b:Last>
          </b:Person>
          <b:Person>
            <b:Last>Sun</b:Last>
          </b:Person>
          <b:Person>
            <b:Last>Wu</b:Last>
          </b:Person>
        </b:NameList>
      </b:Author>
    </b:Author>
    <b:Title>Inequality and Social Capital: How Inequality in China’s Housing Assets Affects People’s Trust</b:Title>
    <b:JournalName>Emerging Markets Finance and Trade</b:JournalName>
    <b:Year>2020</b:Year>
    <b:Pages>562-575</b:Pages>
    <b:RefOrder>48</b:RefOrder>
  </b:Source>
  <b:Source>
    <b:Tag>Bej21</b:Tag>
    <b:SourceType>JournalArticle</b:SourceType>
    <b:Guid>{64ABCE02-1C91-403B-85B5-0793D0FCBF18}</b:Guid>
    <b:Author>
      <b:Author>
        <b:NameList>
          <b:Person>
            <b:Last>Bejarno</b:Last>
          </b:Person>
          <b:Person>
            <b:Last>Gillet</b:Last>
          </b:Person>
          <b:Person>
            <b:Last>Rodriguez-Lara</b:Last>
          </b:Person>
        </b:NameList>
      </b:Author>
    </b:Author>
    <b:Title>Trust and trustworthiness after negative random shocks</b:Title>
    <b:JournalName>Journal of Economic Psychology</b:JournalName>
    <b:Year>2021</b:Year>
    <b:RefOrder>49</b:RefOrder>
  </b:Source>
  <b:Source>
    <b:Tag>DAm22</b:Tag>
    <b:SourceType>JournalArticle</b:SourceType>
    <b:Guid>{0E2599CD-5723-4EA7-AD0E-2F2B9EDE1F24}</b:Guid>
    <b:Author>
      <b:Author>
        <b:NameList>
          <b:Person>
            <b:Last>D'Amato</b:Last>
          </b:Person>
          <b:Person>
            <b:Last>O'Higgins</b:Last>
          </b:Person>
          <b:Person>
            <b:Last>Stimolo</b:Last>
          </b:Person>
        </b:NameList>
      </b:Author>
    </b:Author>
    <b:Title>On inequality, growth and trust: some evidence from the lab</b:Title>
    <b:JournalName>Journal of Institutional Economics</b:JournalName>
    <b:Year>2022</b:Year>
    <b:Pages>621-636</b:Pages>
    <b:RefOrder>50</b:RefOrder>
  </b:Source>
  <b:Source>
    <b:Tag>Car03</b:Tag>
    <b:SourceType>JournalArticle</b:SourceType>
    <b:Guid>{C038A01C-2E4D-49E5-8B8B-06F82F73737C}</b:Guid>
    <b:Author>
      <b:Author>
        <b:NameList>
          <b:Person>
            <b:Last>Cardenas</b:Last>
          </b:Person>
        </b:NameList>
      </b:Author>
    </b:Author>
    <b:Title>Real wealth and experimental cooperation: Experiments in the field lab</b:Title>
    <b:JournalName>Journal of Development Economics</b:JournalName>
    <b:Year>2003</b:Year>
    <b:Pages>263-289</b:Pages>
    <b:RefOrder>51</b:RefOrder>
  </b:Source>
  <b:Source>
    <b:Tag>Mar21</b:Tag>
    <b:SourceType>JournalArticle</b:SourceType>
    <b:Guid>{68FD87E0-CA0C-4093-998A-B616CFE5D66A}</b:Guid>
    <b:Author>
      <b:Author>
        <b:NameList>
          <b:Person>
            <b:Last>Markussen</b:Last>
          </b:Person>
          <b:Person>
            <b:Last>Sharma</b:Last>
          </b:Person>
          <b:Person>
            <b:Last>Singhal</b:Last>
          </b:Person>
          <b:Person>
            <b:Last>Tarp</b:Last>
          </b:Person>
        </b:NameList>
      </b:Author>
    </b:Author>
    <b:Title>Inequality, institutions and cooperation</b:Title>
    <b:JournalName>European Economic Review</b:JournalName>
    <b:Year>2021</b:Year>
    <b:RefOrder>52</b:RefOrder>
  </b:Source>
  <b:Source>
    <b:Tag>Tan13</b:Tag>
    <b:SourceType>JournalArticle</b:SourceType>
    <b:Guid>{4E779D02-976E-46F1-BC63-A4C91D47C25D}</b:Guid>
    <b:Author>
      <b:Author>
        <b:NameList>
          <b:Person>
            <b:Last>Taniguchi</b:Last>
          </b:Person>
        </b:NameList>
      </b:Author>
    </b:Author>
    <b:Title>The Influence of Generalized Trust on Volunteering in Japan</b:Title>
    <b:JournalName>Nonprofit and Voluntary Sector Quarterly</b:JournalName>
    <b:Year>2013</b:Year>
    <b:Pages>127-147</b:Pages>
    <b:RefOrder>53</b:RefOrder>
  </b:Source>
  <b:Source>
    <b:Tag>Tan14</b:Tag>
    <b:SourceType>JournalArticle</b:SourceType>
    <b:Guid>{20C278C2-0330-4B3D-8068-9AA81F81FF34}</b:Guid>
    <b:Author>
      <b:Author>
        <b:NameList>
          <b:Person>
            <b:Last>Taniguchi</b:Last>
          </b:Person>
          <b:Person>
            <b:Last>Marshall</b:Last>
          </b:Person>
        </b:NameList>
      </b:Author>
    </b:Author>
    <b:Title>The Effects of Social Trust and Institutional Trust on Formal Volunteering and Charitable Giving in Japan</b:Title>
    <b:JournalName>Voluntas</b:JournalName>
    <b:Year>2014</b:Year>
    <b:Pages>150-175</b:Pages>
    <b:RefOrder>54</b:RefOrder>
  </b:Source>
  <b:Source>
    <b:Tag>Usl00</b:Tag>
    <b:SourceType>JournalArticle</b:SourceType>
    <b:Guid>{AD0D489A-3267-409A-BBD2-10C48619F4A8}</b:Guid>
    <b:Author>
      <b:Author>
        <b:NameList>
          <b:Person>
            <b:Last>Uslaner</b:Last>
          </b:Person>
        </b:NameList>
      </b:Author>
    </b:Author>
    <b:Title>Producing and Consuming Trust</b:Title>
    <b:JournalName>Political Science Quarterly</b:JournalName>
    <b:Year>2000</b:Year>
    <b:Pages>569-590</b:Pages>
    <b:RefOrder>55</b:RefOrder>
  </b:Source>
  <b:Source>
    <b:Tag>Usl98</b:Tag>
    <b:SourceType>JournalArticle</b:SourceType>
    <b:Guid>{4F9F48B3-35DB-4BFF-B08F-4F14593EE39B}</b:Guid>
    <b:Author>
      <b:Author>
        <b:NameList>
          <b:Person>
            <b:Last>Uslaner</b:Last>
          </b:Person>
        </b:NameList>
      </b:Author>
    </b:Author>
    <b:Title>Social capital, television, and the "mean world": Trust, optimism, and civic participation</b:Title>
    <b:JournalName>Political Psychology </b:JournalName>
    <b:Year>1998</b:Year>
    <b:Pages>441-467</b:Pages>
    <b:RefOrder>56</b:RefOrder>
  </b:Source>
  <b:Source>
    <b:Tag>Yan22</b:Tag>
    <b:SourceType>Misc</b:SourceType>
    <b:Guid>{24C74822-9345-4A13-9966-DF94DB250462}</b:Guid>
    <b:Author>
      <b:Author>
        <b:NameList>
          <b:Person>
            <b:Last>Yang</b:Last>
          </b:Person>
        </b:NameList>
      </b:Author>
    </b:Author>
    <b:Title>Economic Inequality and Prosocial Behavior: A Multidimensional Analysis</b:Title>
    <b:Year>2022</b:Year>
    <b:Publisher>Lilly Family School of Philanthropy, Indiana University</b:Publisher>
    <b:RefOrder>57</b:RefOrder>
  </b:Source>
  <b:Source>
    <b:Tag>Liu21</b:Tag>
    <b:SourceType>JournalArticle</b:SourceType>
    <b:Guid>{47013580-475F-4ADB-A255-33505871D5E2}</b:Guid>
    <b:Title>Social Trust, Trust Differential, and Radius of Trust on Volunteering: Evidence from the Hong Kong Chinese</b:Title>
    <b:Year>2021</b:Year>
    <b:Author>
      <b:Author>
        <b:NameList>
          <b:Person>
            <b:Last>Liu</b:Last>
          </b:Person>
          <b:Person>
            <b:Last>Wen</b:Last>
          </b:Person>
          <b:Person>
            <b:Last>Su</b:Last>
          </b:Person>
          <b:Person>
            <b:Last>Chong</b:Last>
            <b:First>Min-lin</b:First>
          </b:Person>
          <b:Person>
            <b:Last>Kong</b:Last>
          </b:Person>
          <b:Person>
            <b:Last>Jiang</b:Last>
          </b:Person>
        </b:NameList>
      </b:Author>
    </b:Author>
    <b:JournalName>Journal of Social Service Research</b:JournalName>
    <b:Pages>276-291</b:Pages>
    <b:RefOrder>58</b:RefOrder>
  </b:Source>
  <b:Source>
    <b:Tag>Son11</b:Tag>
    <b:SourceType>JournalArticle</b:SourceType>
    <b:Guid>{B65FB7C5-AB42-426D-855A-516D9D951150}</b:Guid>
    <b:Author>
      <b:Author>
        <b:NameList>
          <b:Person>
            <b:Last>Sonderskov</b:Last>
          </b:Person>
        </b:NameList>
      </b:Author>
    </b:Author>
    <b:Title>Does Generalized Social Trust Lead to Associational Membership? Unravelling a Bowl of Well-Tossed Spaghetti </b:Title>
    <b:JournalName>European Sociological Review</b:JournalName>
    <b:Year>2011</b:Year>
    <b:Pages>419-434</b:Pages>
    <b:RefOrder>59</b:RefOrder>
  </b:Source>
  <b:Source>
    <b:Tag>Yam94</b:Tag>
    <b:SourceType>JournalArticle</b:SourceType>
    <b:Guid>{B84292D0-25BB-43F7-A2F6-15E3FB0B3FE8}</b:Guid>
    <b:Author>
      <b:Author>
        <b:NameList>
          <b:Person>
            <b:Last>Yamagishi</b:Last>
          </b:Person>
          <b:Person>
            <b:Last>Yamagishi</b:Last>
          </b:Person>
        </b:NameList>
      </b:Author>
    </b:Author>
    <b:Title>Trust and Commitment in the United States and Japan</b:Title>
    <b:JournalName>Motivation and Emotion</b:JournalName>
    <b:Year>1994</b:Year>
    <b:Pages>129-166</b:Pages>
    <b:RefOrder>60</b:RefOrder>
  </b:Source>
  <b:Source>
    <b:Tag>Hom15</b:Tag>
    <b:SourceType>JournalArticle</b:SourceType>
    <b:Guid>{7D6B4619-7390-4203-B5BB-B2471B328BCD}</b:Guid>
    <b:Author>
      <b:Author>
        <b:NameList>
          <b:Person>
            <b:Last>Hommerich</b:Last>
          </b:Person>
        </b:NameList>
      </b:Author>
    </b:Author>
    <b:Title>Feeling Disconnected: Exploring the Relationship Between Different Forms of Social Capital and Civic Engagement in Japan</b:Title>
    <b:JournalName>Voluntas</b:JournalName>
    <b:Year>2015</b:Year>
    <b:Pages>45-68</b:Pages>
    <b:RefOrder>61</b:RefOrder>
  </b:Source>
  <b:Source>
    <b:Tag>Bek12</b:Tag>
    <b:SourceType>JournalArticle</b:SourceType>
    <b:Guid>{44CC8A55-B2BC-46C6-8098-EFC8719381D9}</b:Guid>
    <b:Title>Trust and Volunteering: Selection or Causation? Evidence From a 4 Year Panel Study</b:Title>
    <b:JournalName>Political Behavior</b:JournalName>
    <b:Year>2012</b:Year>
    <b:Pages>225-247</b:Pages>
    <b:Author>
      <b:Author>
        <b:NameList>
          <b:Person>
            <b:Last>Bekkers</b:Last>
          </b:Person>
        </b:NameList>
      </b:Author>
    </b:Author>
    <b:RefOrder>62</b:RefOrder>
  </b:Source>
  <b:Source>
    <b:Tag>Bek08</b:Tag>
    <b:SourceType>JournalArticle</b:SourceType>
    <b:Guid>{7105B514-93D1-48AF-9DA0-5156EF63D48B}</b:Guid>
    <b:Author>
      <b:Author>
        <b:NameList>
          <b:Person>
            <b:Last>Bekkers</b:Last>
          </b:Person>
          <b:Person>
            <b:Last>Schuyt</b:Last>
          </b:Person>
        </b:NameList>
      </b:Author>
    </b:Author>
    <b:Title>And Who Is Your Neighbor ? Explaining Denominational Differences in Charitable Giving and Volunteering in the Netherlands</b:Title>
    <b:JournalName>Review of Religious Research</b:JournalName>
    <b:Year>2008</b:Year>
    <b:Pages>74-96</b:Pages>
    <b:RefOrder>63</b:RefOrder>
  </b:Source>
  <b:Source>
    <b:Tag>van15</b:Tag>
    <b:SourceType>JournalArticle</b:SourceType>
    <b:Guid>{E182C8D6-22FF-4608-8484-92EEFB460143}</b:Guid>
    <b:Author>
      <b:Author>
        <b:NameList>
          <b:Person>
            <b:Last>Ingen</b:Last>
            <b:First>van</b:First>
          </b:Person>
          <b:Person>
            <b:Last>Bekkers</b:Last>
          </b:Person>
        </b:NameList>
      </b:Author>
    </b:Author>
    <b:Title>Generalized Trust Through Civic Engagement? Evidence from Five National Panel Studies</b:Title>
    <b:JournalName>Political Psychology</b:JournalName>
    <b:Year>2015</b:Year>
    <b:Pages>277-294</b:Pages>
    <b:RefOrder>64</b:RefOrder>
  </b:Source>
</b:Sources>
</file>

<file path=customXml/itemProps1.xml><?xml version="1.0" encoding="utf-8"?>
<ds:datastoreItem xmlns:ds="http://schemas.openxmlformats.org/officeDocument/2006/customXml" ds:itemID="{19C2237C-9666-4E27-84AA-C05190FE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83c85-59c0-43da-bec5-234908fc9de5"/>
    <ds:schemaRef ds:uri="d14b8d56-fe41-453a-87ce-c0324d48f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823CA-2A22-419F-BA86-64EF1B5B5426}">
  <ds:schemaRefs>
    <ds:schemaRef ds:uri="http://schemas.microsoft.com/sharepoint/v3/contenttype/forms"/>
  </ds:schemaRefs>
</ds:datastoreItem>
</file>

<file path=customXml/itemProps3.xml><?xml version="1.0" encoding="utf-8"?>
<ds:datastoreItem xmlns:ds="http://schemas.openxmlformats.org/officeDocument/2006/customXml" ds:itemID="{F1BEB9E8-EF86-4439-AB1F-121368E66D1F}">
  <ds:schemaRefs>
    <ds:schemaRef ds:uri="http://schemas.microsoft.com/office/2006/metadata/properties"/>
    <ds:schemaRef ds:uri="http://schemas.microsoft.com/office/infopath/2007/PartnerControls"/>
    <ds:schemaRef ds:uri="be783c85-59c0-43da-bec5-234908fc9de5"/>
  </ds:schemaRefs>
</ds:datastoreItem>
</file>

<file path=customXml/itemProps4.xml><?xml version="1.0" encoding="utf-8"?>
<ds:datastoreItem xmlns:ds="http://schemas.openxmlformats.org/officeDocument/2006/customXml" ds:itemID="{5C377648-AAFE-48C5-8C69-96C016EF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8294</Words>
  <Characters>47277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Fraai, P.R.A. (Pepijn)</dc:creator>
  <cp:keywords/>
  <dc:description/>
  <cp:lastModifiedBy>Mats Heemskerk</cp:lastModifiedBy>
  <cp:revision>3</cp:revision>
  <dcterms:created xsi:type="dcterms:W3CDTF">2023-06-06T13:15:00Z</dcterms:created>
  <dcterms:modified xsi:type="dcterms:W3CDTF">2023-06-06T13:26:00Z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0x010100B46C0A0CC12AB348A66227BFC8E0370E</vt:lpwstr>
  </property>
</Properties>
</file>