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Ex1.xml" ContentType="application/vnd.ms-office.chartex+xml"/>
  <Override PartName="/word/charts/style1.xml" ContentType="application/vnd.ms-office.chartstyle+xml"/>
  <Override PartName="/word/charts/colors1.xml" ContentType="application/vnd.ms-office.chartcolorstyle+xml"/>
  <Override PartName="/word/charts/chart1.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2.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3.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4.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5.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6.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7.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8.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9.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0.xml" ContentType="application/vnd.openxmlformats-officedocument.drawingml.chart+xml"/>
  <Override PartName="/word/charts/style11.xml" ContentType="application/vnd.ms-office.chartstyle+xml"/>
  <Override PartName="/word/charts/colors11.xml" ContentType="application/vnd.ms-office.chartcolorstyle+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B1ABC" w14:textId="77777777" w:rsidR="0042358A" w:rsidRPr="00A0498F" w:rsidRDefault="0042358A">
      <w:pPr>
        <w:rPr>
          <w:rFonts w:cstheme="minorHAnsi"/>
          <w:b/>
          <w:bCs/>
          <w:sz w:val="20"/>
          <w:szCs w:val="20"/>
        </w:rPr>
      </w:pPr>
      <w:bookmarkStart w:id="0" w:name="_Hlk138415149"/>
      <w:bookmarkEnd w:id="0"/>
    </w:p>
    <w:p w14:paraId="6FEA8A81" w14:textId="7F4197D5" w:rsidR="00111D36" w:rsidRPr="00C64710" w:rsidRDefault="0042358A" w:rsidP="00A0498F">
      <w:pPr>
        <w:pStyle w:val="NormalWeb"/>
        <w:shd w:val="clear" w:color="auto" w:fill="FFFFFF"/>
        <w:jc w:val="center"/>
        <w:rPr>
          <w:rFonts w:asciiTheme="minorHAnsi" w:hAnsiTheme="minorHAnsi" w:cstheme="minorHAnsi"/>
          <w:b/>
          <w:bCs/>
          <w:color w:val="242424"/>
          <w:sz w:val="36"/>
          <w:szCs w:val="36"/>
        </w:rPr>
      </w:pPr>
      <w:r w:rsidRPr="00C64710">
        <w:rPr>
          <w:rFonts w:asciiTheme="minorHAnsi" w:hAnsiTheme="minorHAnsi" w:cstheme="minorHAnsi"/>
          <w:b/>
          <w:bCs/>
          <w:color w:val="242424"/>
          <w:sz w:val="36"/>
          <w:szCs w:val="36"/>
        </w:rPr>
        <w:t>Cross-Border Giving in Times of Crises</w:t>
      </w:r>
      <w:r w:rsidR="00A0498F" w:rsidRPr="00C64710">
        <w:rPr>
          <w:rFonts w:asciiTheme="minorHAnsi" w:hAnsiTheme="minorHAnsi" w:cstheme="minorHAnsi"/>
          <w:b/>
          <w:bCs/>
          <w:color w:val="242424"/>
          <w:sz w:val="36"/>
          <w:szCs w:val="36"/>
        </w:rPr>
        <w:t xml:space="preserve"> </w:t>
      </w:r>
      <w:r w:rsidR="00111D36" w:rsidRPr="00C64710">
        <w:rPr>
          <w:rFonts w:asciiTheme="minorHAnsi" w:hAnsiTheme="minorHAnsi" w:cstheme="minorHAnsi"/>
          <w:b/>
          <w:bCs/>
          <w:color w:val="242424"/>
          <w:sz w:val="36"/>
          <w:szCs w:val="36"/>
        </w:rPr>
        <w:t>in Europe</w:t>
      </w:r>
    </w:p>
    <w:p w14:paraId="7E138053" w14:textId="4692E2A4" w:rsidR="0042358A" w:rsidRPr="00C64710" w:rsidRDefault="0042358A" w:rsidP="00A0498F">
      <w:pPr>
        <w:pStyle w:val="NormalWeb"/>
        <w:shd w:val="clear" w:color="auto" w:fill="FFFFFF"/>
        <w:jc w:val="center"/>
        <w:rPr>
          <w:rFonts w:asciiTheme="minorHAnsi" w:hAnsiTheme="minorHAnsi" w:cstheme="minorHAnsi"/>
          <w:b/>
          <w:bCs/>
          <w:color w:val="242424"/>
          <w:sz w:val="36"/>
          <w:szCs w:val="36"/>
        </w:rPr>
      </w:pPr>
      <w:r w:rsidRPr="00C64710">
        <w:rPr>
          <w:rFonts w:asciiTheme="minorHAnsi" w:hAnsiTheme="minorHAnsi" w:cstheme="minorHAnsi"/>
          <w:b/>
          <w:bCs/>
          <w:color w:val="242424"/>
          <w:sz w:val="36"/>
          <w:szCs w:val="36"/>
        </w:rPr>
        <w:t>New Data from the Global Philanthropy Tracker</w:t>
      </w:r>
    </w:p>
    <w:p w14:paraId="3F5CF11C" w14:textId="77777777" w:rsidR="0042358A" w:rsidRPr="00A0498F" w:rsidRDefault="0042358A" w:rsidP="0042358A">
      <w:pPr>
        <w:pStyle w:val="NormalWeb"/>
        <w:shd w:val="clear" w:color="auto" w:fill="FFFFFF"/>
        <w:rPr>
          <w:rFonts w:asciiTheme="minorHAnsi" w:hAnsiTheme="minorHAnsi" w:cstheme="minorHAnsi"/>
          <w:b/>
          <w:bCs/>
          <w:color w:val="242424"/>
          <w:sz w:val="20"/>
          <w:szCs w:val="20"/>
        </w:rPr>
      </w:pPr>
    </w:p>
    <w:p w14:paraId="2306AE43" w14:textId="77777777" w:rsidR="00A0498F" w:rsidRPr="00A0498F" w:rsidRDefault="00A0498F" w:rsidP="0042358A">
      <w:pPr>
        <w:pStyle w:val="NoSpacing"/>
        <w:rPr>
          <w:rFonts w:cstheme="minorHAnsi"/>
          <w:sz w:val="20"/>
          <w:szCs w:val="20"/>
        </w:rPr>
      </w:pPr>
    </w:p>
    <w:p w14:paraId="738E3844" w14:textId="5B4B90E2" w:rsidR="0042358A" w:rsidRPr="00A0498F" w:rsidRDefault="00A0498F" w:rsidP="00A0498F">
      <w:pPr>
        <w:pStyle w:val="NoSpacing"/>
        <w:rPr>
          <w:rFonts w:cstheme="minorHAnsi"/>
          <w:sz w:val="20"/>
          <w:szCs w:val="20"/>
        </w:rPr>
      </w:pPr>
      <w:r w:rsidRPr="00A0498F">
        <w:rPr>
          <w:rFonts w:cstheme="minorHAnsi"/>
          <w:sz w:val="20"/>
          <w:szCs w:val="20"/>
        </w:rPr>
        <w:t xml:space="preserve">                 </w:t>
      </w:r>
      <w:r w:rsidR="0042358A" w:rsidRPr="00A0498F">
        <w:rPr>
          <w:rFonts w:cstheme="minorHAnsi"/>
          <w:sz w:val="20"/>
          <w:szCs w:val="20"/>
        </w:rPr>
        <w:t>Kinga Horvath</w:t>
      </w:r>
      <w:r w:rsidR="0042358A" w:rsidRPr="00A0498F">
        <w:rPr>
          <w:rFonts w:cstheme="minorHAnsi"/>
          <w:sz w:val="20"/>
          <w:szCs w:val="20"/>
        </w:rPr>
        <w:tab/>
      </w:r>
      <w:r w:rsidRPr="00A0498F">
        <w:rPr>
          <w:rFonts w:cstheme="minorHAnsi"/>
          <w:sz w:val="20"/>
          <w:szCs w:val="20"/>
        </w:rPr>
        <w:t xml:space="preserve">     </w:t>
      </w:r>
      <w:r w:rsidR="0042358A" w:rsidRPr="00A0498F">
        <w:rPr>
          <w:rFonts w:cstheme="minorHAnsi"/>
          <w:sz w:val="20"/>
          <w:szCs w:val="20"/>
        </w:rPr>
        <w:t>Indiana University, Lilly Family School of Philanthropy</w:t>
      </w:r>
      <w:r w:rsidRPr="00A0498F">
        <w:rPr>
          <w:rFonts w:cstheme="minorHAnsi"/>
          <w:sz w:val="20"/>
          <w:szCs w:val="20"/>
        </w:rPr>
        <w:t xml:space="preserve">       </w:t>
      </w:r>
      <w:r w:rsidR="0042358A" w:rsidRPr="00A0498F">
        <w:rPr>
          <w:rFonts w:cstheme="minorHAnsi"/>
          <w:sz w:val="20"/>
          <w:szCs w:val="20"/>
        </w:rPr>
        <w:t>horvathk@iu.edu</w:t>
      </w:r>
    </w:p>
    <w:p w14:paraId="2ECD59A7" w14:textId="6D8FCFAE" w:rsidR="00302EFA" w:rsidRDefault="00302EFA" w:rsidP="00302EFA">
      <w:pPr>
        <w:pStyle w:val="NoSpacing"/>
        <w:rPr>
          <w:rFonts w:cstheme="minorHAnsi"/>
          <w:sz w:val="20"/>
          <w:szCs w:val="20"/>
        </w:rPr>
      </w:pPr>
      <w:r>
        <w:rPr>
          <w:rFonts w:cstheme="minorHAnsi"/>
          <w:sz w:val="20"/>
          <w:szCs w:val="20"/>
        </w:rPr>
        <w:t xml:space="preserve">                 </w:t>
      </w:r>
      <w:r w:rsidRPr="00A0498F">
        <w:rPr>
          <w:rFonts w:cstheme="minorHAnsi"/>
          <w:sz w:val="20"/>
          <w:szCs w:val="20"/>
        </w:rPr>
        <w:t>Karly Murat-</w:t>
      </w:r>
      <w:proofErr w:type="gramStart"/>
      <w:r w:rsidRPr="00A0498F">
        <w:rPr>
          <w:rFonts w:cstheme="minorHAnsi"/>
          <w:sz w:val="20"/>
          <w:szCs w:val="20"/>
        </w:rPr>
        <w:t>Prater  Indiana</w:t>
      </w:r>
      <w:proofErr w:type="gramEnd"/>
      <w:r w:rsidRPr="00A0498F">
        <w:rPr>
          <w:rFonts w:cstheme="minorHAnsi"/>
          <w:sz w:val="20"/>
          <w:szCs w:val="20"/>
        </w:rPr>
        <w:t xml:space="preserve"> University, Lilly Family School of Philanthropy        kdmuratp@iu.edu</w:t>
      </w:r>
      <w:r w:rsidR="00A0498F" w:rsidRPr="00A0498F">
        <w:rPr>
          <w:rFonts w:cstheme="minorHAnsi"/>
          <w:sz w:val="20"/>
          <w:szCs w:val="20"/>
        </w:rPr>
        <w:t xml:space="preserve"> </w:t>
      </w:r>
    </w:p>
    <w:p w14:paraId="76AEB6C3" w14:textId="7C051B4A" w:rsidR="00111D36" w:rsidRPr="00A0498F" w:rsidRDefault="00302EFA" w:rsidP="00302EFA">
      <w:pPr>
        <w:pStyle w:val="NoSpacing"/>
        <w:jc w:val="center"/>
        <w:rPr>
          <w:rFonts w:cstheme="minorHAnsi"/>
          <w:sz w:val="20"/>
          <w:szCs w:val="20"/>
        </w:rPr>
      </w:pPr>
      <w:r>
        <w:rPr>
          <w:rFonts w:cstheme="minorHAnsi"/>
          <w:sz w:val="20"/>
          <w:szCs w:val="20"/>
        </w:rPr>
        <w:t xml:space="preserve"> </w:t>
      </w:r>
      <w:r w:rsidR="0042358A" w:rsidRPr="00A0498F">
        <w:rPr>
          <w:rFonts w:cstheme="minorHAnsi"/>
          <w:sz w:val="20"/>
          <w:szCs w:val="20"/>
        </w:rPr>
        <w:t>Jon Bergdoll</w:t>
      </w:r>
      <w:r w:rsidR="0042358A" w:rsidRPr="00A0498F">
        <w:rPr>
          <w:rFonts w:cstheme="minorHAnsi"/>
          <w:sz w:val="20"/>
          <w:szCs w:val="20"/>
        </w:rPr>
        <w:tab/>
        <w:t xml:space="preserve"> </w:t>
      </w:r>
      <w:r w:rsidR="00A0498F" w:rsidRPr="00A0498F">
        <w:rPr>
          <w:rFonts w:cstheme="minorHAnsi"/>
          <w:sz w:val="20"/>
          <w:szCs w:val="20"/>
        </w:rPr>
        <w:t xml:space="preserve">      </w:t>
      </w:r>
      <w:r w:rsidR="0042358A" w:rsidRPr="00A0498F">
        <w:rPr>
          <w:rFonts w:cstheme="minorHAnsi"/>
          <w:sz w:val="20"/>
          <w:szCs w:val="20"/>
        </w:rPr>
        <w:t>Indiana University, Lilly Family School of Philanthropy</w:t>
      </w:r>
      <w:r w:rsidR="00A0498F" w:rsidRPr="00A0498F">
        <w:rPr>
          <w:rFonts w:cstheme="minorHAnsi"/>
          <w:sz w:val="20"/>
          <w:szCs w:val="20"/>
        </w:rPr>
        <w:t xml:space="preserve"> </w:t>
      </w:r>
      <w:r w:rsidR="005C2BA3">
        <w:rPr>
          <w:rFonts w:cstheme="minorHAnsi"/>
          <w:sz w:val="20"/>
          <w:szCs w:val="20"/>
        </w:rPr>
        <w:t xml:space="preserve">    </w:t>
      </w:r>
      <w:r w:rsidR="0042358A" w:rsidRPr="00A0498F">
        <w:rPr>
          <w:rFonts w:cstheme="minorHAnsi"/>
          <w:sz w:val="20"/>
          <w:szCs w:val="20"/>
        </w:rPr>
        <w:t>jjbergdo@iupui.edu</w:t>
      </w:r>
    </w:p>
    <w:p w14:paraId="624778B6" w14:textId="3E7ADC0B" w:rsidR="0042358A" w:rsidRPr="00A0498F" w:rsidRDefault="00A0498F" w:rsidP="00A0498F">
      <w:pPr>
        <w:pStyle w:val="NoSpacing"/>
        <w:rPr>
          <w:rFonts w:cstheme="minorHAnsi"/>
          <w:sz w:val="20"/>
          <w:szCs w:val="20"/>
        </w:rPr>
      </w:pPr>
      <w:r w:rsidRPr="00A0498F">
        <w:rPr>
          <w:rFonts w:cstheme="minorHAnsi"/>
          <w:sz w:val="20"/>
          <w:szCs w:val="20"/>
        </w:rPr>
        <w:t xml:space="preserve">                 </w:t>
      </w:r>
      <w:r w:rsidR="0042358A" w:rsidRPr="00A0498F">
        <w:rPr>
          <w:rFonts w:cstheme="minorHAnsi"/>
          <w:sz w:val="20"/>
          <w:szCs w:val="20"/>
        </w:rPr>
        <w:t>Una Osili</w:t>
      </w:r>
      <w:r w:rsidR="0042358A" w:rsidRPr="00A0498F">
        <w:rPr>
          <w:rFonts w:cstheme="minorHAnsi"/>
          <w:sz w:val="20"/>
          <w:szCs w:val="20"/>
        </w:rPr>
        <w:tab/>
        <w:t xml:space="preserve"> </w:t>
      </w:r>
      <w:r w:rsidRPr="00A0498F">
        <w:rPr>
          <w:rFonts w:cstheme="minorHAnsi"/>
          <w:sz w:val="20"/>
          <w:szCs w:val="20"/>
        </w:rPr>
        <w:t xml:space="preserve">    </w:t>
      </w:r>
      <w:r w:rsidR="0042358A" w:rsidRPr="00A0498F">
        <w:rPr>
          <w:rFonts w:cstheme="minorHAnsi"/>
          <w:sz w:val="20"/>
          <w:szCs w:val="20"/>
        </w:rPr>
        <w:t>Indiana University, Lilly Family School of Philanthrop</w:t>
      </w:r>
      <w:r w:rsidRPr="00A0498F">
        <w:rPr>
          <w:rFonts w:cstheme="minorHAnsi"/>
          <w:sz w:val="20"/>
          <w:szCs w:val="20"/>
        </w:rPr>
        <w:t xml:space="preserve">y       </w:t>
      </w:r>
      <w:r w:rsidR="0042358A" w:rsidRPr="00A0498F">
        <w:rPr>
          <w:rFonts w:cstheme="minorHAnsi"/>
          <w:sz w:val="20"/>
          <w:szCs w:val="20"/>
        </w:rPr>
        <w:t>uosili@iupui.edu</w:t>
      </w:r>
    </w:p>
    <w:p w14:paraId="4FFEF517" w14:textId="77777777" w:rsidR="0042358A" w:rsidRPr="00A0498F" w:rsidRDefault="0042358A" w:rsidP="0042358A">
      <w:pPr>
        <w:pStyle w:val="NormalWeb"/>
        <w:shd w:val="clear" w:color="auto" w:fill="FFFFFF"/>
        <w:rPr>
          <w:rFonts w:asciiTheme="minorHAnsi" w:hAnsiTheme="minorHAnsi" w:cstheme="minorHAnsi"/>
          <w:b/>
          <w:bCs/>
          <w:color w:val="242424"/>
          <w:sz w:val="20"/>
          <w:szCs w:val="20"/>
        </w:rPr>
      </w:pPr>
    </w:p>
    <w:p w14:paraId="27B4F6DB" w14:textId="77777777" w:rsidR="0042358A" w:rsidRPr="00A0498F" w:rsidRDefault="0042358A" w:rsidP="0042358A">
      <w:pPr>
        <w:pStyle w:val="NormalWeb"/>
        <w:shd w:val="clear" w:color="auto" w:fill="FFFFFF"/>
        <w:rPr>
          <w:rFonts w:asciiTheme="minorHAnsi" w:hAnsiTheme="minorHAnsi" w:cstheme="minorHAnsi"/>
          <w:color w:val="242424"/>
          <w:sz w:val="20"/>
          <w:szCs w:val="20"/>
        </w:rPr>
      </w:pPr>
    </w:p>
    <w:p w14:paraId="3EE7E70B" w14:textId="2D25BFB7" w:rsidR="0042358A" w:rsidRPr="00A0498F" w:rsidRDefault="00A0498F" w:rsidP="00A0498F">
      <w:pPr>
        <w:pStyle w:val="NormalWeb"/>
        <w:shd w:val="clear" w:color="auto" w:fill="FFFFFF"/>
        <w:jc w:val="center"/>
        <w:rPr>
          <w:rFonts w:asciiTheme="minorHAnsi" w:hAnsiTheme="minorHAnsi" w:cstheme="minorHAnsi"/>
          <w:color w:val="242424"/>
          <w:sz w:val="20"/>
          <w:szCs w:val="20"/>
        </w:rPr>
      </w:pPr>
      <w:r w:rsidRPr="00A0498F">
        <w:rPr>
          <w:rFonts w:asciiTheme="minorHAnsi" w:hAnsiTheme="minorHAnsi" w:cstheme="minorHAnsi"/>
          <w:color w:val="242424"/>
          <w:sz w:val="20"/>
          <w:szCs w:val="20"/>
          <w:highlight w:val="yellow"/>
        </w:rPr>
        <w:t>-DRAFT-</w:t>
      </w:r>
    </w:p>
    <w:p w14:paraId="1E06A97C" w14:textId="7C4B86E2" w:rsidR="00A0498F" w:rsidRPr="00A0498F" w:rsidRDefault="00A0498F">
      <w:pPr>
        <w:rPr>
          <w:rFonts w:cstheme="minorHAnsi"/>
          <w:sz w:val="20"/>
          <w:szCs w:val="20"/>
        </w:rPr>
      </w:pPr>
      <w:r w:rsidRPr="00A0498F">
        <w:rPr>
          <w:rFonts w:cstheme="minorHAnsi"/>
          <w:sz w:val="20"/>
          <w:szCs w:val="20"/>
        </w:rPr>
        <w:br w:type="page"/>
      </w:r>
    </w:p>
    <w:sdt>
      <w:sdtPr>
        <w:rPr>
          <w:rFonts w:asciiTheme="minorHAnsi" w:eastAsiaTheme="minorHAnsi" w:hAnsiTheme="minorHAnsi" w:cstheme="minorHAnsi"/>
          <w:color w:val="auto"/>
          <w:kern w:val="2"/>
          <w:sz w:val="20"/>
          <w:szCs w:val="20"/>
          <w14:ligatures w14:val="standardContextual"/>
        </w:rPr>
        <w:id w:val="847441125"/>
        <w:docPartObj>
          <w:docPartGallery w:val="Table of Contents"/>
          <w:docPartUnique/>
        </w:docPartObj>
      </w:sdtPr>
      <w:sdtEndPr>
        <w:rPr>
          <w:b/>
          <w:bCs/>
          <w:noProof/>
        </w:rPr>
      </w:sdtEndPr>
      <w:sdtContent>
        <w:p w14:paraId="378EE364" w14:textId="7EDE380E" w:rsidR="0042358A" w:rsidRPr="00C64710" w:rsidRDefault="0042358A">
          <w:pPr>
            <w:pStyle w:val="TOCHeading"/>
            <w:rPr>
              <w:rFonts w:asciiTheme="minorHAnsi" w:hAnsiTheme="minorHAnsi" w:cstheme="minorHAnsi"/>
              <w:sz w:val="20"/>
              <w:szCs w:val="20"/>
            </w:rPr>
          </w:pPr>
          <w:r w:rsidRPr="00C64710">
            <w:rPr>
              <w:rFonts w:asciiTheme="minorHAnsi" w:hAnsiTheme="minorHAnsi" w:cstheme="minorHAnsi"/>
              <w:sz w:val="20"/>
              <w:szCs w:val="20"/>
            </w:rPr>
            <w:t>Table of Contents</w:t>
          </w:r>
        </w:p>
        <w:p w14:paraId="238C52A5" w14:textId="13D22F82" w:rsidR="00C64710" w:rsidRPr="00C64710" w:rsidRDefault="0042358A">
          <w:pPr>
            <w:pStyle w:val="TOC1"/>
            <w:tabs>
              <w:tab w:val="right" w:leader="dot" w:pos="9350"/>
            </w:tabs>
            <w:rPr>
              <w:rFonts w:eastAsiaTheme="minorEastAsia"/>
              <w:noProof/>
              <w:sz w:val="20"/>
              <w:szCs w:val="20"/>
            </w:rPr>
          </w:pPr>
          <w:r w:rsidRPr="00C64710">
            <w:rPr>
              <w:rFonts w:cstheme="minorHAnsi"/>
              <w:sz w:val="20"/>
              <w:szCs w:val="20"/>
            </w:rPr>
            <w:fldChar w:fldCharType="begin"/>
          </w:r>
          <w:r w:rsidRPr="00C64710">
            <w:rPr>
              <w:rFonts w:cstheme="minorHAnsi"/>
              <w:sz w:val="20"/>
              <w:szCs w:val="20"/>
            </w:rPr>
            <w:instrText xml:space="preserve"> TOC \o "1-3" \h \z \u </w:instrText>
          </w:r>
          <w:r w:rsidRPr="00C64710">
            <w:rPr>
              <w:rFonts w:cstheme="minorHAnsi"/>
              <w:sz w:val="20"/>
              <w:szCs w:val="20"/>
            </w:rPr>
            <w:fldChar w:fldCharType="separate"/>
          </w:r>
          <w:hyperlink w:anchor="_Toc138453595" w:history="1">
            <w:r w:rsidR="00C64710" w:rsidRPr="00C64710">
              <w:rPr>
                <w:rStyle w:val="Hyperlink"/>
                <w:rFonts w:cstheme="minorHAnsi"/>
                <w:noProof/>
                <w:sz w:val="20"/>
                <w:szCs w:val="20"/>
              </w:rPr>
              <w:t>Abstract</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_Toc138453595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3</w:t>
            </w:r>
            <w:r w:rsidR="00C64710" w:rsidRPr="00C64710">
              <w:rPr>
                <w:noProof/>
                <w:webHidden/>
                <w:sz w:val="20"/>
                <w:szCs w:val="20"/>
              </w:rPr>
              <w:fldChar w:fldCharType="end"/>
            </w:r>
          </w:hyperlink>
        </w:p>
        <w:p w14:paraId="594B5144" w14:textId="5C5B256D" w:rsidR="00C64710" w:rsidRPr="00C64710" w:rsidRDefault="00000000">
          <w:pPr>
            <w:pStyle w:val="TOC1"/>
            <w:tabs>
              <w:tab w:val="left" w:pos="440"/>
              <w:tab w:val="right" w:leader="dot" w:pos="9350"/>
            </w:tabs>
            <w:rPr>
              <w:rFonts w:eastAsiaTheme="minorEastAsia"/>
              <w:noProof/>
              <w:sz w:val="20"/>
              <w:szCs w:val="20"/>
            </w:rPr>
          </w:pPr>
          <w:hyperlink w:anchor="_Toc138453596" w:history="1">
            <w:r w:rsidR="00C64710" w:rsidRPr="00C64710">
              <w:rPr>
                <w:rStyle w:val="Hyperlink"/>
                <w:rFonts w:cstheme="minorHAnsi"/>
                <w:noProof/>
                <w:sz w:val="20"/>
                <w:szCs w:val="20"/>
              </w:rPr>
              <w:t>1.</w:t>
            </w:r>
            <w:r w:rsidR="00C64710" w:rsidRPr="00C64710">
              <w:rPr>
                <w:rFonts w:eastAsiaTheme="minorEastAsia"/>
                <w:noProof/>
                <w:sz w:val="20"/>
                <w:szCs w:val="20"/>
              </w:rPr>
              <w:tab/>
            </w:r>
            <w:r w:rsidR="00C64710" w:rsidRPr="00C64710">
              <w:rPr>
                <w:rStyle w:val="Hyperlink"/>
                <w:rFonts w:cstheme="minorHAnsi"/>
                <w:noProof/>
                <w:sz w:val="20"/>
                <w:szCs w:val="20"/>
              </w:rPr>
              <w:t>Introduction</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_Toc138453596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3</w:t>
            </w:r>
            <w:r w:rsidR="00C64710" w:rsidRPr="00C64710">
              <w:rPr>
                <w:noProof/>
                <w:webHidden/>
                <w:sz w:val="20"/>
                <w:szCs w:val="20"/>
              </w:rPr>
              <w:fldChar w:fldCharType="end"/>
            </w:r>
          </w:hyperlink>
        </w:p>
        <w:p w14:paraId="397988ED" w14:textId="710DF523" w:rsidR="00C64710" w:rsidRPr="00C64710" w:rsidRDefault="00000000">
          <w:pPr>
            <w:pStyle w:val="TOC1"/>
            <w:tabs>
              <w:tab w:val="left" w:pos="440"/>
              <w:tab w:val="right" w:leader="dot" w:pos="9350"/>
            </w:tabs>
            <w:rPr>
              <w:rFonts w:eastAsiaTheme="minorEastAsia"/>
              <w:noProof/>
              <w:sz w:val="20"/>
              <w:szCs w:val="20"/>
            </w:rPr>
          </w:pPr>
          <w:hyperlink w:anchor="_Toc138453597" w:history="1">
            <w:r w:rsidR="00C64710" w:rsidRPr="00C64710">
              <w:rPr>
                <w:rStyle w:val="Hyperlink"/>
                <w:rFonts w:cstheme="minorHAnsi"/>
                <w:noProof/>
                <w:sz w:val="20"/>
                <w:szCs w:val="20"/>
              </w:rPr>
              <w:t>2.</w:t>
            </w:r>
            <w:r w:rsidR="00C64710" w:rsidRPr="00C64710">
              <w:rPr>
                <w:rFonts w:eastAsiaTheme="minorEastAsia"/>
                <w:noProof/>
                <w:sz w:val="20"/>
                <w:szCs w:val="20"/>
              </w:rPr>
              <w:tab/>
            </w:r>
            <w:r w:rsidR="00C64710" w:rsidRPr="00C64710">
              <w:rPr>
                <w:rStyle w:val="Hyperlink"/>
                <w:rFonts w:cstheme="minorHAnsi"/>
                <w:noProof/>
                <w:sz w:val="20"/>
                <w:szCs w:val="20"/>
              </w:rPr>
              <w:t>Methodology</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_Toc138453597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4</w:t>
            </w:r>
            <w:r w:rsidR="00C64710" w:rsidRPr="00C64710">
              <w:rPr>
                <w:noProof/>
                <w:webHidden/>
                <w:sz w:val="20"/>
                <w:szCs w:val="20"/>
              </w:rPr>
              <w:fldChar w:fldCharType="end"/>
            </w:r>
          </w:hyperlink>
        </w:p>
        <w:p w14:paraId="0686C32B" w14:textId="4F8C8359" w:rsidR="00C64710" w:rsidRPr="00C64710" w:rsidRDefault="00000000">
          <w:pPr>
            <w:pStyle w:val="TOC1"/>
            <w:tabs>
              <w:tab w:val="left" w:pos="440"/>
              <w:tab w:val="right" w:leader="dot" w:pos="9350"/>
            </w:tabs>
            <w:rPr>
              <w:rFonts w:eastAsiaTheme="minorEastAsia"/>
              <w:noProof/>
              <w:sz w:val="20"/>
              <w:szCs w:val="20"/>
            </w:rPr>
          </w:pPr>
          <w:hyperlink w:anchor="_Toc138453598" w:history="1">
            <w:r w:rsidR="00C64710" w:rsidRPr="00C64710">
              <w:rPr>
                <w:rStyle w:val="Hyperlink"/>
                <w:rFonts w:cstheme="minorHAnsi"/>
                <w:noProof/>
                <w:sz w:val="20"/>
                <w:szCs w:val="20"/>
              </w:rPr>
              <w:t>3.</w:t>
            </w:r>
            <w:r w:rsidR="00C64710" w:rsidRPr="00C64710">
              <w:rPr>
                <w:rFonts w:eastAsiaTheme="minorEastAsia"/>
                <w:noProof/>
                <w:sz w:val="20"/>
                <w:szCs w:val="20"/>
              </w:rPr>
              <w:tab/>
            </w:r>
            <w:r w:rsidR="00C64710" w:rsidRPr="00C64710">
              <w:rPr>
                <w:rStyle w:val="Hyperlink"/>
                <w:rFonts w:cstheme="minorHAnsi"/>
                <w:noProof/>
                <w:sz w:val="20"/>
                <w:szCs w:val="20"/>
              </w:rPr>
              <w:t>Key findings</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_Toc138453598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6</w:t>
            </w:r>
            <w:r w:rsidR="00C64710" w:rsidRPr="00C64710">
              <w:rPr>
                <w:noProof/>
                <w:webHidden/>
                <w:sz w:val="20"/>
                <w:szCs w:val="20"/>
              </w:rPr>
              <w:fldChar w:fldCharType="end"/>
            </w:r>
          </w:hyperlink>
        </w:p>
        <w:p w14:paraId="7AF9FEA4" w14:textId="51626A5E" w:rsidR="00C64710" w:rsidRPr="00C64710" w:rsidRDefault="00000000">
          <w:pPr>
            <w:pStyle w:val="TOC2"/>
            <w:tabs>
              <w:tab w:val="left" w:pos="880"/>
              <w:tab w:val="right" w:leader="dot" w:pos="9350"/>
            </w:tabs>
            <w:rPr>
              <w:rFonts w:eastAsiaTheme="minorEastAsia"/>
              <w:noProof/>
              <w:sz w:val="20"/>
              <w:szCs w:val="20"/>
            </w:rPr>
          </w:pPr>
          <w:hyperlink w:anchor="_Toc138453599" w:history="1">
            <w:r w:rsidR="00C64710" w:rsidRPr="00C64710">
              <w:rPr>
                <w:rStyle w:val="Hyperlink"/>
                <w:rFonts w:cstheme="minorHAnsi"/>
                <w:bCs/>
                <w:i/>
                <w:iCs/>
                <w:noProof/>
                <w:sz w:val="20"/>
                <w:szCs w:val="20"/>
              </w:rPr>
              <w:t>3.1.</w:t>
            </w:r>
            <w:r w:rsidR="00C64710" w:rsidRPr="00C64710">
              <w:rPr>
                <w:rFonts w:eastAsiaTheme="minorEastAsia"/>
                <w:noProof/>
                <w:sz w:val="20"/>
                <w:szCs w:val="20"/>
              </w:rPr>
              <w:tab/>
            </w:r>
            <w:r w:rsidR="00C64710" w:rsidRPr="00C64710">
              <w:rPr>
                <w:rStyle w:val="Hyperlink"/>
                <w:rFonts w:cstheme="minorHAnsi"/>
                <w:i/>
                <w:iCs/>
                <w:noProof/>
                <w:sz w:val="20"/>
                <w:szCs w:val="20"/>
              </w:rPr>
              <w:t>Total Cross-Border Resource Flows</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_Toc138453599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7</w:t>
            </w:r>
            <w:r w:rsidR="00C64710" w:rsidRPr="00C64710">
              <w:rPr>
                <w:noProof/>
                <w:webHidden/>
                <w:sz w:val="20"/>
                <w:szCs w:val="20"/>
              </w:rPr>
              <w:fldChar w:fldCharType="end"/>
            </w:r>
          </w:hyperlink>
        </w:p>
        <w:p w14:paraId="63AAD85B" w14:textId="4FED2828" w:rsidR="00C64710" w:rsidRPr="00C64710" w:rsidRDefault="00000000">
          <w:pPr>
            <w:pStyle w:val="TOC3"/>
            <w:tabs>
              <w:tab w:val="left" w:pos="1320"/>
              <w:tab w:val="right" w:leader="dot" w:pos="9350"/>
            </w:tabs>
            <w:rPr>
              <w:rFonts w:eastAsiaTheme="minorEastAsia"/>
              <w:noProof/>
              <w:sz w:val="20"/>
              <w:szCs w:val="20"/>
            </w:rPr>
          </w:pPr>
          <w:hyperlink w:anchor="_Toc138453600" w:history="1">
            <w:r w:rsidR="00C64710" w:rsidRPr="00C64710">
              <w:rPr>
                <w:rStyle w:val="Hyperlink"/>
                <w:rFonts w:cstheme="minorHAnsi"/>
                <w:i/>
                <w:iCs/>
                <w:noProof/>
                <w:sz w:val="20"/>
                <w:szCs w:val="20"/>
              </w:rPr>
              <w:t>3.1.1.</w:t>
            </w:r>
            <w:r w:rsidR="00C64710" w:rsidRPr="00C64710">
              <w:rPr>
                <w:rFonts w:eastAsiaTheme="minorEastAsia"/>
                <w:noProof/>
                <w:sz w:val="20"/>
                <w:szCs w:val="20"/>
              </w:rPr>
              <w:tab/>
            </w:r>
            <w:r w:rsidR="00C64710" w:rsidRPr="00C64710">
              <w:rPr>
                <w:rStyle w:val="Hyperlink"/>
                <w:rFonts w:cstheme="minorHAnsi"/>
                <w:i/>
                <w:iCs/>
                <w:noProof/>
                <w:sz w:val="20"/>
                <w:szCs w:val="20"/>
              </w:rPr>
              <w:t>Cross-Border Philanthropic Outflows</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_Toc138453600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9</w:t>
            </w:r>
            <w:r w:rsidR="00C64710" w:rsidRPr="00C64710">
              <w:rPr>
                <w:noProof/>
                <w:webHidden/>
                <w:sz w:val="20"/>
                <w:szCs w:val="20"/>
              </w:rPr>
              <w:fldChar w:fldCharType="end"/>
            </w:r>
          </w:hyperlink>
        </w:p>
        <w:p w14:paraId="2C3B01C9" w14:textId="3BADA29E" w:rsidR="00C64710" w:rsidRPr="00C64710" w:rsidRDefault="00000000">
          <w:pPr>
            <w:pStyle w:val="TOC3"/>
            <w:tabs>
              <w:tab w:val="left" w:pos="1320"/>
              <w:tab w:val="right" w:leader="dot" w:pos="9350"/>
            </w:tabs>
            <w:rPr>
              <w:rFonts w:eastAsiaTheme="minorEastAsia"/>
              <w:noProof/>
              <w:sz w:val="20"/>
              <w:szCs w:val="20"/>
            </w:rPr>
          </w:pPr>
          <w:hyperlink w:anchor="_Toc138453601" w:history="1">
            <w:r w:rsidR="00C64710" w:rsidRPr="00C64710">
              <w:rPr>
                <w:rStyle w:val="Hyperlink"/>
                <w:rFonts w:cstheme="minorHAnsi"/>
                <w:i/>
                <w:iCs/>
                <w:noProof/>
                <w:sz w:val="20"/>
                <w:szCs w:val="20"/>
              </w:rPr>
              <w:t>3.1.2.</w:t>
            </w:r>
            <w:r w:rsidR="00C64710" w:rsidRPr="00C64710">
              <w:rPr>
                <w:rFonts w:eastAsiaTheme="minorEastAsia"/>
                <w:noProof/>
                <w:sz w:val="20"/>
                <w:szCs w:val="20"/>
              </w:rPr>
              <w:tab/>
            </w:r>
            <w:r w:rsidR="00C64710" w:rsidRPr="00C64710">
              <w:rPr>
                <w:rStyle w:val="Hyperlink"/>
                <w:rFonts w:cstheme="minorHAnsi"/>
                <w:i/>
                <w:iCs/>
                <w:noProof/>
                <w:sz w:val="20"/>
                <w:szCs w:val="20"/>
              </w:rPr>
              <w:t>Official Development Assistance</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_Toc138453601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11</w:t>
            </w:r>
            <w:r w:rsidR="00C64710" w:rsidRPr="00C64710">
              <w:rPr>
                <w:noProof/>
                <w:webHidden/>
                <w:sz w:val="20"/>
                <w:szCs w:val="20"/>
              </w:rPr>
              <w:fldChar w:fldCharType="end"/>
            </w:r>
          </w:hyperlink>
        </w:p>
        <w:p w14:paraId="6EC056FB" w14:textId="6A076C66" w:rsidR="00C64710" w:rsidRPr="00C64710" w:rsidRDefault="00000000">
          <w:pPr>
            <w:pStyle w:val="TOC3"/>
            <w:tabs>
              <w:tab w:val="left" w:pos="1320"/>
              <w:tab w:val="right" w:leader="dot" w:pos="9350"/>
            </w:tabs>
            <w:rPr>
              <w:rFonts w:eastAsiaTheme="minorEastAsia"/>
              <w:noProof/>
              <w:sz w:val="20"/>
              <w:szCs w:val="20"/>
            </w:rPr>
          </w:pPr>
          <w:hyperlink w:anchor="_Toc138453602" w:history="1">
            <w:r w:rsidR="00C64710" w:rsidRPr="00C64710">
              <w:rPr>
                <w:rStyle w:val="Hyperlink"/>
                <w:rFonts w:cstheme="minorHAnsi"/>
                <w:i/>
                <w:iCs/>
                <w:noProof/>
                <w:sz w:val="20"/>
                <w:szCs w:val="20"/>
              </w:rPr>
              <w:t>3.1.3.</w:t>
            </w:r>
            <w:r w:rsidR="00C64710" w:rsidRPr="00C64710">
              <w:rPr>
                <w:rFonts w:eastAsiaTheme="minorEastAsia"/>
                <w:noProof/>
                <w:sz w:val="20"/>
                <w:szCs w:val="20"/>
              </w:rPr>
              <w:tab/>
            </w:r>
            <w:r w:rsidR="00C64710" w:rsidRPr="00C64710">
              <w:rPr>
                <w:rStyle w:val="Hyperlink"/>
                <w:rFonts w:cstheme="minorHAnsi"/>
                <w:i/>
                <w:iCs/>
                <w:noProof/>
                <w:sz w:val="20"/>
                <w:szCs w:val="20"/>
              </w:rPr>
              <w:t>Remittances</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_Toc138453602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13</w:t>
            </w:r>
            <w:r w:rsidR="00C64710" w:rsidRPr="00C64710">
              <w:rPr>
                <w:noProof/>
                <w:webHidden/>
                <w:sz w:val="20"/>
                <w:szCs w:val="20"/>
              </w:rPr>
              <w:fldChar w:fldCharType="end"/>
            </w:r>
          </w:hyperlink>
        </w:p>
        <w:p w14:paraId="63D5C8A7" w14:textId="4EA4AEC2" w:rsidR="00C64710" w:rsidRPr="00C64710" w:rsidRDefault="00000000">
          <w:pPr>
            <w:pStyle w:val="TOC3"/>
            <w:tabs>
              <w:tab w:val="left" w:pos="1320"/>
              <w:tab w:val="right" w:leader="dot" w:pos="9350"/>
            </w:tabs>
            <w:rPr>
              <w:rFonts w:eastAsiaTheme="minorEastAsia"/>
              <w:noProof/>
              <w:sz w:val="20"/>
              <w:szCs w:val="20"/>
            </w:rPr>
          </w:pPr>
          <w:hyperlink w:anchor="_Toc138453603" w:history="1">
            <w:r w:rsidR="00C64710" w:rsidRPr="00C64710">
              <w:rPr>
                <w:rStyle w:val="Hyperlink"/>
                <w:rFonts w:cstheme="minorHAnsi"/>
                <w:i/>
                <w:iCs/>
                <w:noProof/>
                <w:sz w:val="20"/>
                <w:szCs w:val="20"/>
              </w:rPr>
              <w:t>3.1.4.</w:t>
            </w:r>
            <w:r w:rsidR="00C64710" w:rsidRPr="00C64710">
              <w:rPr>
                <w:rFonts w:eastAsiaTheme="minorEastAsia"/>
                <w:noProof/>
                <w:sz w:val="20"/>
                <w:szCs w:val="20"/>
              </w:rPr>
              <w:tab/>
            </w:r>
            <w:r w:rsidR="00C64710" w:rsidRPr="00C64710">
              <w:rPr>
                <w:rStyle w:val="Hyperlink"/>
                <w:rFonts w:cstheme="minorHAnsi"/>
                <w:i/>
                <w:iCs/>
                <w:noProof/>
                <w:sz w:val="20"/>
                <w:szCs w:val="20"/>
              </w:rPr>
              <w:t>Private Capital Investment</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_Toc138453603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16</w:t>
            </w:r>
            <w:r w:rsidR="00C64710" w:rsidRPr="00C64710">
              <w:rPr>
                <w:noProof/>
                <w:webHidden/>
                <w:sz w:val="20"/>
                <w:szCs w:val="20"/>
              </w:rPr>
              <w:fldChar w:fldCharType="end"/>
            </w:r>
          </w:hyperlink>
        </w:p>
        <w:p w14:paraId="1B7F970C" w14:textId="44D0059B" w:rsidR="00C64710" w:rsidRPr="00C64710" w:rsidRDefault="00000000">
          <w:pPr>
            <w:pStyle w:val="TOC2"/>
            <w:tabs>
              <w:tab w:val="left" w:pos="880"/>
              <w:tab w:val="right" w:leader="dot" w:pos="9350"/>
            </w:tabs>
            <w:rPr>
              <w:rFonts w:eastAsiaTheme="minorEastAsia"/>
              <w:noProof/>
              <w:sz w:val="20"/>
              <w:szCs w:val="20"/>
            </w:rPr>
          </w:pPr>
          <w:hyperlink w:anchor="_Toc138453604" w:history="1">
            <w:r w:rsidR="00C64710" w:rsidRPr="00C64710">
              <w:rPr>
                <w:rStyle w:val="Hyperlink"/>
                <w:rFonts w:cstheme="minorHAnsi"/>
                <w:i/>
                <w:iCs/>
                <w:noProof/>
                <w:sz w:val="20"/>
                <w:szCs w:val="20"/>
              </w:rPr>
              <w:t>3.2.</w:t>
            </w:r>
            <w:r w:rsidR="00C64710" w:rsidRPr="00C64710">
              <w:rPr>
                <w:rFonts w:eastAsiaTheme="minorEastAsia"/>
                <w:noProof/>
                <w:sz w:val="20"/>
                <w:szCs w:val="20"/>
              </w:rPr>
              <w:tab/>
            </w:r>
            <w:r w:rsidR="00C64710" w:rsidRPr="00C64710">
              <w:rPr>
                <w:rStyle w:val="Hyperlink"/>
                <w:rFonts w:cstheme="minorHAnsi"/>
                <w:i/>
                <w:iCs/>
                <w:noProof/>
                <w:sz w:val="20"/>
                <w:szCs w:val="20"/>
              </w:rPr>
              <w:t>Recipients of Cross-Border Philanthropy</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_Toc138453604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17</w:t>
            </w:r>
            <w:r w:rsidR="00C64710" w:rsidRPr="00C64710">
              <w:rPr>
                <w:noProof/>
                <w:webHidden/>
                <w:sz w:val="20"/>
                <w:szCs w:val="20"/>
              </w:rPr>
              <w:fldChar w:fldCharType="end"/>
            </w:r>
          </w:hyperlink>
        </w:p>
        <w:p w14:paraId="08D25BD0" w14:textId="6E1E7B5A" w:rsidR="00C64710" w:rsidRPr="00C64710" w:rsidRDefault="00000000">
          <w:pPr>
            <w:pStyle w:val="TOC3"/>
            <w:tabs>
              <w:tab w:val="left" w:pos="1320"/>
              <w:tab w:val="right" w:leader="dot" w:pos="9350"/>
            </w:tabs>
            <w:rPr>
              <w:rFonts w:eastAsiaTheme="minorEastAsia"/>
              <w:noProof/>
              <w:sz w:val="20"/>
              <w:szCs w:val="20"/>
            </w:rPr>
          </w:pPr>
          <w:hyperlink w:anchor="_Toc138453605" w:history="1">
            <w:r w:rsidR="00C64710" w:rsidRPr="00C64710">
              <w:rPr>
                <w:rStyle w:val="Hyperlink"/>
                <w:rFonts w:cstheme="minorHAnsi"/>
                <w:i/>
                <w:iCs/>
                <w:noProof/>
                <w:sz w:val="20"/>
                <w:szCs w:val="20"/>
              </w:rPr>
              <w:t>3.2.1.</w:t>
            </w:r>
            <w:r w:rsidR="00C64710" w:rsidRPr="00C64710">
              <w:rPr>
                <w:rFonts w:eastAsiaTheme="minorEastAsia"/>
                <w:noProof/>
                <w:sz w:val="20"/>
                <w:szCs w:val="20"/>
              </w:rPr>
              <w:tab/>
            </w:r>
            <w:r w:rsidR="00C64710" w:rsidRPr="00C64710">
              <w:rPr>
                <w:rStyle w:val="Hyperlink"/>
                <w:rFonts w:cstheme="minorHAnsi"/>
                <w:i/>
                <w:iCs/>
                <w:noProof/>
                <w:sz w:val="20"/>
                <w:szCs w:val="20"/>
              </w:rPr>
              <w:t>Cross-Border Philanthropy by Charitable Cause</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_Toc138453605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17</w:t>
            </w:r>
            <w:r w:rsidR="00C64710" w:rsidRPr="00C64710">
              <w:rPr>
                <w:noProof/>
                <w:webHidden/>
                <w:sz w:val="20"/>
                <w:szCs w:val="20"/>
              </w:rPr>
              <w:fldChar w:fldCharType="end"/>
            </w:r>
          </w:hyperlink>
        </w:p>
        <w:p w14:paraId="0918F3BD" w14:textId="0D9448E1" w:rsidR="00C64710" w:rsidRPr="00C64710" w:rsidRDefault="00000000">
          <w:pPr>
            <w:pStyle w:val="TOC3"/>
            <w:tabs>
              <w:tab w:val="left" w:pos="1320"/>
              <w:tab w:val="right" w:leader="dot" w:pos="9350"/>
            </w:tabs>
            <w:rPr>
              <w:rFonts w:eastAsiaTheme="minorEastAsia"/>
              <w:noProof/>
              <w:sz w:val="20"/>
              <w:szCs w:val="20"/>
            </w:rPr>
          </w:pPr>
          <w:hyperlink w:anchor="_Toc138453606" w:history="1">
            <w:r w:rsidR="00C64710" w:rsidRPr="00C64710">
              <w:rPr>
                <w:rStyle w:val="Hyperlink"/>
                <w:rFonts w:cstheme="minorHAnsi"/>
                <w:i/>
                <w:iCs/>
                <w:noProof/>
                <w:sz w:val="20"/>
                <w:szCs w:val="20"/>
              </w:rPr>
              <w:t>3.2.2.</w:t>
            </w:r>
            <w:r w:rsidR="00C64710" w:rsidRPr="00C64710">
              <w:rPr>
                <w:rFonts w:eastAsiaTheme="minorEastAsia"/>
                <w:noProof/>
                <w:sz w:val="20"/>
                <w:szCs w:val="20"/>
              </w:rPr>
              <w:tab/>
            </w:r>
            <w:r w:rsidR="00C64710" w:rsidRPr="00C64710">
              <w:rPr>
                <w:rStyle w:val="Hyperlink"/>
                <w:rFonts w:cstheme="minorHAnsi"/>
                <w:i/>
                <w:iCs/>
                <w:noProof/>
                <w:sz w:val="20"/>
                <w:szCs w:val="20"/>
              </w:rPr>
              <w:t>Recipient Regions of Cross-Border Philanthropy</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_Toc138453606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18</w:t>
            </w:r>
            <w:r w:rsidR="00C64710" w:rsidRPr="00C64710">
              <w:rPr>
                <w:noProof/>
                <w:webHidden/>
                <w:sz w:val="20"/>
                <w:szCs w:val="20"/>
              </w:rPr>
              <w:fldChar w:fldCharType="end"/>
            </w:r>
          </w:hyperlink>
        </w:p>
        <w:p w14:paraId="1D4B3D7A" w14:textId="1EDDB268" w:rsidR="00C64710" w:rsidRPr="00C64710" w:rsidRDefault="00000000">
          <w:pPr>
            <w:pStyle w:val="TOC1"/>
            <w:tabs>
              <w:tab w:val="left" w:pos="440"/>
              <w:tab w:val="right" w:leader="dot" w:pos="9350"/>
            </w:tabs>
            <w:rPr>
              <w:rFonts w:eastAsiaTheme="minorEastAsia"/>
              <w:noProof/>
              <w:sz w:val="20"/>
              <w:szCs w:val="20"/>
            </w:rPr>
          </w:pPr>
          <w:hyperlink w:anchor="_Toc138453607" w:history="1">
            <w:r w:rsidR="00C64710" w:rsidRPr="00C64710">
              <w:rPr>
                <w:rStyle w:val="Hyperlink"/>
                <w:rFonts w:cstheme="minorHAnsi"/>
                <w:noProof/>
                <w:sz w:val="20"/>
                <w:szCs w:val="20"/>
              </w:rPr>
              <w:t>4.</w:t>
            </w:r>
            <w:r w:rsidR="00C64710" w:rsidRPr="00C64710">
              <w:rPr>
                <w:rFonts w:eastAsiaTheme="minorEastAsia"/>
                <w:noProof/>
                <w:sz w:val="20"/>
                <w:szCs w:val="20"/>
              </w:rPr>
              <w:tab/>
            </w:r>
            <w:r w:rsidR="00C64710" w:rsidRPr="00C64710">
              <w:rPr>
                <w:rStyle w:val="Hyperlink"/>
                <w:rFonts w:cstheme="minorHAnsi"/>
                <w:noProof/>
                <w:sz w:val="20"/>
                <w:szCs w:val="20"/>
              </w:rPr>
              <w:t>Conclusions</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_Toc138453607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18</w:t>
            </w:r>
            <w:r w:rsidR="00C64710" w:rsidRPr="00C64710">
              <w:rPr>
                <w:noProof/>
                <w:webHidden/>
                <w:sz w:val="20"/>
                <w:szCs w:val="20"/>
              </w:rPr>
              <w:fldChar w:fldCharType="end"/>
            </w:r>
          </w:hyperlink>
        </w:p>
        <w:p w14:paraId="6A82446A" w14:textId="7664EE5F" w:rsidR="00C64710" w:rsidRPr="00C64710" w:rsidRDefault="00000000">
          <w:pPr>
            <w:pStyle w:val="TOC1"/>
            <w:tabs>
              <w:tab w:val="left" w:pos="440"/>
              <w:tab w:val="right" w:leader="dot" w:pos="9350"/>
            </w:tabs>
            <w:rPr>
              <w:rFonts w:eastAsiaTheme="minorEastAsia"/>
              <w:noProof/>
              <w:sz w:val="20"/>
              <w:szCs w:val="20"/>
            </w:rPr>
          </w:pPr>
          <w:hyperlink w:anchor="_Toc138453608" w:history="1">
            <w:r w:rsidR="00C64710" w:rsidRPr="00C64710">
              <w:rPr>
                <w:rStyle w:val="Hyperlink"/>
                <w:rFonts w:cstheme="minorHAnsi"/>
                <w:noProof/>
                <w:sz w:val="20"/>
                <w:szCs w:val="20"/>
              </w:rPr>
              <w:t>5.</w:t>
            </w:r>
            <w:r w:rsidR="00C64710" w:rsidRPr="00C64710">
              <w:rPr>
                <w:rFonts w:eastAsiaTheme="minorEastAsia"/>
                <w:noProof/>
                <w:sz w:val="20"/>
                <w:szCs w:val="20"/>
              </w:rPr>
              <w:tab/>
            </w:r>
            <w:r w:rsidR="00C64710" w:rsidRPr="00C64710">
              <w:rPr>
                <w:rStyle w:val="Hyperlink"/>
                <w:rFonts w:cstheme="minorHAnsi"/>
                <w:noProof/>
                <w:sz w:val="20"/>
                <w:szCs w:val="20"/>
              </w:rPr>
              <w:t>Limitations and Future Research</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_Toc138453608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19</w:t>
            </w:r>
            <w:r w:rsidR="00C64710" w:rsidRPr="00C64710">
              <w:rPr>
                <w:noProof/>
                <w:webHidden/>
                <w:sz w:val="20"/>
                <w:szCs w:val="20"/>
              </w:rPr>
              <w:fldChar w:fldCharType="end"/>
            </w:r>
          </w:hyperlink>
        </w:p>
        <w:p w14:paraId="22878135" w14:textId="0D6277BC" w:rsidR="00C64710" w:rsidRPr="00C64710" w:rsidRDefault="00000000">
          <w:pPr>
            <w:pStyle w:val="TOC1"/>
            <w:tabs>
              <w:tab w:val="right" w:leader="dot" w:pos="9350"/>
            </w:tabs>
            <w:rPr>
              <w:rFonts w:eastAsiaTheme="minorEastAsia"/>
              <w:noProof/>
              <w:sz w:val="20"/>
              <w:szCs w:val="20"/>
            </w:rPr>
          </w:pPr>
          <w:hyperlink w:anchor="_Toc138453609" w:history="1">
            <w:r w:rsidR="00C64710" w:rsidRPr="00C64710">
              <w:rPr>
                <w:rStyle w:val="Hyperlink"/>
                <w:rFonts w:cstheme="minorHAnsi"/>
                <w:noProof/>
                <w:sz w:val="20"/>
                <w:szCs w:val="20"/>
              </w:rPr>
              <w:t>Acknowledgments</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_Toc138453609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20</w:t>
            </w:r>
            <w:r w:rsidR="00C64710" w:rsidRPr="00C64710">
              <w:rPr>
                <w:noProof/>
                <w:webHidden/>
                <w:sz w:val="20"/>
                <w:szCs w:val="20"/>
              </w:rPr>
              <w:fldChar w:fldCharType="end"/>
            </w:r>
          </w:hyperlink>
        </w:p>
        <w:p w14:paraId="43749AE8" w14:textId="3DEA52E1" w:rsidR="00C64710" w:rsidRPr="00C64710" w:rsidRDefault="00000000">
          <w:pPr>
            <w:pStyle w:val="TOC1"/>
            <w:tabs>
              <w:tab w:val="right" w:leader="dot" w:pos="9350"/>
            </w:tabs>
            <w:rPr>
              <w:rFonts w:eastAsiaTheme="minorEastAsia"/>
              <w:noProof/>
              <w:sz w:val="20"/>
              <w:szCs w:val="20"/>
            </w:rPr>
          </w:pPr>
          <w:hyperlink w:anchor="_Toc138453610" w:history="1">
            <w:r w:rsidR="00C64710" w:rsidRPr="00C64710">
              <w:rPr>
                <w:rStyle w:val="Hyperlink"/>
                <w:rFonts w:cstheme="minorHAnsi"/>
                <w:noProof/>
                <w:sz w:val="20"/>
                <w:szCs w:val="20"/>
              </w:rPr>
              <w:t>References</w:t>
            </w:r>
            <w:r w:rsidR="00C64710" w:rsidRPr="00C64710">
              <w:rPr>
                <w:noProof/>
                <w:webHidden/>
                <w:sz w:val="20"/>
                <w:szCs w:val="20"/>
              </w:rPr>
              <w:tab/>
            </w:r>
            <w:r w:rsidR="00C64710" w:rsidRPr="00C64710">
              <w:rPr>
                <w:noProof/>
                <w:webHidden/>
                <w:sz w:val="20"/>
                <w:szCs w:val="20"/>
              </w:rPr>
              <w:fldChar w:fldCharType="begin"/>
            </w:r>
            <w:r w:rsidR="00C64710" w:rsidRPr="00C64710">
              <w:rPr>
                <w:noProof/>
                <w:webHidden/>
                <w:sz w:val="20"/>
                <w:szCs w:val="20"/>
              </w:rPr>
              <w:instrText xml:space="preserve"> PAGEREF _Toc138453610 \h </w:instrText>
            </w:r>
            <w:r w:rsidR="00C64710" w:rsidRPr="00C64710">
              <w:rPr>
                <w:noProof/>
                <w:webHidden/>
                <w:sz w:val="20"/>
                <w:szCs w:val="20"/>
              </w:rPr>
            </w:r>
            <w:r w:rsidR="00C64710" w:rsidRPr="00C64710">
              <w:rPr>
                <w:noProof/>
                <w:webHidden/>
                <w:sz w:val="20"/>
                <w:szCs w:val="20"/>
              </w:rPr>
              <w:fldChar w:fldCharType="separate"/>
            </w:r>
            <w:r w:rsidR="00C64710" w:rsidRPr="00C64710">
              <w:rPr>
                <w:noProof/>
                <w:webHidden/>
                <w:sz w:val="20"/>
                <w:szCs w:val="20"/>
              </w:rPr>
              <w:t>20</w:t>
            </w:r>
            <w:r w:rsidR="00C64710" w:rsidRPr="00C64710">
              <w:rPr>
                <w:noProof/>
                <w:webHidden/>
                <w:sz w:val="20"/>
                <w:szCs w:val="20"/>
              </w:rPr>
              <w:fldChar w:fldCharType="end"/>
            </w:r>
          </w:hyperlink>
        </w:p>
        <w:p w14:paraId="7FB6490B" w14:textId="6B678926" w:rsidR="0042358A" w:rsidRPr="00A0498F" w:rsidRDefault="0042358A">
          <w:pPr>
            <w:rPr>
              <w:rFonts w:cstheme="minorHAnsi"/>
              <w:sz w:val="20"/>
              <w:szCs w:val="20"/>
            </w:rPr>
          </w:pPr>
          <w:r w:rsidRPr="00C64710">
            <w:rPr>
              <w:rFonts w:cstheme="minorHAnsi"/>
              <w:b/>
              <w:bCs/>
              <w:noProof/>
              <w:sz w:val="20"/>
              <w:szCs w:val="20"/>
            </w:rPr>
            <w:fldChar w:fldCharType="end"/>
          </w:r>
        </w:p>
      </w:sdtContent>
    </w:sdt>
    <w:p w14:paraId="2C623246" w14:textId="4D2EE21E" w:rsidR="0042358A" w:rsidRPr="00A0498F" w:rsidRDefault="0042358A">
      <w:pPr>
        <w:rPr>
          <w:rFonts w:cstheme="minorHAnsi"/>
          <w:b/>
          <w:bCs/>
          <w:sz w:val="20"/>
          <w:szCs w:val="20"/>
        </w:rPr>
      </w:pPr>
    </w:p>
    <w:p w14:paraId="0D4E7EF6" w14:textId="77777777" w:rsidR="0042358A" w:rsidRPr="00A0498F" w:rsidRDefault="0042358A">
      <w:pPr>
        <w:rPr>
          <w:rFonts w:cstheme="minorHAnsi"/>
          <w:b/>
          <w:bCs/>
          <w:sz w:val="20"/>
          <w:szCs w:val="20"/>
        </w:rPr>
      </w:pPr>
    </w:p>
    <w:p w14:paraId="3ED69269" w14:textId="77777777" w:rsidR="0042358A" w:rsidRPr="00A0498F" w:rsidRDefault="0042358A">
      <w:pPr>
        <w:rPr>
          <w:rFonts w:cstheme="minorHAnsi"/>
          <w:b/>
          <w:bCs/>
          <w:sz w:val="20"/>
          <w:szCs w:val="20"/>
        </w:rPr>
      </w:pPr>
      <w:r w:rsidRPr="00A0498F">
        <w:rPr>
          <w:rFonts w:cstheme="minorHAnsi"/>
          <w:b/>
          <w:bCs/>
          <w:sz w:val="20"/>
          <w:szCs w:val="20"/>
        </w:rPr>
        <w:br w:type="page"/>
      </w:r>
    </w:p>
    <w:p w14:paraId="65B8F090" w14:textId="1B295A3E" w:rsidR="00A0498F" w:rsidRDefault="00A0498F" w:rsidP="0042358A">
      <w:pPr>
        <w:pStyle w:val="Heading1"/>
        <w:rPr>
          <w:rFonts w:asciiTheme="minorHAnsi" w:hAnsiTheme="minorHAnsi" w:cstheme="minorHAnsi"/>
          <w:sz w:val="20"/>
          <w:szCs w:val="20"/>
        </w:rPr>
      </w:pPr>
      <w:bookmarkStart w:id="1" w:name="_Toc138453595"/>
      <w:r>
        <w:rPr>
          <w:rFonts w:asciiTheme="minorHAnsi" w:hAnsiTheme="minorHAnsi" w:cstheme="minorHAnsi"/>
          <w:sz w:val="20"/>
          <w:szCs w:val="20"/>
        </w:rPr>
        <w:lastRenderedPageBreak/>
        <w:t>Abstract</w:t>
      </w:r>
      <w:bookmarkEnd w:id="1"/>
    </w:p>
    <w:p w14:paraId="07C3B42D" w14:textId="77777777" w:rsidR="00A0498F" w:rsidRPr="00A0498F" w:rsidRDefault="00A0498F" w:rsidP="00A0498F">
      <w:pPr>
        <w:rPr>
          <w:sz w:val="20"/>
          <w:szCs w:val="20"/>
        </w:rPr>
      </w:pPr>
      <w:r w:rsidRPr="00A0498F">
        <w:rPr>
          <w:sz w:val="20"/>
          <w:szCs w:val="20"/>
        </w:rPr>
        <w:t xml:space="preserve">The role of global philanthropy has become pivotal. International collaborations in response to natural and human-made disasters—including the COVID-19 pandemic, the war in Ukraine, and the recent earthquakes in Turkiye and Syria—as well as the increasing level of philanthropic efforts to achieve the United Nations’ Sustainable Development Goals (SDGs) highlight the importance of understanding and measuring cross-border giving more effectively. </w:t>
      </w:r>
    </w:p>
    <w:p w14:paraId="79E3E8ED" w14:textId="77777777" w:rsidR="00A0498F" w:rsidRPr="00A0498F" w:rsidRDefault="00A0498F" w:rsidP="00A0498F">
      <w:pPr>
        <w:rPr>
          <w:sz w:val="20"/>
          <w:szCs w:val="20"/>
        </w:rPr>
      </w:pPr>
      <w:r w:rsidRPr="00A0498F">
        <w:rPr>
          <w:sz w:val="20"/>
          <w:szCs w:val="20"/>
        </w:rPr>
        <w:t>Existing research offers some insights into the complex factors that influence cross-border giving, such as fundraising practices (Wiepking &amp; Handy, 2015) and regulations on cross-border donations (Indiana University Lilly Family School of Philanthropy, 2022). Scholars have begun to measure private philanthropic flows for development (OECD, 2018 and 2021, Indiana University Lilly Family School of Philanthropy, 2020) and to investigate how private donors can align their activities with the SDGs (Ross &amp; Spruill, 2018; Scataglini &amp; Ventresca, 2019). While efforts have been made in the last few years to measure the magnitude of philanthropic flows around the world, the real scale of cross-border giving remains unclear due to the lack of comparable measurements and fragmented data.</w:t>
      </w:r>
    </w:p>
    <w:p w14:paraId="376BD059" w14:textId="77777777" w:rsidR="00A0498F" w:rsidRPr="00A0498F" w:rsidRDefault="00A0498F" w:rsidP="00A0498F">
      <w:pPr>
        <w:rPr>
          <w:sz w:val="20"/>
          <w:szCs w:val="20"/>
        </w:rPr>
      </w:pPr>
      <w:r w:rsidRPr="00A0498F">
        <w:rPr>
          <w:sz w:val="20"/>
          <w:szCs w:val="20"/>
        </w:rPr>
        <w:t>The main research question is: What the size of cross-border giving is, and how does it compare to other cross-border resource flows, namely remittances, private capital investment, and official development aid? Building on comprehensive data collection, the report provides updated insights into philanthropic outflows at the country level during the first year of the COVID-19 pandemic.</w:t>
      </w:r>
    </w:p>
    <w:p w14:paraId="3E24B0BC" w14:textId="77777777" w:rsidR="00A0498F" w:rsidRPr="00A0498F" w:rsidRDefault="00A0498F" w:rsidP="00A0498F">
      <w:pPr>
        <w:rPr>
          <w:sz w:val="20"/>
          <w:szCs w:val="20"/>
        </w:rPr>
      </w:pPr>
      <w:r w:rsidRPr="00A0498F">
        <w:rPr>
          <w:sz w:val="20"/>
          <w:szCs w:val="20"/>
        </w:rPr>
        <w:t xml:space="preserve">This report shares the most recent data on cross-border philanthropy and three other resource flows in 47 countries, mostly about the year 2020. Cross-border philanthropy is measured by philanthropic dollars donated to overseas nonprofits directly and to domestic nonprofits for international causes, upon available data. Data </w:t>
      </w:r>
      <w:proofErr w:type="gramStart"/>
      <w:r w:rsidRPr="00A0498F">
        <w:rPr>
          <w:sz w:val="20"/>
          <w:szCs w:val="20"/>
        </w:rPr>
        <w:t>were</w:t>
      </w:r>
      <w:proofErr w:type="gramEnd"/>
      <w:r w:rsidRPr="00A0498F">
        <w:rPr>
          <w:sz w:val="20"/>
          <w:szCs w:val="20"/>
        </w:rPr>
        <w:t xml:space="preserve"> collected using publicly available sources in each country (</w:t>
      </w:r>
      <w:proofErr w:type="gramStart"/>
      <w:r w:rsidRPr="00A0498F">
        <w:rPr>
          <w:sz w:val="20"/>
          <w:szCs w:val="20"/>
        </w:rPr>
        <w:t>e.g.</w:t>
      </w:r>
      <w:proofErr w:type="gramEnd"/>
      <w:r w:rsidRPr="00A0498F">
        <w:rPr>
          <w:sz w:val="20"/>
          <w:szCs w:val="20"/>
        </w:rPr>
        <w:t xml:space="preserve"> datasets, organization tax returns and annual reports, public gift announcements). The report also examines the main charitable causes supported by cross-border giving, and the major recipient countries.</w:t>
      </w:r>
    </w:p>
    <w:p w14:paraId="38682D7F" w14:textId="209D044D" w:rsidR="00A0498F" w:rsidRDefault="00A0498F" w:rsidP="00A0498F">
      <w:pPr>
        <w:rPr>
          <w:sz w:val="20"/>
          <w:szCs w:val="20"/>
        </w:rPr>
      </w:pPr>
      <w:r w:rsidRPr="00A0498F">
        <w:rPr>
          <w:sz w:val="20"/>
          <w:szCs w:val="20"/>
        </w:rPr>
        <w:t>Key findings of this report will contribute to data-driven cross-national research on philanthropy by providing comparative analysis on cross-border giving during the beginning of the global pandemic.</w:t>
      </w:r>
    </w:p>
    <w:p w14:paraId="0BB9989C" w14:textId="77777777" w:rsidR="00A0498F" w:rsidRPr="00A0498F" w:rsidRDefault="00A0498F" w:rsidP="00A0498F">
      <w:pPr>
        <w:rPr>
          <w:sz w:val="20"/>
          <w:szCs w:val="20"/>
        </w:rPr>
      </w:pPr>
    </w:p>
    <w:p w14:paraId="5D28025E" w14:textId="1B7B1567" w:rsidR="0042358A" w:rsidRPr="00A0498F" w:rsidRDefault="0042358A" w:rsidP="00A0498F">
      <w:pPr>
        <w:pStyle w:val="Heading1"/>
        <w:numPr>
          <w:ilvl w:val="0"/>
          <w:numId w:val="4"/>
        </w:numPr>
        <w:rPr>
          <w:rFonts w:asciiTheme="minorHAnsi" w:hAnsiTheme="minorHAnsi" w:cstheme="minorHAnsi"/>
          <w:sz w:val="20"/>
          <w:szCs w:val="20"/>
        </w:rPr>
      </w:pPr>
      <w:bookmarkStart w:id="2" w:name="_Toc138453596"/>
      <w:r w:rsidRPr="00A0498F">
        <w:rPr>
          <w:rFonts w:asciiTheme="minorHAnsi" w:hAnsiTheme="minorHAnsi" w:cstheme="minorHAnsi"/>
          <w:sz w:val="20"/>
          <w:szCs w:val="20"/>
        </w:rPr>
        <w:t>Introduction</w:t>
      </w:r>
      <w:bookmarkEnd w:id="2"/>
    </w:p>
    <w:p w14:paraId="35D58546" w14:textId="1C5572C0" w:rsidR="00676C45" w:rsidRPr="00A0498F" w:rsidRDefault="00676C45" w:rsidP="00676C45">
      <w:pPr>
        <w:rPr>
          <w:rFonts w:cstheme="minorHAnsi"/>
          <w:sz w:val="20"/>
          <w:szCs w:val="20"/>
        </w:rPr>
      </w:pPr>
      <w:r w:rsidRPr="00A0498F">
        <w:rPr>
          <w:rFonts w:cstheme="minorHAnsi"/>
          <w:sz w:val="20"/>
          <w:szCs w:val="20"/>
        </w:rPr>
        <w:t>The role of global philanthropy has become pivotal</w:t>
      </w:r>
      <w:r w:rsidR="00111D36" w:rsidRPr="00A0498F">
        <w:rPr>
          <w:rFonts w:cstheme="minorHAnsi"/>
          <w:sz w:val="20"/>
          <w:szCs w:val="20"/>
        </w:rPr>
        <w:t xml:space="preserve"> to achieve global prosperity</w:t>
      </w:r>
      <w:r w:rsidRPr="00A0498F">
        <w:rPr>
          <w:rFonts w:cstheme="minorHAnsi"/>
          <w:sz w:val="20"/>
          <w:szCs w:val="20"/>
        </w:rPr>
        <w:t xml:space="preserve">. International collaborations in response to natural and human-made disasters—including the COVID-19 pandemic, the war in Ukraine, and the recent earthquakes in Türkiye and Syria—as well as the increasing level of philanthropic efforts to achieve the United Nations Sustainable Development Goals (SDGs) highlight the importance of understanding and measuring cross-border giving more effectively. </w:t>
      </w:r>
    </w:p>
    <w:p w14:paraId="5B66AE30" w14:textId="79BC7FD7" w:rsidR="00676C45" w:rsidRPr="00A0498F" w:rsidRDefault="00676C45" w:rsidP="00676C45">
      <w:pPr>
        <w:rPr>
          <w:rFonts w:cstheme="minorHAnsi"/>
          <w:sz w:val="20"/>
          <w:szCs w:val="20"/>
        </w:rPr>
      </w:pPr>
      <w:r w:rsidRPr="00A0498F">
        <w:rPr>
          <w:rFonts w:cstheme="minorHAnsi"/>
          <w:sz w:val="20"/>
          <w:szCs w:val="20"/>
        </w:rPr>
        <w:t>Existing research offers insights into the complex factors that influence cross-border giving, such as fundraising practices (Wiepking &amp; Handy, 2015) and regulations on cross-border donations (Indiana University Lilly Family School of Philanthropy, 2022). Scholars have begun to measure private philanthropic flows for development (</w:t>
      </w:r>
      <w:r w:rsidR="00111D36" w:rsidRPr="00A0498F">
        <w:rPr>
          <w:rFonts w:cstheme="minorHAnsi"/>
          <w:sz w:val="20"/>
          <w:szCs w:val="20"/>
        </w:rPr>
        <w:t>Organisation for Economic Co-operation and Development</w:t>
      </w:r>
      <w:r w:rsidRPr="00A0498F">
        <w:rPr>
          <w:rFonts w:cstheme="minorHAnsi"/>
          <w:sz w:val="20"/>
          <w:szCs w:val="20"/>
        </w:rPr>
        <w:t>, 2018 and 2021</w:t>
      </w:r>
      <w:r w:rsidR="00721AFD" w:rsidRPr="00A0498F">
        <w:rPr>
          <w:rFonts w:cstheme="minorHAnsi"/>
          <w:sz w:val="20"/>
          <w:szCs w:val="20"/>
        </w:rPr>
        <w:t xml:space="preserve">; </w:t>
      </w:r>
      <w:r w:rsidRPr="00A0498F">
        <w:rPr>
          <w:rFonts w:cstheme="minorHAnsi"/>
          <w:sz w:val="20"/>
          <w:szCs w:val="20"/>
        </w:rPr>
        <w:t>Indiana University Lilly Family School of Philanthropy, 2020) and to investigate how private donors can align their activities with the SDGs (Ross &amp; Spruill, 2018; Scataglini &amp; Ventresca, 2019). While efforts have been made in the last few years to measure the magnitude of philanthropic flows around the world, the real scale of cross-border giving remains unclear due to the lack of comparable measurements and fragmented data.</w:t>
      </w:r>
    </w:p>
    <w:p w14:paraId="122845D9" w14:textId="001D2211" w:rsidR="007F04A6" w:rsidRPr="00A0498F" w:rsidRDefault="00676C45" w:rsidP="007F04A6">
      <w:pPr>
        <w:rPr>
          <w:rFonts w:cstheme="minorHAnsi"/>
          <w:sz w:val="20"/>
          <w:szCs w:val="20"/>
        </w:rPr>
      </w:pPr>
      <w:r w:rsidRPr="00A0498F">
        <w:rPr>
          <w:rFonts w:cstheme="minorHAnsi"/>
          <w:sz w:val="20"/>
          <w:szCs w:val="20"/>
        </w:rPr>
        <w:t xml:space="preserve">This paper shares the most recent data on cross-border philanthropy in 27 European countries while responding </w:t>
      </w:r>
      <w:r w:rsidR="00721AFD" w:rsidRPr="00A0498F">
        <w:rPr>
          <w:rFonts w:cstheme="minorHAnsi"/>
          <w:sz w:val="20"/>
          <w:szCs w:val="20"/>
        </w:rPr>
        <w:t xml:space="preserve">to </w:t>
      </w:r>
      <w:r w:rsidRPr="00A0498F">
        <w:rPr>
          <w:rFonts w:cstheme="minorHAnsi"/>
          <w:sz w:val="20"/>
          <w:szCs w:val="20"/>
        </w:rPr>
        <w:t xml:space="preserve">the following questions: </w:t>
      </w:r>
    </w:p>
    <w:p w14:paraId="7CFDB6FF" w14:textId="30D514A8" w:rsidR="007F04A6" w:rsidRPr="00A0498F" w:rsidRDefault="00676C45" w:rsidP="007F04A6">
      <w:pPr>
        <w:pStyle w:val="ListParagraph"/>
        <w:numPr>
          <w:ilvl w:val="0"/>
          <w:numId w:val="3"/>
        </w:numPr>
        <w:rPr>
          <w:rFonts w:cstheme="minorHAnsi"/>
          <w:sz w:val="20"/>
          <w:szCs w:val="20"/>
        </w:rPr>
      </w:pPr>
      <w:r w:rsidRPr="00A0498F">
        <w:rPr>
          <w:rFonts w:cstheme="minorHAnsi"/>
          <w:sz w:val="20"/>
          <w:szCs w:val="20"/>
        </w:rPr>
        <w:lastRenderedPageBreak/>
        <w:t>What is the size of cross-border giving in Europe, and how does it compare to other cross-border resource flows, namely official development assistance (ODA), remittances, and private capital investment?</w:t>
      </w:r>
      <w:r w:rsidR="007F04A6" w:rsidRPr="00A0498F">
        <w:rPr>
          <w:rFonts w:cstheme="minorHAnsi"/>
          <w:sz w:val="20"/>
          <w:szCs w:val="20"/>
        </w:rPr>
        <w:t xml:space="preserve"> </w:t>
      </w:r>
    </w:p>
    <w:p w14:paraId="514CA5A6" w14:textId="77777777" w:rsidR="007F04A6" w:rsidRPr="00A0498F" w:rsidRDefault="00676C45" w:rsidP="007F04A6">
      <w:pPr>
        <w:pStyle w:val="ListParagraph"/>
        <w:numPr>
          <w:ilvl w:val="0"/>
          <w:numId w:val="3"/>
        </w:numPr>
        <w:rPr>
          <w:rFonts w:cstheme="minorHAnsi"/>
          <w:sz w:val="20"/>
          <w:szCs w:val="20"/>
        </w:rPr>
      </w:pPr>
      <w:r w:rsidRPr="00A0498F">
        <w:rPr>
          <w:rFonts w:cstheme="minorHAnsi"/>
          <w:sz w:val="20"/>
          <w:szCs w:val="20"/>
        </w:rPr>
        <w:t>Which are the leading European countries in cross-border philanthropy</w:t>
      </w:r>
      <w:r w:rsidR="007F04A6" w:rsidRPr="00A0498F">
        <w:rPr>
          <w:rFonts w:cstheme="minorHAnsi"/>
          <w:sz w:val="20"/>
          <w:szCs w:val="20"/>
        </w:rPr>
        <w:t xml:space="preserve"> and other cross-border resource flows</w:t>
      </w:r>
      <w:r w:rsidRPr="00A0498F">
        <w:rPr>
          <w:rFonts w:cstheme="minorHAnsi"/>
          <w:sz w:val="20"/>
          <w:szCs w:val="20"/>
        </w:rPr>
        <w:t>?</w:t>
      </w:r>
      <w:r w:rsidR="007F04A6" w:rsidRPr="00A0498F">
        <w:rPr>
          <w:rFonts w:cstheme="minorHAnsi"/>
          <w:sz w:val="20"/>
          <w:szCs w:val="20"/>
        </w:rPr>
        <w:t xml:space="preserve"> </w:t>
      </w:r>
    </w:p>
    <w:p w14:paraId="7309C69B" w14:textId="2C62470E" w:rsidR="006C1C41" w:rsidRPr="00A0498F" w:rsidRDefault="00676C45" w:rsidP="007F04A6">
      <w:pPr>
        <w:pStyle w:val="ListParagraph"/>
        <w:numPr>
          <w:ilvl w:val="0"/>
          <w:numId w:val="3"/>
        </w:numPr>
        <w:rPr>
          <w:rFonts w:cstheme="minorHAnsi"/>
          <w:sz w:val="20"/>
          <w:szCs w:val="20"/>
        </w:rPr>
      </w:pPr>
      <w:r w:rsidRPr="00A0498F">
        <w:rPr>
          <w:rFonts w:cstheme="minorHAnsi"/>
          <w:sz w:val="20"/>
          <w:szCs w:val="20"/>
        </w:rPr>
        <w:t xml:space="preserve">What are the </w:t>
      </w:r>
      <w:r w:rsidR="007F04A6" w:rsidRPr="00A0498F">
        <w:rPr>
          <w:rFonts w:cstheme="minorHAnsi"/>
          <w:sz w:val="20"/>
          <w:szCs w:val="20"/>
        </w:rPr>
        <w:t xml:space="preserve">most supported </w:t>
      </w:r>
      <w:r w:rsidRPr="00A0498F">
        <w:rPr>
          <w:rFonts w:cstheme="minorHAnsi"/>
          <w:sz w:val="20"/>
          <w:szCs w:val="20"/>
        </w:rPr>
        <w:t>charitable causes and regions by European countries?</w:t>
      </w:r>
    </w:p>
    <w:p w14:paraId="1702A062" w14:textId="74AA5017" w:rsidR="007F04A6" w:rsidRPr="00A0498F" w:rsidRDefault="007F04A6" w:rsidP="007F04A6">
      <w:pPr>
        <w:rPr>
          <w:rFonts w:cstheme="minorHAnsi"/>
          <w:sz w:val="20"/>
          <w:szCs w:val="20"/>
        </w:rPr>
      </w:pPr>
      <w:r w:rsidRPr="00A0498F">
        <w:rPr>
          <w:rFonts w:cstheme="minorHAnsi"/>
          <w:sz w:val="20"/>
          <w:szCs w:val="20"/>
        </w:rPr>
        <w:t>Building on comprehensive data collection, the report provides updated insights into philanthropic outflows in 2020. However, data is still scarce and oftentime</w:t>
      </w:r>
      <w:r w:rsidR="00721AFD" w:rsidRPr="00A0498F">
        <w:rPr>
          <w:rFonts w:cstheme="minorHAnsi"/>
          <w:sz w:val="20"/>
          <w:szCs w:val="20"/>
        </w:rPr>
        <w:t>s</w:t>
      </w:r>
      <w:r w:rsidRPr="00A0498F">
        <w:rPr>
          <w:rFonts w:cstheme="minorHAnsi"/>
          <w:sz w:val="20"/>
          <w:szCs w:val="20"/>
        </w:rPr>
        <w:t xml:space="preserve"> is not easily comparable with other data sets. Thus, the findings of this report</w:t>
      </w:r>
      <w:r w:rsidR="00721AFD" w:rsidRPr="00A0498F">
        <w:rPr>
          <w:rFonts w:cstheme="minorHAnsi"/>
          <w:sz w:val="20"/>
          <w:szCs w:val="20"/>
        </w:rPr>
        <w:t>—</w:t>
      </w:r>
      <w:r w:rsidRPr="00A0498F">
        <w:rPr>
          <w:rFonts w:cstheme="minorHAnsi"/>
          <w:sz w:val="20"/>
          <w:szCs w:val="20"/>
        </w:rPr>
        <w:t xml:space="preserve">in alignment with the </w:t>
      </w:r>
      <w:r w:rsidRPr="00A0498F">
        <w:rPr>
          <w:rFonts w:cstheme="minorHAnsi"/>
          <w:i/>
          <w:iCs/>
          <w:sz w:val="20"/>
          <w:szCs w:val="20"/>
        </w:rPr>
        <w:t>2023 Global Philanthropy Tracker</w:t>
      </w:r>
      <w:r w:rsidR="00721AFD" w:rsidRPr="00A0498F">
        <w:rPr>
          <w:rFonts w:cstheme="minorHAnsi"/>
          <w:sz w:val="20"/>
          <w:szCs w:val="20"/>
        </w:rPr>
        <w:t>—</w:t>
      </w:r>
      <w:r w:rsidRPr="00A0498F">
        <w:rPr>
          <w:rFonts w:cstheme="minorHAnsi"/>
          <w:sz w:val="20"/>
          <w:szCs w:val="20"/>
        </w:rPr>
        <w:t>suggest the development of international standards for data tracking and the promotion of data transparency, including data collection on specific issue areas</w:t>
      </w:r>
      <w:r w:rsidR="00214EB5" w:rsidRPr="00A0498F">
        <w:rPr>
          <w:rFonts w:cstheme="minorHAnsi"/>
          <w:sz w:val="20"/>
          <w:szCs w:val="20"/>
        </w:rPr>
        <w:t xml:space="preserve"> such as </w:t>
      </w:r>
      <w:r w:rsidRPr="00A0498F">
        <w:rPr>
          <w:rFonts w:cstheme="minorHAnsi"/>
          <w:sz w:val="20"/>
          <w:szCs w:val="20"/>
        </w:rPr>
        <w:t xml:space="preserve">climate and racial justice. </w:t>
      </w:r>
    </w:p>
    <w:p w14:paraId="7453DFFF" w14:textId="30117A82" w:rsidR="007F04A6" w:rsidRPr="00A0498F" w:rsidRDefault="007F04A6" w:rsidP="007F04A6">
      <w:pPr>
        <w:rPr>
          <w:rFonts w:cstheme="minorHAnsi"/>
          <w:sz w:val="20"/>
          <w:szCs w:val="20"/>
        </w:rPr>
      </w:pPr>
      <w:r w:rsidRPr="00A0498F">
        <w:rPr>
          <w:rFonts w:cstheme="minorHAnsi"/>
          <w:sz w:val="20"/>
          <w:szCs w:val="20"/>
        </w:rPr>
        <w:t>Leveraging the lessons from 2020 and collaborating across countries and disciplines will determine the advancement of global philanthropy in the future.</w:t>
      </w:r>
    </w:p>
    <w:p w14:paraId="70368CF3" w14:textId="42BAB5F2" w:rsidR="007F04A6" w:rsidRPr="00A0498F" w:rsidRDefault="007F04A6">
      <w:pPr>
        <w:rPr>
          <w:rFonts w:eastAsiaTheme="majorEastAsia" w:cstheme="minorHAnsi"/>
          <w:color w:val="2F5496" w:themeColor="accent1" w:themeShade="BF"/>
          <w:sz w:val="20"/>
          <w:szCs w:val="20"/>
        </w:rPr>
      </w:pPr>
    </w:p>
    <w:p w14:paraId="1FEF4FA9" w14:textId="538A61C2" w:rsidR="00AA53B7" w:rsidRPr="00A0498F" w:rsidRDefault="0042358A" w:rsidP="00A0498F">
      <w:pPr>
        <w:pStyle w:val="Heading1"/>
        <w:numPr>
          <w:ilvl w:val="0"/>
          <w:numId w:val="4"/>
        </w:numPr>
        <w:rPr>
          <w:rFonts w:asciiTheme="minorHAnsi" w:hAnsiTheme="minorHAnsi" w:cstheme="minorHAnsi"/>
          <w:sz w:val="20"/>
          <w:szCs w:val="20"/>
        </w:rPr>
      </w:pPr>
      <w:bookmarkStart w:id="3" w:name="_Toc138453597"/>
      <w:r w:rsidRPr="00A0498F">
        <w:rPr>
          <w:rFonts w:asciiTheme="minorHAnsi" w:hAnsiTheme="minorHAnsi" w:cstheme="minorHAnsi"/>
          <w:sz w:val="20"/>
          <w:szCs w:val="20"/>
        </w:rPr>
        <w:t>Methodology</w:t>
      </w:r>
      <w:bookmarkEnd w:id="3"/>
    </w:p>
    <w:p w14:paraId="63F87401" w14:textId="44CF8B79" w:rsidR="00AA53B7" w:rsidRPr="00A0498F" w:rsidRDefault="00AA53B7" w:rsidP="00AA53B7">
      <w:pPr>
        <w:rPr>
          <w:rFonts w:cstheme="minorHAnsi"/>
          <w:sz w:val="20"/>
          <w:szCs w:val="20"/>
        </w:rPr>
      </w:pPr>
      <w:r w:rsidRPr="00A0498F">
        <w:rPr>
          <w:rFonts w:cstheme="minorHAnsi"/>
          <w:sz w:val="20"/>
          <w:szCs w:val="20"/>
        </w:rPr>
        <w:t xml:space="preserve">This practice paper focuses on cross-border resource flows of 27 European countries which were included in the </w:t>
      </w:r>
      <w:r w:rsidRPr="00A0498F">
        <w:rPr>
          <w:rFonts w:cstheme="minorHAnsi"/>
          <w:i/>
          <w:iCs/>
          <w:sz w:val="20"/>
          <w:szCs w:val="20"/>
        </w:rPr>
        <w:t>2023 Global Philanthropy Tracker</w:t>
      </w:r>
      <w:r w:rsidRPr="00A0498F">
        <w:rPr>
          <w:rFonts w:cstheme="minorHAnsi"/>
          <w:sz w:val="20"/>
          <w:szCs w:val="20"/>
        </w:rPr>
        <w:t xml:space="preserve"> (GPT) researched and published by the Indiana University Lilly Family School of Philanthropy. The 2023 GPT measures the scale and scope of global cross-border philanthropic outflows, contributions from all</w:t>
      </w:r>
      <w:r w:rsidR="00F74430" w:rsidRPr="00A0498F">
        <w:rPr>
          <w:rFonts w:cstheme="minorHAnsi"/>
          <w:sz w:val="20"/>
          <w:szCs w:val="20"/>
        </w:rPr>
        <w:t xml:space="preserve"> 47</w:t>
      </w:r>
      <w:r w:rsidRPr="00A0498F">
        <w:rPr>
          <w:rFonts w:cstheme="minorHAnsi"/>
          <w:sz w:val="20"/>
          <w:szCs w:val="20"/>
        </w:rPr>
        <w:t xml:space="preserve"> countries toward all countries in support of any charitable causes</w:t>
      </w:r>
      <w:r w:rsidR="00111D36" w:rsidRPr="00A0498F">
        <w:rPr>
          <w:rFonts w:cstheme="minorHAnsi"/>
          <w:sz w:val="20"/>
          <w:szCs w:val="20"/>
        </w:rPr>
        <w:t xml:space="preserve"> when data are available</w:t>
      </w:r>
      <w:r w:rsidRPr="00A0498F">
        <w:rPr>
          <w:rFonts w:cstheme="minorHAnsi"/>
          <w:sz w:val="20"/>
          <w:szCs w:val="20"/>
        </w:rPr>
        <w:t>. In addition, the 2023 GPT also analysis three other cross-border resource flows: official development assistance (ODA), remittances, and private capital investment.</w:t>
      </w:r>
    </w:p>
    <w:p w14:paraId="5719D2D1" w14:textId="3D46C5A1" w:rsidR="00AA53B7" w:rsidRPr="00A0498F" w:rsidRDefault="00AA53B7" w:rsidP="00AA53B7">
      <w:pPr>
        <w:rPr>
          <w:rFonts w:cstheme="minorHAnsi"/>
          <w:b/>
          <w:bCs/>
          <w:sz w:val="20"/>
          <w:szCs w:val="20"/>
        </w:rPr>
      </w:pPr>
      <w:r w:rsidRPr="00A0498F">
        <w:rPr>
          <w:rFonts w:cstheme="minorHAnsi"/>
          <w:b/>
          <w:bCs/>
          <w:sz w:val="20"/>
          <w:szCs w:val="20"/>
        </w:rPr>
        <w:t>Data</w:t>
      </w:r>
    </w:p>
    <w:p w14:paraId="48478DFC" w14:textId="69268A61" w:rsidR="00AA53B7" w:rsidRPr="00A0498F" w:rsidRDefault="00AA53B7" w:rsidP="00AA53B7">
      <w:pPr>
        <w:rPr>
          <w:rFonts w:cstheme="minorHAnsi"/>
          <w:sz w:val="20"/>
          <w:szCs w:val="20"/>
        </w:rPr>
      </w:pPr>
      <w:r w:rsidRPr="00A0498F">
        <w:rPr>
          <w:rFonts w:cstheme="minorHAnsi"/>
          <w:sz w:val="20"/>
          <w:szCs w:val="20"/>
        </w:rPr>
        <w:t>Data presented in th</w:t>
      </w:r>
      <w:r w:rsidR="00B6132E" w:rsidRPr="00A0498F">
        <w:rPr>
          <w:rFonts w:cstheme="minorHAnsi"/>
          <w:sz w:val="20"/>
          <w:szCs w:val="20"/>
        </w:rPr>
        <w:t>is</w:t>
      </w:r>
      <w:r w:rsidRPr="00A0498F">
        <w:rPr>
          <w:rFonts w:cstheme="minorHAnsi"/>
          <w:sz w:val="20"/>
          <w:szCs w:val="20"/>
        </w:rPr>
        <w:t xml:space="preserve"> paper </w:t>
      </w:r>
      <w:r w:rsidR="009A7048" w:rsidRPr="00A0498F">
        <w:rPr>
          <w:rFonts w:cstheme="minorHAnsi"/>
          <w:sz w:val="20"/>
          <w:szCs w:val="20"/>
        </w:rPr>
        <w:t>are</w:t>
      </w:r>
      <w:r w:rsidRPr="00A0498F">
        <w:rPr>
          <w:rFonts w:cstheme="minorHAnsi"/>
          <w:sz w:val="20"/>
          <w:szCs w:val="20"/>
        </w:rPr>
        <w:t xml:space="preserve"> based on data from 2020 or the most recent yea</w:t>
      </w:r>
      <w:r w:rsidR="001B165E" w:rsidRPr="00A0498F">
        <w:rPr>
          <w:rFonts w:cstheme="minorHAnsi"/>
          <w:sz w:val="20"/>
          <w:szCs w:val="20"/>
        </w:rPr>
        <w:t>r</w:t>
      </w:r>
      <w:r w:rsidRPr="00A0498F">
        <w:rPr>
          <w:rFonts w:cstheme="minorHAnsi"/>
          <w:sz w:val="20"/>
          <w:szCs w:val="20"/>
        </w:rPr>
        <w:t xml:space="preserve"> with available data.</w:t>
      </w:r>
      <w:r w:rsidR="001B165E" w:rsidRPr="00A0498F">
        <w:rPr>
          <w:rFonts w:cstheme="minorHAnsi"/>
          <w:sz w:val="20"/>
          <w:szCs w:val="20"/>
        </w:rPr>
        <w:t xml:space="preserve"> To allow for comparison, all monetary data is adjusted to 2020 US dollars.</w:t>
      </w:r>
    </w:p>
    <w:p w14:paraId="4179A4DA" w14:textId="7F815266" w:rsidR="001B165E" w:rsidRPr="00A0498F" w:rsidRDefault="007A07AC" w:rsidP="008310F4">
      <w:pPr>
        <w:pStyle w:val="ListParagraph"/>
        <w:numPr>
          <w:ilvl w:val="0"/>
          <w:numId w:val="1"/>
        </w:numPr>
        <w:rPr>
          <w:rFonts w:cstheme="minorHAnsi"/>
          <w:sz w:val="20"/>
          <w:szCs w:val="20"/>
        </w:rPr>
      </w:pPr>
      <w:r w:rsidRPr="00A0498F">
        <w:rPr>
          <w:rFonts w:cstheme="minorHAnsi"/>
          <w:noProof/>
          <w:sz w:val="20"/>
          <w:szCs w:val="20"/>
        </w:rPr>
        <mc:AlternateContent>
          <mc:Choice Requires="wps">
            <w:drawing>
              <wp:anchor distT="45720" distB="45720" distL="114300" distR="114300" simplePos="0" relativeHeight="251659264" behindDoc="0" locked="0" layoutInCell="1" allowOverlap="1" wp14:anchorId="67FE073F" wp14:editId="7C247A80">
                <wp:simplePos x="0" y="0"/>
                <wp:positionH relativeFrom="margin">
                  <wp:align>right</wp:align>
                </wp:positionH>
                <wp:positionV relativeFrom="paragraph">
                  <wp:posOffset>1245870</wp:posOffset>
                </wp:positionV>
                <wp:extent cx="5935980" cy="1752600"/>
                <wp:effectExtent l="0" t="0" r="762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5980" cy="1752600"/>
                        </a:xfrm>
                        <a:prstGeom prst="rect">
                          <a:avLst/>
                        </a:prstGeom>
                        <a:solidFill>
                          <a:srgbClr val="056E41"/>
                        </a:solidFill>
                        <a:ln w="9525">
                          <a:noFill/>
                          <a:miter lim="800000"/>
                          <a:headEnd/>
                          <a:tailEnd/>
                        </a:ln>
                      </wps:spPr>
                      <wps:txbx>
                        <w:txbxContent>
                          <w:p w14:paraId="3118C05B" w14:textId="590D317E" w:rsidR="007A07AC" w:rsidRPr="007A07AC" w:rsidRDefault="007A07AC" w:rsidP="007A07AC">
                            <w:pPr>
                              <w:rPr>
                                <w:b/>
                                <w:bCs/>
                                <w:color w:val="FFFFFF" w:themeColor="background1"/>
                              </w:rPr>
                            </w:pPr>
                            <w:r w:rsidRPr="007A07AC">
                              <w:rPr>
                                <w:b/>
                                <w:bCs/>
                                <w:color w:val="FFFFFF" w:themeColor="background1"/>
                              </w:rPr>
                              <w:t>What are cross-border philanthropic outflows?</w:t>
                            </w:r>
                          </w:p>
                          <w:p w14:paraId="1D982AC5" w14:textId="2957F619" w:rsidR="007A07AC" w:rsidRPr="007A07AC" w:rsidRDefault="007A07AC" w:rsidP="007A07AC">
                            <w:pPr>
                              <w:rPr>
                                <w:color w:val="FFFFFF" w:themeColor="background1"/>
                              </w:rPr>
                            </w:pPr>
                            <w:r w:rsidRPr="007A07AC">
                              <w:rPr>
                                <w:color w:val="FFFFFF" w:themeColor="background1"/>
                              </w:rPr>
                              <w:t>Philanthropic outflow refers to a) the sum of charitable financial contributions sent by donors when the donor (individuals, foundations, corporations, or faith-based organizations) and the beneficiary (individuals, philanthropic organizations, or intermediary organizations) are located in different countries; or b) giving within a country to domestic philanthropic organizations that focus on broad categories of international causes, such as foreign affairs, humanitarian assistance, international relations, promotion of international understanding, and international solidarity (Indiana University Lilly Family School of Philanthropy, 2023).</w:t>
                            </w:r>
                          </w:p>
                          <w:p w14:paraId="4D010DEF" w14:textId="748A4BAA" w:rsidR="007A07AC" w:rsidRDefault="007A07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7FE073F" id="_x0000_t202" coordsize="21600,21600" o:spt="202" path="m,l,21600r21600,l21600,xe">
                <v:stroke joinstyle="miter"/>
                <v:path gradientshapeok="t" o:connecttype="rect"/>
              </v:shapetype>
              <v:shape id="Text Box 2" o:spid="_x0000_s1026" type="#_x0000_t202" style="position:absolute;left:0;text-align:left;margin-left:416.2pt;margin-top:98.1pt;width:467.4pt;height:138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" fillcolor="#056e41" stroked="f">
                <v:textbox>
                  <w:txbxContent>
                    <w:p w14:paraId="3118C05B" w14:textId="590D317E" w:rsidR="007A07AC" w:rsidRPr="007A07AC" w:rsidRDefault="007A07AC" w:rsidP="007A07AC">
                      <w:pPr>
                        <w:rPr>
                          <w:b/>
                          <w:bCs/>
                          <w:color w:val="FFFFFF" w:themeColor="background1"/>
                        </w:rPr>
                      </w:pPr>
                      <w:r w:rsidRPr="007A07AC">
                        <w:rPr>
                          <w:b/>
                          <w:bCs/>
                          <w:color w:val="FFFFFF" w:themeColor="background1"/>
                        </w:rPr>
                        <w:t>What are cross-border philanthropic outflows?</w:t>
                      </w:r>
                    </w:p>
                    <w:p w14:paraId="1D982AC5" w14:textId="2957F619" w:rsidR="007A07AC" w:rsidRPr="007A07AC" w:rsidRDefault="007A07AC" w:rsidP="007A07AC">
                      <w:pPr>
                        <w:rPr>
                          <w:color w:val="FFFFFF" w:themeColor="background1"/>
                        </w:rPr>
                      </w:pPr>
                      <w:r w:rsidRPr="007A07AC">
                        <w:rPr>
                          <w:color w:val="FFFFFF" w:themeColor="background1"/>
                        </w:rPr>
                        <w:t>Philanthropic outflow refers to a) the sum of charitable financial contributions sent by donors when the donor (individuals, foundations, corporations, or faith-based organizations) and the beneficiary (individuals, philanthropic organizations, or intermediary organizations) are located in different countries; or b) giving within a country to domestic philanthropic organizations that focus on broad categories of international causes, such as foreign affairs, humanitarian assistance, international relations, promotion of international understanding, and international solidarity (Indiana University Lilly Family School of Philanthropy, 2023).</w:t>
                      </w:r>
                    </w:p>
                    <w:p w14:paraId="4D010DEF" w14:textId="748A4BAA" w:rsidR="007A07AC" w:rsidRDefault="007A07AC"/>
                  </w:txbxContent>
                </v:textbox>
                <w10:wrap type="square" anchorx="margin"/>
              </v:shape>
            </w:pict>
          </mc:Fallback>
        </mc:AlternateContent>
      </w:r>
      <w:r w:rsidR="001B165E" w:rsidRPr="00A0498F">
        <w:rPr>
          <w:rFonts w:cstheme="minorHAnsi"/>
          <w:b/>
          <w:bCs/>
          <w:sz w:val="20"/>
          <w:szCs w:val="20"/>
        </w:rPr>
        <w:t>Cross-border philanthropic outflows:</w:t>
      </w:r>
      <w:r w:rsidR="001B165E" w:rsidRPr="00A0498F">
        <w:rPr>
          <w:rFonts w:cstheme="minorHAnsi"/>
          <w:sz w:val="20"/>
          <w:szCs w:val="20"/>
        </w:rPr>
        <w:t xml:space="preserve"> Publicly available data and data shared by local research partners were included in the analysis.</w:t>
      </w:r>
      <w:r w:rsidR="00B6132E" w:rsidRPr="00A0498F">
        <w:rPr>
          <w:rFonts w:cstheme="minorHAnsi"/>
          <w:sz w:val="20"/>
          <w:szCs w:val="20"/>
        </w:rPr>
        <w:t xml:space="preserve"> We gathered publicly available data for 22 European countries published by various actors, including government agencies (such as central statistical offices), umbrella and membership organizations, universities and private research centers, international organizations (such as </w:t>
      </w:r>
      <w:r w:rsidR="00F74430" w:rsidRPr="00A0498F">
        <w:rPr>
          <w:rFonts w:cstheme="minorHAnsi"/>
          <w:sz w:val="20"/>
          <w:szCs w:val="20"/>
        </w:rPr>
        <w:t xml:space="preserve">the </w:t>
      </w:r>
      <w:r w:rsidR="009A7048" w:rsidRPr="00A0498F">
        <w:rPr>
          <w:rFonts w:cstheme="minorHAnsi"/>
          <w:sz w:val="20"/>
          <w:szCs w:val="20"/>
        </w:rPr>
        <w:t>Organisation for Economic Co-operation and Development</w:t>
      </w:r>
      <w:r w:rsidR="00B6132E" w:rsidRPr="00A0498F">
        <w:rPr>
          <w:rFonts w:cstheme="minorHAnsi"/>
          <w:sz w:val="20"/>
          <w:szCs w:val="20"/>
        </w:rPr>
        <w:t xml:space="preserve">), and industry reports from private corporations. </w:t>
      </w:r>
      <w:r w:rsidRPr="00A0498F">
        <w:rPr>
          <w:rFonts w:cstheme="minorHAnsi"/>
          <w:sz w:val="20"/>
          <w:szCs w:val="20"/>
        </w:rPr>
        <w:t>For the other 5 countries, we worked with local expert organizations to identify and analyze cross-border philanthropy data.</w:t>
      </w:r>
    </w:p>
    <w:p w14:paraId="7F0B5953" w14:textId="77777777" w:rsidR="007A07AC" w:rsidRPr="00A0498F" w:rsidRDefault="007A07AC" w:rsidP="007A07AC">
      <w:pPr>
        <w:rPr>
          <w:rFonts w:cstheme="minorHAnsi"/>
          <w:sz w:val="20"/>
          <w:szCs w:val="20"/>
        </w:rPr>
      </w:pPr>
    </w:p>
    <w:p w14:paraId="3B28C1C8" w14:textId="68F147FA" w:rsidR="00F34756" w:rsidRPr="00C64710" w:rsidRDefault="00C64710" w:rsidP="00C64710">
      <w:pPr>
        <w:pStyle w:val="ListParagraph"/>
        <w:numPr>
          <w:ilvl w:val="0"/>
          <w:numId w:val="1"/>
        </w:numPr>
        <w:rPr>
          <w:rFonts w:cstheme="minorHAnsi"/>
          <w:sz w:val="20"/>
          <w:szCs w:val="20"/>
        </w:rPr>
      </w:pPr>
      <w:r w:rsidRPr="00A0498F">
        <w:rPr>
          <w:rFonts w:cstheme="minorHAnsi"/>
          <w:noProof/>
          <w:sz w:val="20"/>
          <w:szCs w:val="20"/>
        </w:rPr>
        <w:lastRenderedPageBreak/>
        <mc:AlternateContent>
          <mc:Choice Requires="wps">
            <w:drawing>
              <wp:anchor distT="45720" distB="45720" distL="114300" distR="114300" simplePos="0" relativeHeight="251664384" behindDoc="0" locked="0" layoutInCell="1" allowOverlap="1" wp14:anchorId="0B69BCBE" wp14:editId="758A8428">
                <wp:simplePos x="0" y="0"/>
                <wp:positionH relativeFrom="margin">
                  <wp:align>left</wp:align>
                </wp:positionH>
                <wp:positionV relativeFrom="paragraph">
                  <wp:posOffset>1280160</wp:posOffset>
                </wp:positionV>
                <wp:extent cx="6233160" cy="1379220"/>
                <wp:effectExtent l="0" t="0" r="0" b="0"/>
                <wp:wrapSquare wrapText="bothSides"/>
                <wp:docPr id="8037502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3160" cy="1379220"/>
                        </a:xfrm>
                        <a:prstGeom prst="rect">
                          <a:avLst/>
                        </a:prstGeom>
                        <a:solidFill>
                          <a:srgbClr val="006298"/>
                        </a:solidFill>
                        <a:ln w="9525">
                          <a:noFill/>
                          <a:miter lim="800000"/>
                          <a:headEnd/>
                          <a:tailEnd/>
                        </a:ln>
                      </wps:spPr>
                      <wps:txbx>
                        <w:txbxContent>
                          <w:p w14:paraId="66A1A44A" w14:textId="77777777" w:rsidR="00F34756" w:rsidRPr="00C64710" w:rsidRDefault="00F34756" w:rsidP="00F34756">
                            <w:pPr>
                              <w:rPr>
                                <w:b/>
                                <w:bCs/>
                                <w:color w:val="FFFFFF" w:themeColor="background1"/>
                                <w:sz w:val="20"/>
                                <w:szCs w:val="20"/>
                              </w:rPr>
                            </w:pPr>
                            <w:r w:rsidRPr="00C64710">
                              <w:rPr>
                                <w:b/>
                                <w:bCs/>
                                <w:color w:val="FFFFFF" w:themeColor="background1"/>
                                <w:sz w:val="20"/>
                                <w:szCs w:val="20"/>
                              </w:rPr>
                              <w:t>What is official development assistance (ODA?)</w:t>
                            </w:r>
                          </w:p>
                          <w:p w14:paraId="6228A0BE" w14:textId="484F5284" w:rsidR="00F34756" w:rsidRPr="00C64710" w:rsidRDefault="00F34756" w:rsidP="00F34756">
                            <w:pPr>
                              <w:rPr>
                                <w:color w:val="FFFFFF" w:themeColor="background1"/>
                                <w:sz w:val="20"/>
                                <w:szCs w:val="20"/>
                              </w:rPr>
                            </w:pPr>
                            <w:r w:rsidRPr="00C64710">
                              <w:rPr>
                                <w:color w:val="FFFFFF" w:themeColor="background1"/>
                                <w:sz w:val="20"/>
                                <w:szCs w:val="20"/>
                              </w:rPr>
                              <w:t xml:space="preserve">According to the OECD, ODA is state-sponsored aid that “promotes and specifically targets the economic development and welfare of developing countries” (OECD, </w:t>
                            </w:r>
                            <w:r w:rsidR="00F36E36" w:rsidRPr="00C64710">
                              <w:rPr>
                                <w:color w:val="FFFFFF" w:themeColor="background1"/>
                                <w:sz w:val="20"/>
                                <w:szCs w:val="20"/>
                              </w:rPr>
                              <w:t>2023a</w:t>
                            </w:r>
                            <w:r w:rsidRPr="00C64710">
                              <w:rPr>
                                <w:color w:val="FFFFFF" w:themeColor="background1"/>
                                <w:sz w:val="20"/>
                                <w:szCs w:val="20"/>
                              </w:rPr>
                              <w:t xml:space="preserve">). This includes “[F]lows to countries and territories on the DAC [Development Assistance Committee] List of ODA Recipients and to multilateral development institutions which are provided by official agencies, including state and local governments, or by their executive agencies.” ODA encompasses aid with many different purposes, </w:t>
                            </w:r>
                            <w:r w:rsidRPr="00C64710">
                              <w:rPr>
                                <w:color w:val="FFFFFF" w:themeColor="background1"/>
                                <w:sz w:val="20"/>
                                <w:szCs w:val="20"/>
                              </w:rPr>
                              <w:t>as long as its main purpose is to promote “economic development and welfare of developing countries.” It does not include military or peacekeeping financing.</w:t>
                            </w:r>
                          </w:p>
                          <w:p w14:paraId="4BAB8E83" w14:textId="77777777" w:rsidR="00F34756" w:rsidRDefault="00F34756" w:rsidP="00F3475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69BCBE" id="_x0000_s1027" type="#_x0000_t202" style="position:absolute;left:0;text-align:left;margin-left:0;margin-top:100.8pt;width:490.8pt;height:108.6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" fillcolor="#006298" stroked="f">
                <v:textbox>
                  <w:txbxContent>
                    <w:p w14:paraId="66A1A44A" w14:textId="77777777" w:rsidR="00F34756" w:rsidRPr="00C64710" w:rsidRDefault="00F34756" w:rsidP="00F34756">
                      <w:pPr>
                        <w:rPr>
                          <w:b/>
                          <w:bCs/>
                          <w:color w:val="FFFFFF" w:themeColor="background1"/>
                          <w:sz w:val="20"/>
                          <w:szCs w:val="20"/>
                        </w:rPr>
                      </w:pPr>
                      <w:r w:rsidRPr="00C64710">
                        <w:rPr>
                          <w:b/>
                          <w:bCs/>
                          <w:color w:val="FFFFFF" w:themeColor="background1"/>
                          <w:sz w:val="20"/>
                          <w:szCs w:val="20"/>
                        </w:rPr>
                        <w:t>What is official development assistance (ODA?)</w:t>
                      </w:r>
                    </w:p>
                    <w:p w14:paraId="6228A0BE" w14:textId="484F5284" w:rsidR="00F34756" w:rsidRPr="00C64710" w:rsidRDefault="00F34756" w:rsidP="00F34756">
                      <w:pPr>
                        <w:rPr>
                          <w:color w:val="FFFFFF" w:themeColor="background1"/>
                          <w:sz w:val="20"/>
                          <w:szCs w:val="20"/>
                        </w:rPr>
                      </w:pPr>
                      <w:r w:rsidRPr="00C64710">
                        <w:rPr>
                          <w:color w:val="FFFFFF" w:themeColor="background1"/>
                          <w:sz w:val="20"/>
                          <w:szCs w:val="20"/>
                        </w:rPr>
                        <w:t xml:space="preserve">According to the OECD, ODA is state-sponsored aid that “promotes and specifically targets the economic development and welfare of developing countries” (OECD, </w:t>
                      </w:r>
                      <w:r w:rsidR="00F36E36" w:rsidRPr="00C64710">
                        <w:rPr>
                          <w:color w:val="FFFFFF" w:themeColor="background1"/>
                          <w:sz w:val="20"/>
                          <w:szCs w:val="20"/>
                        </w:rPr>
                        <w:t>2023a</w:t>
                      </w:r>
                      <w:r w:rsidRPr="00C64710">
                        <w:rPr>
                          <w:color w:val="FFFFFF" w:themeColor="background1"/>
                          <w:sz w:val="20"/>
                          <w:szCs w:val="20"/>
                        </w:rPr>
                        <w:t xml:space="preserve">). This includes “[F]lows to countries and territories on the DAC [Development Assistance Committee] List of ODA Recipients and to multilateral development institutions which are provided by official agencies, including state and local governments, or by their executive agencies.” ODA encompasses aid with many different purposes, </w:t>
                      </w:r>
                      <w:proofErr w:type="gramStart"/>
                      <w:r w:rsidRPr="00C64710">
                        <w:rPr>
                          <w:color w:val="FFFFFF" w:themeColor="background1"/>
                          <w:sz w:val="20"/>
                          <w:szCs w:val="20"/>
                        </w:rPr>
                        <w:t>as long as</w:t>
                      </w:r>
                      <w:proofErr w:type="gramEnd"/>
                      <w:r w:rsidRPr="00C64710">
                        <w:rPr>
                          <w:color w:val="FFFFFF" w:themeColor="background1"/>
                          <w:sz w:val="20"/>
                          <w:szCs w:val="20"/>
                        </w:rPr>
                        <w:t xml:space="preserve"> its main purpose is to promote “economic development and welfare of developing countries.” It does not include military or peacekeeping financing.</w:t>
                      </w:r>
                    </w:p>
                    <w:p w14:paraId="4BAB8E83" w14:textId="77777777" w:rsidR="00F34756" w:rsidRDefault="00F34756" w:rsidP="00F34756"/>
                  </w:txbxContent>
                </v:textbox>
                <w10:wrap type="square" anchorx="margin"/>
              </v:shape>
            </w:pict>
          </mc:Fallback>
        </mc:AlternateContent>
      </w:r>
      <w:r w:rsidR="001B165E" w:rsidRPr="00A0498F">
        <w:rPr>
          <w:rFonts w:cstheme="minorHAnsi"/>
          <w:b/>
          <w:bCs/>
          <w:sz w:val="20"/>
          <w:szCs w:val="20"/>
        </w:rPr>
        <w:t>Official development assistance (ODA):</w:t>
      </w:r>
      <w:r w:rsidR="001B165E" w:rsidRPr="00A0498F">
        <w:rPr>
          <w:rFonts w:cstheme="minorHAnsi"/>
          <w:sz w:val="20"/>
          <w:szCs w:val="20"/>
        </w:rPr>
        <w:t xml:space="preserve"> The Organisation for Economic Co-operation and Development collected, verified, and publicly published ODA data </w:t>
      </w:r>
      <w:r w:rsidR="00B6132E" w:rsidRPr="00A0498F">
        <w:rPr>
          <w:rFonts w:cstheme="minorHAnsi"/>
          <w:sz w:val="20"/>
          <w:szCs w:val="20"/>
        </w:rPr>
        <w:t xml:space="preserve">for 22 of the 27 European countries included </w:t>
      </w:r>
      <w:r w:rsidR="001B165E" w:rsidRPr="00A0498F">
        <w:rPr>
          <w:rFonts w:cstheme="minorHAnsi"/>
          <w:sz w:val="20"/>
          <w:szCs w:val="20"/>
        </w:rPr>
        <w:t xml:space="preserve">in this paper. </w:t>
      </w:r>
      <w:r w:rsidR="009A7048" w:rsidRPr="00A0498F">
        <w:rPr>
          <w:rFonts w:cstheme="minorHAnsi"/>
          <w:sz w:val="20"/>
          <w:szCs w:val="20"/>
        </w:rPr>
        <w:t>Organisation for Economic Co-operation and Development</w:t>
      </w:r>
      <w:r w:rsidR="009A7048" w:rsidRPr="00A0498F" w:rsidDel="009A7048">
        <w:rPr>
          <w:rFonts w:cstheme="minorHAnsi"/>
          <w:sz w:val="20"/>
          <w:szCs w:val="20"/>
        </w:rPr>
        <w:t xml:space="preserve"> </w:t>
      </w:r>
      <w:r w:rsidR="001B165E" w:rsidRPr="00A0498F">
        <w:rPr>
          <w:rFonts w:cstheme="minorHAnsi"/>
          <w:sz w:val="20"/>
          <w:szCs w:val="20"/>
        </w:rPr>
        <w:t xml:space="preserve">data are based on the official reports of government aid by 31 members of the </w:t>
      </w:r>
      <w:r w:rsidR="009A7048" w:rsidRPr="00A0498F">
        <w:rPr>
          <w:rFonts w:cstheme="minorHAnsi"/>
          <w:sz w:val="20"/>
          <w:szCs w:val="20"/>
        </w:rPr>
        <w:t>Organisation for Economic Co-operation and Development</w:t>
      </w:r>
      <w:r w:rsidR="001B165E" w:rsidRPr="00A0498F">
        <w:rPr>
          <w:rFonts w:cstheme="minorHAnsi"/>
          <w:sz w:val="20"/>
          <w:szCs w:val="20"/>
        </w:rPr>
        <w:t xml:space="preserve"> Development Assistance Committee (DAC) and about 80 development cooperation partners, comprised of other countries, multilateral organizations, and private foundations. The new grant equivalent measure of ODA, which was first applied to 2018 data, is now the standard methodology for reporting ODA.</w:t>
      </w:r>
      <w:r w:rsidR="001B165E" w:rsidRPr="00A0498F">
        <w:rPr>
          <w:rStyle w:val="FootnoteReference"/>
          <w:rFonts w:cstheme="minorHAnsi"/>
          <w:sz w:val="20"/>
          <w:szCs w:val="20"/>
        </w:rPr>
        <w:footnoteReference w:id="1"/>
      </w:r>
    </w:p>
    <w:p w14:paraId="6E157D5E" w14:textId="0B6324E1" w:rsidR="00FF2739" w:rsidRPr="00A0498F" w:rsidRDefault="00C64710" w:rsidP="00FF2739">
      <w:pPr>
        <w:pStyle w:val="ListParagraph"/>
        <w:numPr>
          <w:ilvl w:val="0"/>
          <w:numId w:val="1"/>
        </w:numPr>
        <w:rPr>
          <w:rFonts w:cstheme="minorHAnsi"/>
          <w:sz w:val="20"/>
          <w:szCs w:val="20"/>
        </w:rPr>
      </w:pPr>
      <w:r w:rsidRPr="00A0498F">
        <w:rPr>
          <w:rFonts w:cstheme="minorHAnsi"/>
          <w:noProof/>
          <w:sz w:val="20"/>
          <w:szCs w:val="20"/>
        </w:rPr>
        <mc:AlternateContent>
          <mc:Choice Requires="wps">
            <w:drawing>
              <wp:anchor distT="45720" distB="45720" distL="114300" distR="114300" simplePos="0" relativeHeight="251666432" behindDoc="0" locked="0" layoutInCell="1" allowOverlap="1" wp14:anchorId="21AE9CC9" wp14:editId="2C249856">
                <wp:simplePos x="0" y="0"/>
                <wp:positionH relativeFrom="margin">
                  <wp:posOffset>22860</wp:posOffset>
                </wp:positionH>
                <wp:positionV relativeFrom="paragraph">
                  <wp:posOffset>2258060</wp:posOffset>
                </wp:positionV>
                <wp:extent cx="6210300" cy="701040"/>
                <wp:effectExtent l="0" t="0" r="0" b="3810"/>
                <wp:wrapSquare wrapText="bothSides"/>
                <wp:docPr id="20782831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701040"/>
                        </a:xfrm>
                        <a:prstGeom prst="rect">
                          <a:avLst/>
                        </a:prstGeom>
                        <a:solidFill>
                          <a:srgbClr val="990000"/>
                        </a:solidFill>
                        <a:ln w="9525">
                          <a:noFill/>
                          <a:miter lim="800000"/>
                          <a:headEnd/>
                          <a:tailEnd/>
                        </a:ln>
                      </wps:spPr>
                      <wps:txbx>
                        <w:txbxContent>
                          <w:p w14:paraId="5235D281" w14:textId="00EEFD35" w:rsidR="00F34756" w:rsidRPr="00C64710" w:rsidRDefault="00F34756">
                            <w:pPr>
                              <w:rPr>
                                <w:b/>
                                <w:bCs/>
                                <w:sz w:val="20"/>
                                <w:szCs w:val="20"/>
                              </w:rPr>
                            </w:pPr>
                            <w:r w:rsidRPr="00C64710">
                              <w:rPr>
                                <w:b/>
                                <w:bCs/>
                                <w:sz w:val="20"/>
                                <w:szCs w:val="20"/>
                              </w:rPr>
                              <w:t>What are remittances?</w:t>
                            </w:r>
                          </w:p>
                          <w:p w14:paraId="00E7A4BF" w14:textId="77777777" w:rsidR="00F34756" w:rsidRPr="00C64710" w:rsidRDefault="00F34756" w:rsidP="00F34756">
                            <w:pPr>
                              <w:rPr>
                                <w:sz w:val="20"/>
                                <w:szCs w:val="20"/>
                              </w:rPr>
                            </w:pPr>
                            <w:r w:rsidRPr="00C64710">
                              <w:rPr>
                                <w:sz w:val="20"/>
                                <w:szCs w:val="20"/>
                              </w:rPr>
                              <w:t>Remittances are defined as transfers of a fraction of a person’s income to family or friends in their country of origin (Kretchmer, 2020). These transfers can be of either money or goods.</w:t>
                            </w:r>
                          </w:p>
                          <w:p w14:paraId="72820430" w14:textId="77777777" w:rsidR="00F34756" w:rsidRDefault="00F3475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AE9CC9" id="_x0000_s1028" type="#_x0000_t202" style="position:absolute;left:0;text-align:left;margin-left:1.8pt;margin-top:177.8pt;width:489pt;height:55.2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" fillcolor="#900" stroked="f">
                <v:textbox>
                  <w:txbxContent>
                    <w:p w14:paraId="5235D281" w14:textId="00EEFD35" w:rsidR="00F34756" w:rsidRPr="00C64710" w:rsidRDefault="00F34756">
                      <w:pPr>
                        <w:rPr>
                          <w:b/>
                          <w:bCs/>
                          <w:sz w:val="20"/>
                          <w:szCs w:val="20"/>
                        </w:rPr>
                      </w:pPr>
                      <w:r w:rsidRPr="00C64710">
                        <w:rPr>
                          <w:b/>
                          <w:bCs/>
                          <w:sz w:val="20"/>
                          <w:szCs w:val="20"/>
                        </w:rPr>
                        <w:t>What are remittances?</w:t>
                      </w:r>
                    </w:p>
                    <w:p w14:paraId="00E7A4BF" w14:textId="77777777" w:rsidR="00F34756" w:rsidRPr="00C64710" w:rsidRDefault="00F34756" w:rsidP="00F34756">
                      <w:pPr>
                        <w:rPr>
                          <w:sz w:val="20"/>
                          <w:szCs w:val="20"/>
                        </w:rPr>
                      </w:pPr>
                      <w:r w:rsidRPr="00C64710">
                        <w:rPr>
                          <w:sz w:val="20"/>
                          <w:szCs w:val="20"/>
                        </w:rPr>
                        <w:t>Remittances are defined as transfers of a fraction of a person’s income to family or friends in their country of origin (Kretchmer, 2020). These transfers can be of either money or goods.</w:t>
                      </w:r>
                    </w:p>
                    <w:p w14:paraId="72820430" w14:textId="77777777" w:rsidR="00F34756" w:rsidRDefault="00F34756"/>
                  </w:txbxContent>
                </v:textbox>
                <w10:wrap type="square" anchorx="margin"/>
              </v:shape>
            </w:pict>
          </mc:Fallback>
        </mc:AlternateContent>
      </w:r>
      <w:r w:rsidR="001B165E" w:rsidRPr="00A0498F">
        <w:rPr>
          <w:rFonts w:cstheme="minorHAnsi"/>
          <w:b/>
          <w:bCs/>
          <w:sz w:val="20"/>
          <w:szCs w:val="20"/>
        </w:rPr>
        <w:t>Remittances:</w:t>
      </w:r>
      <w:r w:rsidR="001B165E" w:rsidRPr="00A0498F">
        <w:rPr>
          <w:rFonts w:cstheme="minorHAnsi"/>
          <w:sz w:val="20"/>
          <w:szCs w:val="20"/>
        </w:rPr>
        <w:t xml:space="preserve"> The World Bank published remittances outflow estimates from 2020 for </w:t>
      </w:r>
      <w:r w:rsidR="00B6132E" w:rsidRPr="00A0498F">
        <w:rPr>
          <w:rFonts w:cstheme="minorHAnsi"/>
          <w:sz w:val="20"/>
          <w:szCs w:val="20"/>
        </w:rPr>
        <w:t xml:space="preserve">26 </w:t>
      </w:r>
      <w:r w:rsidR="001B165E" w:rsidRPr="00A0498F">
        <w:rPr>
          <w:rFonts w:cstheme="minorHAnsi"/>
          <w:sz w:val="20"/>
          <w:szCs w:val="20"/>
        </w:rPr>
        <w:t>countries</w:t>
      </w:r>
      <w:r w:rsidR="00B6132E" w:rsidRPr="00A0498F">
        <w:rPr>
          <w:rFonts w:cstheme="minorHAnsi"/>
          <w:sz w:val="20"/>
          <w:szCs w:val="20"/>
        </w:rPr>
        <w:t xml:space="preserve"> and estimates from 2019 for 1 country (</w:t>
      </w:r>
      <w:r w:rsidR="005B69AF" w:rsidRPr="00A0498F">
        <w:rPr>
          <w:rFonts w:cstheme="minorHAnsi"/>
          <w:sz w:val="20"/>
          <w:szCs w:val="20"/>
        </w:rPr>
        <w:t>Denmark</w:t>
      </w:r>
      <w:r w:rsidR="00B6132E" w:rsidRPr="00A0498F">
        <w:rPr>
          <w:rFonts w:cstheme="minorHAnsi"/>
          <w:sz w:val="20"/>
          <w:szCs w:val="20"/>
        </w:rPr>
        <w:t>) included in this paper. The estimates</w:t>
      </w:r>
      <w:r w:rsidR="001B165E" w:rsidRPr="00A0498F">
        <w:rPr>
          <w:rFonts w:cstheme="minorHAnsi"/>
          <w:sz w:val="20"/>
          <w:szCs w:val="20"/>
        </w:rPr>
        <w:t xml:space="preserve"> </w:t>
      </w:r>
      <w:r w:rsidR="007A07AC" w:rsidRPr="00A0498F">
        <w:rPr>
          <w:rFonts w:cstheme="minorHAnsi"/>
          <w:sz w:val="20"/>
          <w:szCs w:val="20"/>
        </w:rPr>
        <w:t>are</w:t>
      </w:r>
      <w:r w:rsidR="001B165E" w:rsidRPr="00A0498F">
        <w:rPr>
          <w:rFonts w:cstheme="minorHAnsi"/>
          <w:sz w:val="20"/>
          <w:szCs w:val="20"/>
        </w:rPr>
        <w:t xml:space="preserve"> based on data from the International Monetary Fund and central banks. The estimates are based on two key aspects: “compensation of employees” and “personal transfers.”</w:t>
      </w:r>
      <w:r w:rsidR="001B165E" w:rsidRPr="00A0498F">
        <w:rPr>
          <w:rStyle w:val="FootnoteReference"/>
          <w:rFonts w:cstheme="minorHAnsi"/>
          <w:sz w:val="20"/>
          <w:szCs w:val="20"/>
        </w:rPr>
        <w:footnoteReference w:id="2"/>
      </w:r>
      <w:r w:rsidR="001B165E" w:rsidRPr="00A0498F">
        <w:rPr>
          <w:rFonts w:cstheme="minorHAnsi"/>
          <w:sz w:val="20"/>
          <w:szCs w:val="20"/>
        </w:rPr>
        <w:t xml:space="preserve"> </w:t>
      </w:r>
    </w:p>
    <w:p w14:paraId="373B3E62" w14:textId="77777777" w:rsidR="00FF2739" w:rsidRPr="00A0498F" w:rsidRDefault="00FF2739" w:rsidP="004D1183">
      <w:pPr>
        <w:pStyle w:val="ListParagraph"/>
        <w:rPr>
          <w:rFonts w:cstheme="minorHAnsi"/>
          <w:sz w:val="20"/>
          <w:szCs w:val="20"/>
        </w:rPr>
      </w:pPr>
    </w:p>
    <w:p w14:paraId="35CC5043" w14:textId="4AD2B625" w:rsidR="00F34756" w:rsidRPr="00A0498F" w:rsidRDefault="001B165E" w:rsidP="00044401">
      <w:pPr>
        <w:pStyle w:val="ListParagraph"/>
        <w:numPr>
          <w:ilvl w:val="0"/>
          <w:numId w:val="1"/>
        </w:numPr>
        <w:rPr>
          <w:rFonts w:cstheme="minorHAnsi"/>
          <w:sz w:val="20"/>
          <w:szCs w:val="20"/>
        </w:rPr>
      </w:pPr>
      <w:r w:rsidRPr="00A0498F">
        <w:rPr>
          <w:rFonts w:cstheme="minorHAnsi"/>
          <w:b/>
          <w:bCs/>
          <w:sz w:val="20"/>
          <w:szCs w:val="20"/>
        </w:rPr>
        <w:t>Private Capital Investment:</w:t>
      </w:r>
      <w:r w:rsidRPr="00A0498F">
        <w:rPr>
          <w:rFonts w:cstheme="minorHAnsi"/>
          <w:sz w:val="20"/>
          <w:szCs w:val="20"/>
        </w:rPr>
        <w:t xml:space="preserve"> Data </w:t>
      </w:r>
      <w:r w:rsidR="00B6132E" w:rsidRPr="00A0498F">
        <w:rPr>
          <w:rFonts w:cstheme="minorHAnsi"/>
          <w:sz w:val="20"/>
          <w:szCs w:val="20"/>
        </w:rPr>
        <w:t xml:space="preserve">for 18 European countries included in this paper </w:t>
      </w:r>
      <w:r w:rsidRPr="00A0498F">
        <w:rPr>
          <w:rFonts w:cstheme="minorHAnsi"/>
          <w:sz w:val="20"/>
          <w:szCs w:val="20"/>
        </w:rPr>
        <w:t xml:space="preserve">is provided by </w:t>
      </w:r>
      <w:proofErr w:type="gramStart"/>
      <w:r w:rsidR="009A7048" w:rsidRPr="00A0498F">
        <w:rPr>
          <w:rFonts w:cstheme="minorHAnsi"/>
          <w:sz w:val="20"/>
          <w:szCs w:val="20"/>
        </w:rPr>
        <w:t>Organisation</w:t>
      </w:r>
      <w:proofErr w:type="gramEnd"/>
      <w:r w:rsidR="009A7048" w:rsidRPr="00A0498F">
        <w:rPr>
          <w:rFonts w:cstheme="minorHAnsi"/>
          <w:sz w:val="20"/>
          <w:szCs w:val="20"/>
        </w:rPr>
        <w:t xml:space="preserve"> for Economic Co-operation and Development</w:t>
      </w:r>
      <w:r w:rsidRPr="00A0498F">
        <w:rPr>
          <w:rFonts w:cstheme="minorHAnsi"/>
          <w:sz w:val="20"/>
          <w:szCs w:val="20"/>
        </w:rPr>
        <w:t>.</w:t>
      </w:r>
      <w:r w:rsidR="00B6132E" w:rsidRPr="00A0498F">
        <w:rPr>
          <w:rFonts w:cstheme="minorHAnsi"/>
          <w:sz w:val="20"/>
          <w:szCs w:val="20"/>
        </w:rPr>
        <w:t xml:space="preserve"> Per the </w:t>
      </w:r>
      <w:r w:rsidR="009A7048" w:rsidRPr="00A0498F">
        <w:rPr>
          <w:rFonts w:cstheme="minorHAnsi"/>
          <w:sz w:val="20"/>
          <w:szCs w:val="20"/>
        </w:rPr>
        <w:t>Organisation for Economic Co-operation and Development</w:t>
      </w:r>
      <w:r w:rsidR="00B6132E" w:rsidRPr="00A0498F">
        <w:rPr>
          <w:rFonts w:cstheme="minorHAnsi"/>
          <w:sz w:val="20"/>
          <w:szCs w:val="20"/>
        </w:rPr>
        <w:t xml:space="preserve">, private flows at market terms are comprised of foreign direct investment, international bank lending, bond lending, and other securities (including equities). </w:t>
      </w:r>
      <w:r w:rsidR="00F34756" w:rsidRPr="00A0498F">
        <w:rPr>
          <w:rFonts w:cstheme="minorHAnsi"/>
          <w:sz w:val="20"/>
          <w:szCs w:val="20"/>
        </w:rPr>
        <w:t xml:space="preserve">In this report, the foreign direct investment value, which is a component of </w:t>
      </w:r>
      <w:r w:rsidR="00111D36" w:rsidRPr="00A0498F">
        <w:rPr>
          <w:rFonts w:cstheme="minorHAnsi"/>
          <w:sz w:val="20"/>
          <w:szCs w:val="20"/>
        </w:rPr>
        <w:t xml:space="preserve">private capital </w:t>
      </w:r>
      <w:proofErr w:type="gramStart"/>
      <w:r w:rsidR="00111D36" w:rsidRPr="00A0498F">
        <w:rPr>
          <w:rFonts w:cstheme="minorHAnsi"/>
          <w:sz w:val="20"/>
          <w:szCs w:val="20"/>
        </w:rPr>
        <w:t>investment</w:t>
      </w:r>
      <w:r w:rsidR="00111D36" w:rsidRPr="00A0498F" w:rsidDel="00111D36">
        <w:rPr>
          <w:rFonts w:cstheme="minorHAnsi"/>
          <w:sz w:val="20"/>
          <w:szCs w:val="20"/>
        </w:rPr>
        <w:t xml:space="preserve"> </w:t>
      </w:r>
      <w:r w:rsidR="00F34756" w:rsidRPr="00A0498F">
        <w:rPr>
          <w:rFonts w:cstheme="minorHAnsi"/>
          <w:sz w:val="20"/>
          <w:szCs w:val="20"/>
        </w:rPr>
        <w:t>,</w:t>
      </w:r>
      <w:proofErr w:type="gramEnd"/>
      <w:r w:rsidR="00F34756" w:rsidRPr="00A0498F">
        <w:rPr>
          <w:rFonts w:cstheme="minorHAnsi"/>
          <w:sz w:val="20"/>
          <w:szCs w:val="20"/>
        </w:rPr>
        <w:t xml:space="preserve"> includes flows to aid-recipient countries only.</w:t>
      </w:r>
      <w:r w:rsidR="00F34756" w:rsidRPr="00A0498F">
        <w:rPr>
          <w:rStyle w:val="FootnoteReference"/>
          <w:rFonts w:cstheme="minorHAnsi"/>
          <w:sz w:val="20"/>
          <w:szCs w:val="20"/>
        </w:rPr>
        <w:footnoteReference w:id="3"/>
      </w:r>
    </w:p>
    <w:p w14:paraId="4CC45E2C" w14:textId="2E17BB8C" w:rsidR="00FF2739" w:rsidRPr="00A0498F" w:rsidRDefault="00C64710" w:rsidP="004D1183">
      <w:pPr>
        <w:pStyle w:val="ListParagraph"/>
        <w:rPr>
          <w:rFonts w:cstheme="minorHAnsi"/>
          <w:sz w:val="20"/>
          <w:szCs w:val="20"/>
        </w:rPr>
      </w:pPr>
      <w:r w:rsidRPr="00A0498F">
        <w:rPr>
          <w:rFonts w:cstheme="minorHAnsi"/>
          <w:noProof/>
          <w:sz w:val="20"/>
          <w:szCs w:val="20"/>
        </w:rPr>
        <mc:AlternateContent>
          <mc:Choice Requires="wps">
            <w:drawing>
              <wp:anchor distT="45720" distB="45720" distL="114300" distR="114300" simplePos="0" relativeHeight="251668480" behindDoc="0" locked="0" layoutInCell="1" allowOverlap="1" wp14:anchorId="44BC5E00" wp14:editId="048AEE2B">
                <wp:simplePos x="0" y="0"/>
                <wp:positionH relativeFrom="margin">
                  <wp:align>left</wp:align>
                </wp:positionH>
                <wp:positionV relativeFrom="paragraph">
                  <wp:posOffset>7620</wp:posOffset>
                </wp:positionV>
                <wp:extent cx="6278880" cy="1988820"/>
                <wp:effectExtent l="0" t="0" r="7620" b="0"/>
                <wp:wrapNone/>
                <wp:docPr id="9420428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8880" cy="1988820"/>
                        </a:xfrm>
                        <a:prstGeom prst="rect">
                          <a:avLst/>
                        </a:prstGeom>
                        <a:solidFill>
                          <a:srgbClr val="FFAA00"/>
                        </a:solidFill>
                        <a:ln w="9525">
                          <a:noFill/>
                          <a:miter lim="800000"/>
                          <a:headEnd/>
                          <a:tailEnd/>
                        </a:ln>
                      </wps:spPr>
                      <wps:txbx>
                        <w:txbxContent>
                          <w:p w14:paraId="323B4E46" w14:textId="261D6008" w:rsidR="00F34756" w:rsidRPr="00C64710" w:rsidRDefault="00F34756">
                            <w:pPr>
                              <w:rPr>
                                <w:b/>
                                <w:bCs/>
                                <w:sz w:val="20"/>
                                <w:szCs w:val="20"/>
                              </w:rPr>
                            </w:pPr>
                            <w:r w:rsidRPr="00C64710">
                              <w:rPr>
                                <w:b/>
                                <w:bCs/>
                                <w:sz w:val="20"/>
                                <w:szCs w:val="20"/>
                              </w:rPr>
                              <w:t>What is private capital investment?</w:t>
                            </w:r>
                          </w:p>
                          <w:p w14:paraId="1958A629" w14:textId="4FF9D0B9" w:rsidR="00F34756" w:rsidRPr="00C64710" w:rsidRDefault="00F34756" w:rsidP="00F34756">
                            <w:pPr>
                              <w:rPr>
                                <w:sz w:val="20"/>
                                <w:szCs w:val="20"/>
                              </w:rPr>
                            </w:pPr>
                            <w:r w:rsidRPr="00C64710">
                              <w:rPr>
                                <w:sz w:val="20"/>
                                <w:szCs w:val="20"/>
                              </w:rPr>
                              <w:t xml:space="preserve">Private capital investment involves the acquisition of a physical or financial capital asset with the purpose of producing returns or appreciating in value over time. Physical capital encompasses investments in property involved in physical business activities, such as land, buildings, or equipment; financial capital constitutes investments in venture capital, seed funding, or company shares (Koenig &amp; Jackson, 2016). </w:t>
                            </w:r>
                          </w:p>
                          <w:p w14:paraId="78EB3D39" w14:textId="677ABEBB" w:rsidR="00F34756" w:rsidRPr="00C64710" w:rsidRDefault="00F34756" w:rsidP="00F34756">
                            <w:pPr>
                              <w:rPr>
                                <w:sz w:val="20"/>
                                <w:szCs w:val="20"/>
                              </w:rPr>
                            </w:pPr>
                            <w:r w:rsidRPr="00C64710">
                              <w:rPr>
                                <w:sz w:val="20"/>
                                <w:szCs w:val="20"/>
                              </w:rPr>
                              <w:t xml:space="preserve">The </w:t>
                            </w:r>
                            <w:r w:rsidR="009A7048" w:rsidRPr="00C64710">
                              <w:rPr>
                                <w:sz w:val="20"/>
                                <w:szCs w:val="20"/>
                              </w:rPr>
                              <w:t>Organisation for Economic Co-operation and Development</w:t>
                            </w:r>
                            <w:r w:rsidRPr="00C64710">
                              <w:rPr>
                                <w:sz w:val="20"/>
                                <w:szCs w:val="20"/>
                              </w:rPr>
                              <w:t xml:space="preserve"> methodology for capturing </w:t>
                            </w:r>
                            <w:r w:rsidR="00111D36" w:rsidRPr="00C64710">
                              <w:rPr>
                                <w:sz w:val="20"/>
                                <w:szCs w:val="20"/>
                              </w:rPr>
                              <w:t>private capital investment</w:t>
                            </w:r>
                            <w:r w:rsidRPr="00C64710">
                              <w:rPr>
                                <w:sz w:val="20"/>
                                <w:szCs w:val="20"/>
                              </w:rPr>
                              <w:t xml:space="preserve"> involves measuring specific financial flows at market terms financed out of private sector resources and private grants, including grants by non-governmental organizations. The resulting values represent private flows at market terms from changes in holdings of private long-term assets held by residents of the reporting country to the net of subsidies received from the official sector (OECD, 2023</w:t>
                            </w:r>
                            <w:r w:rsidR="00F36E36" w:rsidRPr="00C64710">
                              <w:rPr>
                                <w:sz w:val="20"/>
                                <w:szCs w:val="20"/>
                              </w:rPr>
                              <w:t>b</w:t>
                            </w:r>
                            <w:r w:rsidRPr="00C64710">
                              <w:rPr>
                                <w:sz w:val="20"/>
                                <w:szCs w:val="20"/>
                              </w:rPr>
                              <w:t>).</w:t>
                            </w:r>
                          </w:p>
                          <w:p w14:paraId="1EF74B7B" w14:textId="77777777" w:rsidR="00F34756" w:rsidRDefault="00F3475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BC5E00" id="_x0000_s1029" type="#_x0000_t202" style="position:absolute;left:0;text-align:left;margin-left:0;margin-top:.6pt;width:494.4pt;height:156.6pt;z-index:2516684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" fillcolor="#fa0" stroked="f">
                <v:textbox>
                  <w:txbxContent>
                    <w:p w14:paraId="323B4E46" w14:textId="261D6008" w:rsidR="00F34756" w:rsidRPr="00C64710" w:rsidRDefault="00F34756">
                      <w:pPr>
                        <w:rPr>
                          <w:b/>
                          <w:bCs/>
                          <w:sz w:val="20"/>
                          <w:szCs w:val="20"/>
                        </w:rPr>
                      </w:pPr>
                      <w:r w:rsidRPr="00C64710">
                        <w:rPr>
                          <w:b/>
                          <w:bCs/>
                          <w:sz w:val="20"/>
                          <w:szCs w:val="20"/>
                        </w:rPr>
                        <w:t>What is private capital investment?</w:t>
                      </w:r>
                    </w:p>
                    <w:p w14:paraId="1958A629" w14:textId="4FF9D0B9" w:rsidR="00F34756" w:rsidRPr="00C64710" w:rsidRDefault="00F34756" w:rsidP="00F34756">
                      <w:pPr>
                        <w:rPr>
                          <w:sz w:val="20"/>
                          <w:szCs w:val="20"/>
                        </w:rPr>
                      </w:pPr>
                      <w:r w:rsidRPr="00C64710">
                        <w:rPr>
                          <w:sz w:val="20"/>
                          <w:szCs w:val="20"/>
                        </w:rPr>
                        <w:t xml:space="preserve">Private capital investment involves the acquisition of a physical or financial capital asset with the purpose of producing returns or appreciating in value over time. Physical capital encompasses investments in property involved in physical business activities, such as land, buildings, or equipment; financial capital constitutes investments in venture capital, seed funding, or company shares (Koenig &amp; Jackson, 2016). </w:t>
                      </w:r>
                    </w:p>
                    <w:p w14:paraId="78EB3D39" w14:textId="677ABEBB" w:rsidR="00F34756" w:rsidRPr="00C64710" w:rsidRDefault="00F34756" w:rsidP="00F34756">
                      <w:pPr>
                        <w:rPr>
                          <w:sz w:val="20"/>
                          <w:szCs w:val="20"/>
                        </w:rPr>
                      </w:pPr>
                      <w:r w:rsidRPr="00C64710">
                        <w:rPr>
                          <w:sz w:val="20"/>
                          <w:szCs w:val="20"/>
                        </w:rPr>
                        <w:t xml:space="preserve">The </w:t>
                      </w:r>
                      <w:proofErr w:type="spellStart"/>
                      <w:r w:rsidR="009A7048" w:rsidRPr="00C64710">
                        <w:rPr>
                          <w:sz w:val="20"/>
                          <w:szCs w:val="20"/>
                        </w:rPr>
                        <w:t>Organisation</w:t>
                      </w:r>
                      <w:proofErr w:type="spellEnd"/>
                      <w:r w:rsidR="009A7048" w:rsidRPr="00C64710">
                        <w:rPr>
                          <w:sz w:val="20"/>
                          <w:szCs w:val="20"/>
                        </w:rPr>
                        <w:t xml:space="preserve"> for Economic Co-operation and Development</w:t>
                      </w:r>
                      <w:r w:rsidRPr="00C64710">
                        <w:rPr>
                          <w:sz w:val="20"/>
                          <w:szCs w:val="20"/>
                        </w:rPr>
                        <w:t xml:space="preserve"> methodology for capturing </w:t>
                      </w:r>
                      <w:r w:rsidR="00111D36" w:rsidRPr="00C64710">
                        <w:rPr>
                          <w:sz w:val="20"/>
                          <w:szCs w:val="20"/>
                        </w:rPr>
                        <w:t>p</w:t>
                      </w:r>
                      <w:r w:rsidR="00111D36" w:rsidRPr="00C64710">
                        <w:rPr>
                          <w:sz w:val="20"/>
                          <w:szCs w:val="20"/>
                        </w:rPr>
                        <w:t>rivate capital investment</w:t>
                      </w:r>
                      <w:r w:rsidRPr="00C64710">
                        <w:rPr>
                          <w:sz w:val="20"/>
                          <w:szCs w:val="20"/>
                        </w:rPr>
                        <w:t xml:space="preserve"> involves measuring specific financial flows at market terms financed out of private sector resources and private grants, including grants by non-governmental organizations. The resulting values represent private flows at market terms from changes in holdings of private long-term assets held by residents of the reporting country to the net of subsidies received from the official sector (OECD, 2023</w:t>
                      </w:r>
                      <w:r w:rsidR="00F36E36" w:rsidRPr="00C64710">
                        <w:rPr>
                          <w:sz w:val="20"/>
                          <w:szCs w:val="20"/>
                        </w:rPr>
                        <w:t>b</w:t>
                      </w:r>
                      <w:r w:rsidRPr="00C64710">
                        <w:rPr>
                          <w:sz w:val="20"/>
                          <w:szCs w:val="20"/>
                        </w:rPr>
                        <w:t>).</w:t>
                      </w:r>
                    </w:p>
                    <w:p w14:paraId="1EF74B7B" w14:textId="77777777" w:rsidR="00F34756" w:rsidRDefault="00F34756"/>
                  </w:txbxContent>
                </v:textbox>
                <w10:wrap anchorx="margin"/>
              </v:shape>
            </w:pict>
          </mc:Fallback>
        </mc:AlternateContent>
      </w:r>
    </w:p>
    <w:p w14:paraId="5858410C" w14:textId="731496B8" w:rsidR="00FF2739" w:rsidRPr="00A0498F" w:rsidRDefault="00FF2739" w:rsidP="00FF2739">
      <w:pPr>
        <w:rPr>
          <w:rFonts w:cstheme="minorHAnsi"/>
          <w:sz w:val="20"/>
          <w:szCs w:val="20"/>
        </w:rPr>
      </w:pPr>
    </w:p>
    <w:p w14:paraId="4FD4C67A" w14:textId="77777777" w:rsidR="00C64710" w:rsidRDefault="00C64710">
      <w:pPr>
        <w:rPr>
          <w:rFonts w:eastAsiaTheme="majorEastAsia" w:cstheme="minorHAnsi"/>
          <w:color w:val="2F5496" w:themeColor="accent1" w:themeShade="BF"/>
          <w:sz w:val="20"/>
          <w:szCs w:val="20"/>
        </w:rPr>
      </w:pPr>
      <w:r>
        <w:rPr>
          <w:rFonts w:cstheme="minorHAnsi"/>
          <w:sz w:val="20"/>
          <w:szCs w:val="20"/>
        </w:rPr>
        <w:br w:type="page"/>
      </w:r>
    </w:p>
    <w:p w14:paraId="15E961D8" w14:textId="3649FF52" w:rsidR="007A07AC" w:rsidRPr="00A0498F" w:rsidRDefault="007A07AC" w:rsidP="00A0498F">
      <w:pPr>
        <w:pStyle w:val="Heading1"/>
        <w:numPr>
          <w:ilvl w:val="0"/>
          <w:numId w:val="4"/>
        </w:numPr>
        <w:rPr>
          <w:rFonts w:asciiTheme="minorHAnsi" w:hAnsiTheme="minorHAnsi" w:cstheme="minorHAnsi"/>
          <w:sz w:val="20"/>
          <w:szCs w:val="20"/>
        </w:rPr>
      </w:pPr>
      <w:bookmarkStart w:id="4" w:name="_Toc138453598"/>
      <w:r w:rsidRPr="00A0498F">
        <w:rPr>
          <w:rFonts w:asciiTheme="minorHAnsi" w:hAnsiTheme="minorHAnsi" w:cstheme="minorHAnsi"/>
          <w:sz w:val="20"/>
          <w:szCs w:val="20"/>
        </w:rPr>
        <w:lastRenderedPageBreak/>
        <w:t xml:space="preserve">Key </w:t>
      </w:r>
      <w:r w:rsidR="00A0498F">
        <w:rPr>
          <w:rFonts w:asciiTheme="minorHAnsi" w:hAnsiTheme="minorHAnsi" w:cstheme="minorHAnsi"/>
          <w:sz w:val="20"/>
          <w:szCs w:val="20"/>
        </w:rPr>
        <w:t>f</w:t>
      </w:r>
      <w:r w:rsidRPr="00A0498F">
        <w:rPr>
          <w:rFonts w:asciiTheme="minorHAnsi" w:hAnsiTheme="minorHAnsi" w:cstheme="minorHAnsi"/>
          <w:sz w:val="20"/>
          <w:szCs w:val="20"/>
        </w:rPr>
        <w:t>indings</w:t>
      </w:r>
      <w:bookmarkEnd w:id="4"/>
    </w:p>
    <w:p w14:paraId="4139464A" w14:textId="4AAF36C0" w:rsidR="00BC599F" w:rsidRPr="00A0498F" w:rsidRDefault="00F74430" w:rsidP="00BC599F">
      <w:pPr>
        <w:rPr>
          <w:rFonts w:cstheme="minorHAnsi"/>
          <w:sz w:val="20"/>
          <w:szCs w:val="20"/>
        </w:rPr>
      </w:pPr>
      <w:r w:rsidRPr="00A0498F">
        <w:rPr>
          <w:rFonts w:cstheme="minorHAnsi"/>
          <w:sz w:val="20"/>
          <w:szCs w:val="20"/>
        </w:rPr>
        <w:t>R</w:t>
      </w:r>
      <w:r w:rsidR="00BC599F" w:rsidRPr="00A0498F">
        <w:rPr>
          <w:rFonts w:cstheme="minorHAnsi"/>
          <w:sz w:val="20"/>
          <w:szCs w:val="20"/>
        </w:rPr>
        <w:t xml:space="preserve">epresenting 55 percent of the </w:t>
      </w:r>
      <w:r w:rsidR="007F04A6" w:rsidRPr="00A0498F">
        <w:rPr>
          <w:rFonts w:cstheme="minorHAnsi"/>
          <w:sz w:val="20"/>
          <w:szCs w:val="20"/>
        </w:rPr>
        <w:t>4</w:t>
      </w:r>
      <w:r w:rsidR="00BC599F" w:rsidRPr="00A0498F">
        <w:rPr>
          <w:rFonts w:cstheme="minorHAnsi"/>
          <w:sz w:val="20"/>
          <w:szCs w:val="20"/>
        </w:rPr>
        <w:t>7 countries included in the</w:t>
      </w:r>
      <w:r w:rsidR="00F36E36" w:rsidRPr="00A0498F">
        <w:rPr>
          <w:rFonts w:cstheme="minorHAnsi"/>
          <w:sz w:val="20"/>
          <w:szCs w:val="20"/>
        </w:rPr>
        <w:t xml:space="preserve"> </w:t>
      </w:r>
      <w:r w:rsidR="00BC599F" w:rsidRPr="00A0498F">
        <w:rPr>
          <w:rFonts w:cstheme="minorHAnsi"/>
          <w:sz w:val="20"/>
          <w:szCs w:val="20"/>
        </w:rPr>
        <w:t xml:space="preserve">2023 </w:t>
      </w:r>
      <w:r w:rsidRPr="00A0498F">
        <w:rPr>
          <w:rFonts w:cstheme="minorHAnsi"/>
          <w:sz w:val="20"/>
          <w:szCs w:val="20"/>
        </w:rPr>
        <w:t xml:space="preserve">GPT, Europe is the region with the most available data on cross-border philanthropy </w:t>
      </w:r>
      <w:r w:rsidR="00BC599F" w:rsidRPr="00A0498F">
        <w:rPr>
          <w:rFonts w:cstheme="minorHAnsi"/>
          <w:sz w:val="20"/>
          <w:szCs w:val="20"/>
        </w:rPr>
        <w:t>(Indiana University Lilly Family School of Philanthropy). In terms of</w:t>
      </w:r>
      <w:r w:rsidRPr="00A0498F">
        <w:rPr>
          <w:rFonts w:cstheme="minorHAnsi"/>
          <w:sz w:val="20"/>
          <w:szCs w:val="20"/>
        </w:rPr>
        <w:t xml:space="preserve"> the</w:t>
      </w:r>
      <w:r w:rsidR="00BC599F" w:rsidRPr="00A0498F">
        <w:rPr>
          <w:rFonts w:cstheme="minorHAnsi"/>
          <w:sz w:val="20"/>
          <w:szCs w:val="20"/>
        </w:rPr>
        <w:t xml:space="preserve"> total dollar amount contributed across all four resource flows, Europe contributed 44 percent (USD 366 billion) of the total USD 841 billion in 2020. Thirty-four percent of remittance outflows, 59 percent of ODA, and 23 percent of philanthropic outflows came from Europe. Europe also contributed more than 100 percent of the total </w:t>
      </w:r>
      <w:r w:rsidR="00111D36" w:rsidRPr="00A0498F">
        <w:rPr>
          <w:rFonts w:cstheme="minorHAnsi"/>
          <w:sz w:val="20"/>
          <w:szCs w:val="20"/>
        </w:rPr>
        <w:t>private capital investment</w:t>
      </w:r>
      <w:r w:rsidR="00BC599F" w:rsidRPr="00A0498F">
        <w:rPr>
          <w:rFonts w:cstheme="minorHAnsi"/>
          <w:sz w:val="20"/>
          <w:szCs w:val="20"/>
        </w:rPr>
        <w:t xml:space="preserve"> outflow, </w:t>
      </w:r>
      <w:proofErr w:type="gramStart"/>
      <w:r w:rsidR="00BC599F" w:rsidRPr="00A0498F">
        <w:rPr>
          <w:rFonts w:cstheme="minorHAnsi"/>
          <w:sz w:val="20"/>
          <w:szCs w:val="20"/>
        </w:rPr>
        <w:t>due to the fact that</w:t>
      </w:r>
      <w:proofErr w:type="gramEnd"/>
      <w:r w:rsidR="00BC599F" w:rsidRPr="00A0498F">
        <w:rPr>
          <w:rFonts w:cstheme="minorHAnsi"/>
          <w:sz w:val="20"/>
          <w:szCs w:val="20"/>
        </w:rPr>
        <w:t xml:space="preserve"> high negative values for the United States and Canada lowered the global total (Table 1).</w:t>
      </w:r>
    </w:p>
    <w:p w14:paraId="5177CD1C" w14:textId="329097AB" w:rsidR="00BC599F" w:rsidRPr="00A0498F" w:rsidRDefault="00BC599F" w:rsidP="00BC599F">
      <w:pPr>
        <w:rPr>
          <w:rFonts w:cstheme="minorHAnsi"/>
          <w:b/>
          <w:bCs/>
          <w:sz w:val="20"/>
          <w:szCs w:val="20"/>
        </w:rPr>
      </w:pPr>
      <w:r w:rsidRPr="00A0498F">
        <w:rPr>
          <w:rFonts w:cstheme="minorHAnsi"/>
          <w:b/>
          <w:bCs/>
          <w:sz w:val="20"/>
          <w:szCs w:val="20"/>
        </w:rPr>
        <w:t>Table 1: TOTAL CROSS-BORDER RESOURCE FLOWS OF 27 EUROPEAN COUNTRIES (in billions of inflation-adjusted 2020 US dollars)</w:t>
      </w:r>
    </w:p>
    <w:tbl>
      <w:tblPr>
        <w:tblStyle w:val="TableGrid"/>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775"/>
        <w:gridCol w:w="1710"/>
        <w:gridCol w:w="1710"/>
      </w:tblGrid>
      <w:tr w:rsidR="00BC599F" w:rsidRPr="00A0498F" w14:paraId="02E14E06" w14:textId="77777777" w:rsidTr="000A6044">
        <w:trPr>
          <w:jc w:val="center"/>
        </w:trPr>
        <w:tc>
          <w:tcPr>
            <w:tcW w:w="3775" w:type="dxa"/>
          </w:tcPr>
          <w:p w14:paraId="3670EB5C" w14:textId="37E7D059" w:rsidR="00BC599F" w:rsidRPr="00A0498F" w:rsidRDefault="00BC599F" w:rsidP="00BC599F">
            <w:pPr>
              <w:rPr>
                <w:rFonts w:cstheme="minorHAnsi"/>
                <w:i/>
                <w:iCs/>
                <w:sz w:val="20"/>
                <w:szCs w:val="20"/>
              </w:rPr>
            </w:pPr>
            <w:r w:rsidRPr="00A0498F">
              <w:rPr>
                <w:rFonts w:cstheme="minorHAnsi"/>
                <w:i/>
                <w:iCs/>
                <w:sz w:val="20"/>
                <w:szCs w:val="20"/>
              </w:rPr>
              <w:t>Resource Flows</w:t>
            </w:r>
          </w:p>
        </w:tc>
        <w:tc>
          <w:tcPr>
            <w:tcW w:w="1710" w:type="dxa"/>
          </w:tcPr>
          <w:p w14:paraId="2501F381" w14:textId="30C6FACF" w:rsidR="00BC599F" w:rsidRPr="00A0498F" w:rsidRDefault="00BC599F" w:rsidP="00BC599F">
            <w:pPr>
              <w:jc w:val="center"/>
              <w:rPr>
                <w:rFonts w:cstheme="minorHAnsi"/>
                <w:i/>
                <w:iCs/>
                <w:sz w:val="20"/>
                <w:szCs w:val="20"/>
              </w:rPr>
            </w:pPr>
            <w:r w:rsidRPr="00A0498F">
              <w:rPr>
                <w:rFonts w:cstheme="minorHAnsi"/>
                <w:i/>
                <w:iCs/>
                <w:sz w:val="20"/>
                <w:szCs w:val="20"/>
              </w:rPr>
              <w:t>Europe</w:t>
            </w:r>
          </w:p>
        </w:tc>
        <w:tc>
          <w:tcPr>
            <w:tcW w:w="1710" w:type="dxa"/>
          </w:tcPr>
          <w:p w14:paraId="56E74F7D" w14:textId="2486D942" w:rsidR="00BC599F" w:rsidRPr="00A0498F" w:rsidRDefault="00BC599F" w:rsidP="00BC599F">
            <w:pPr>
              <w:jc w:val="center"/>
              <w:rPr>
                <w:rFonts w:cstheme="minorHAnsi"/>
                <w:i/>
                <w:iCs/>
                <w:sz w:val="20"/>
                <w:szCs w:val="20"/>
              </w:rPr>
            </w:pPr>
            <w:r w:rsidRPr="00A0498F">
              <w:rPr>
                <w:rFonts w:cstheme="minorHAnsi"/>
                <w:i/>
                <w:iCs/>
                <w:sz w:val="20"/>
                <w:szCs w:val="20"/>
              </w:rPr>
              <w:t>Global</w:t>
            </w:r>
          </w:p>
        </w:tc>
      </w:tr>
      <w:tr w:rsidR="00BC599F" w:rsidRPr="00A0498F" w14:paraId="48254AA8" w14:textId="77777777" w:rsidTr="000A6044">
        <w:trPr>
          <w:jc w:val="center"/>
        </w:trPr>
        <w:tc>
          <w:tcPr>
            <w:tcW w:w="3775" w:type="dxa"/>
          </w:tcPr>
          <w:p w14:paraId="187AE6F7" w14:textId="7E980881" w:rsidR="00BC599F" w:rsidRPr="00A0498F" w:rsidRDefault="00BC599F" w:rsidP="00BC599F">
            <w:pPr>
              <w:rPr>
                <w:rFonts w:cstheme="minorHAnsi"/>
                <w:b/>
                <w:bCs/>
                <w:sz w:val="20"/>
                <w:szCs w:val="20"/>
              </w:rPr>
            </w:pPr>
            <w:r w:rsidRPr="00A0498F">
              <w:rPr>
                <w:rFonts w:cstheme="minorHAnsi"/>
                <w:b/>
                <w:bCs/>
                <w:sz w:val="20"/>
                <w:szCs w:val="20"/>
              </w:rPr>
              <w:t>Remittances</w:t>
            </w:r>
          </w:p>
        </w:tc>
        <w:tc>
          <w:tcPr>
            <w:tcW w:w="1710" w:type="dxa"/>
          </w:tcPr>
          <w:p w14:paraId="3DFB60B5" w14:textId="5B60361A" w:rsidR="00BC599F" w:rsidRPr="00A0498F" w:rsidRDefault="00BC599F" w:rsidP="00906CF0">
            <w:pPr>
              <w:jc w:val="center"/>
              <w:rPr>
                <w:rFonts w:cstheme="minorHAnsi"/>
                <w:sz w:val="20"/>
                <w:szCs w:val="20"/>
              </w:rPr>
            </w:pPr>
            <w:r w:rsidRPr="00A0498F">
              <w:rPr>
                <w:rFonts w:cstheme="minorHAnsi"/>
                <w:sz w:val="20"/>
                <w:szCs w:val="20"/>
              </w:rPr>
              <w:t>$201</w:t>
            </w:r>
          </w:p>
        </w:tc>
        <w:tc>
          <w:tcPr>
            <w:tcW w:w="1710" w:type="dxa"/>
          </w:tcPr>
          <w:p w14:paraId="6FB9DB77" w14:textId="7EDB25FF" w:rsidR="00BC599F" w:rsidRPr="00A0498F" w:rsidRDefault="00906CF0" w:rsidP="00906CF0">
            <w:pPr>
              <w:jc w:val="center"/>
              <w:rPr>
                <w:rFonts w:cstheme="minorHAnsi"/>
                <w:sz w:val="20"/>
                <w:szCs w:val="20"/>
              </w:rPr>
            </w:pPr>
            <w:r w:rsidRPr="00A0498F">
              <w:rPr>
                <w:rFonts w:cstheme="minorHAnsi"/>
                <w:sz w:val="20"/>
                <w:szCs w:val="20"/>
              </w:rPr>
              <w:t>$590</w:t>
            </w:r>
          </w:p>
        </w:tc>
      </w:tr>
      <w:tr w:rsidR="00BC599F" w:rsidRPr="00A0498F" w14:paraId="5ACEDF96" w14:textId="77777777" w:rsidTr="000A6044">
        <w:trPr>
          <w:jc w:val="center"/>
        </w:trPr>
        <w:tc>
          <w:tcPr>
            <w:tcW w:w="3775" w:type="dxa"/>
          </w:tcPr>
          <w:p w14:paraId="59ADF48F" w14:textId="477FA5FC" w:rsidR="00BC599F" w:rsidRPr="00A0498F" w:rsidRDefault="00BC599F" w:rsidP="00BC599F">
            <w:pPr>
              <w:rPr>
                <w:rFonts w:cstheme="minorHAnsi"/>
                <w:b/>
                <w:bCs/>
                <w:sz w:val="20"/>
                <w:szCs w:val="20"/>
              </w:rPr>
            </w:pPr>
            <w:r w:rsidRPr="00A0498F">
              <w:rPr>
                <w:rFonts w:cstheme="minorHAnsi"/>
                <w:b/>
                <w:bCs/>
                <w:sz w:val="20"/>
                <w:szCs w:val="20"/>
              </w:rPr>
              <w:t>Official Development Assistance (ODA)</w:t>
            </w:r>
          </w:p>
        </w:tc>
        <w:tc>
          <w:tcPr>
            <w:tcW w:w="1710" w:type="dxa"/>
          </w:tcPr>
          <w:p w14:paraId="018BF083" w14:textId="54CC9A36" w:rsidR="00BC599F" w:rsidRPr="00A0498F" w:rsidRDefault="00BC599F" w:rsidP="00906CF0">
            <w:pPr>
              <w:jc w:val="center"/>
              <w:rPr>
                <w:rFonts w:cstheme="minorHAnsi"/>
                <w:sz w:val="20"/>
                <w:szCs w:val="20"/>
              </w:rPr>
            </w:pPr>
            <w:r w:rsidRPr="00A0498F">
              <w:rPr>
                <w:rFonts w:cstheme="minorHAnsi"/>
                <w:sz w:val="20"/>
                <w:szCs w:val="20"/>
              </w:rPr>
              <w:t>$107</w:t>
            </w:r>
          </w:p>
        </w:tc>
        <w:tc>
          <w:tcPr>
            <w:tcW w:w="1710" w:type="dxa"/>
          </w:tcPr>
          <w:p w14:paraId="70968DE8" w14:textId="625A546E" w:rsidR="00BC599F" w:rsidRPr="00A0498F" w:rsidRDefault="00906CF0" w:rsidP="00906CF0">
            <w:pPr>
              <w:jc w:val="center"/>
              <w:rPr>
                <w:rFonts w:cstheme="minorHAnsi"/>
                <w:sz w:val="20"/>
                <w:szCs w:val="20"/>
              </w:rPr>
            </w:pPr>
            <w:r w:rsidRPr="00A0498F">
              <w:rPr>
                <w:rFonts w:cstheme="minorHAnsi"/>
                <w:sz w:val="20"/>
                <w:szCs w:val="20"/>
              </w:rPr>
              <w:t>$180</w:t>
            </w:r>
          </w:p>
        </w:tc>
      </w:tr>
      <w:tr w:rsidR="00BC599F" w:rsidRPr="00A0498F" w14:paraId="4006B7EE" w14:textId="77777777" w:rsidTr="000A6044">
        <w:trPr>
          <w:jc w:val="center"/>
        </w:trPr>
        <w:tc>
          <w:tcPr>
            <w:tcW w:w="3775" w:type="dxa"/>
          </w:tcPr>
          <w:p w14:paraId="4D646EDC" w14:textId="3F8ED1D3" w:rsidR="00BC599F" w:rsidRPr="00A0498F" w:rsidRDefault="00BC599F" w:rsidP="00BC599F">
            <w:pPr>
              <w:rPr>
                <w:rFonts w:cstheme="minorHAnsi"/>
                <w:b/>
                <w:bCs/>
                <w:sz w:val="20"/>
                <w:szCs w:val="20"/>
              </w:rPr>
            </w:pPr>
            <w:r w:rsidRPr="00A0498F">
              <w:rPr>
                <w:rFonts w:cstheme="minorHAnsi"/>
                <w:b/>
                <w:bCs/>
                <w:sz w:val="20"/>
                <w:szCs w:val="20"/>
              </w:rPr>
              <w:t>Philanthropic Outflows</w:t>
            </w:r>
          </w:p>
        </w:tc>
        <w:tc>
          <w:tcPr>
            <w:tcW w:w="1710" w:type="dxa"/>
          </w:tcPr>
          <w:p w14:paraId="20FDC0F2" w14:textId="512CCBAB" w:rsidR="00BC599F" w:rsidRPr="00A0498F" w:rsidRDefault="00BC599F" w:rsidP="00906CF0">
            <w:pPr>
              <w:jc w:val="center"/>
              <w:rPr>
                <w:rFonts w:cstheme="minorHAnsi"/>
                <w:sz w:val="20"/>
                <w:szCs w:val="20"/>
              </w:rPr>
            </w:pPr>
            <w:r w:rsidRPr="00A0498F">
              <w:rPr>
                <w:rFonts w:cstheme="minorHAnsi"/>
                <w:sz w:val="20"/>
                <w:szCs w:val="20"/>
              </w:rPr>
              <w:t>$16</w:t>
            </w:r>
          </w:p>
        </w:tc>
        <w:tc>
          <w:tcPr>
            <w:tcW w:w="1710" w:type="dxa"/>
          </w:tcPr>
          <w:p w14:paraId="41DFC148" w14:textId="2595BA64" w:rsidR="00BC599F" w:rsidRPr="00A0498F" w:rsidRDefault="00906CF0" w:rsidP="00906CF0">
            <w:pPr>
              <w:jc w:val="center"/>
              <w:rPr>
                <w:rFonts w:cstheme="minorHAnsi"/>
                <w:sz w:val="20"/>
                <w:szCs w:val="20"/>
              </w:rPr>
            </w:pPr>
            <w:r w:rsidRPr="00A0498F">
              <w:rPr>
                <w:rFonts w:cstheme="minorHAnsi"/>
                <w:sz w:val="20"/>
                <w:szCs w:val="20"/>
              </w:rPr>
              <w:t>$70</w:t>
            </w:r>
          </w:p>
        </w:tc>
      </w:tr>
      <w:tr w:rsidR="00BC599F" w:rsidRPr="00A0498F" w14:paraId="02D8AC50" w14:textId="77777777" w:rsidTr="000A6044">
        <w:trPr>
          <w:jc w:val="center"/>
        </w:trPr>
        <w:tc>
          <w:tcPr>
            <w:tcW w:w="3775" w:type="dxa"/>
          </w:tcPr>
          <w:p w14:paraId="5CCAF7F5" w14:textId="7FF58806" w:rsidR="00BC599F" w:rsidRPr="00A0498F" w:rsidRDefault="00BC599F" w:rsidP="00BC599F">
            <w:pPr>
              <w:rPr>
                <w:rFonts w:cstheme="minorHAnsi"/>
                <w:b/>
                <w:bCs/>
                <w:sz w:val="20"/>
                <w:szCs w:val="20"/>
              </w:rPr>
            </w:pPr>
            <w:r w:rsidRPr="00A0498F">
              <w:rPr>
                <w:rFonts w:cstheme="minorHAnsi"/>
                <w:b/>
                <w:bCs/>
                <w:sz w:val="20"/>
                <w:szCs w:val="20"/>
              </w:rPr>
              <w:t>Private Capital Investment</w:t>
            </w:r>
          </w:p>
        </w:tc>
        <w:tc>
          <w:tcPr>
            <w:tcW w:w="1710" w:type="dxa"/>
          </w:tcPr>
          <w:p w14:paraId="71974B51" w14:textId="56FB9994" w:rsidR="00BC599F" w:rsidRPr="00A0498F" w:rsidRDefault="00BC599F" w:rsidP="00906CF0">
            <w:pPr>
              <w:jc w:val="center"/>
              <w:rPr>
                <w:rFonts w:cstheme="minorHAnsi"/>
                <w:sz w:val="20"/>
                <w:szCs w:val="20"/>
              </w:rPr>
            </w:pPr>
            <w:r w:rsidRPr="00A0498F">
              <w:rPr>
                <w:rFonts w:cstheme="minorHAnsi"/>
                <w:sz w:val="20"/>
                <w:szCs w:val="20"/>
              </w:rPr>
              <w:t>$42</w:t>
            </w:r>
          </w:p>
        </w:tc>
        <w:tc>
          <w:tcPr>
            <w:tcW w:w="1710" w:type="dxa"/>
          </w:tcPr>
          <w:p w14:paraId="5431500C" w14:textId="359B03C7" w:rsidR="00BC599F" w:rsidRPr="00A0498F" w:rsidRDefault="00906CF0" w:rsidP="00906CF0">
            <w:pPr>
              <w:jc w:val="center"/>
              <w:rPr>
                <w:rFonts w:cstheme="minorHAnsi"/>
                <w:sz w:val="20"/>
                <w:szCs w:val="20"/>
              </w:rPr>
            </w:pPr>
            <w:r w:rsidRPr="00A0498F">
              <w:rPr>
                <w:rFonts w:cstheme="minorHAnsi"/>
                <w:sz w:val="20"/>
                <w:szCs w:val="20"/>
              </w:rPr>
              <w:t>$0.4</w:t>
            </w:r>
          </w:p>
        </w:tc>
      </w:tr>
      <w:tr w:rsidR="00BC599F" w:rsidRPr="00A0498F" w14:paraId="4A45235F" w14:textId="77777777" w:rsidTr="000A6044">
        <w:trPr>
          <w:jc w:val="center"/>
        </w:trPr>
        <w:tc>
          <w:tcPr>
            <w:tcW w:w="3775" w:type="dxa"/>
          </w:tcPr>
          <w:p w14:paraId="2EFFF32E" w14:textId="72C9C1C2" w:rsidR="00BC599F" w:rsidRPr="00A0498F" w:rsidRDefault="00BC599F" w:rsidP="00BC599F">
            <w:pPr>
              <w:rPr>
                <w:rFonts w:cstheme="minorHAnsi"/>
                <w:b/>
                <w:bCs/>
                <w:sz w:val="20"/>
                <w:szCs w:val="20"/>
              </w:rPr>
            </w:pPr>
            <w:r w:rsidRPr="00A0498F">
              <w:rPr>
                <w:rFonts w:cstheme="minorHAnsi"/>
                <w:b/>
                <w:bCs/>
                <w:sz w:val="20"/>
                <w:szCs w:val="20"/>
              </w:rPr>
              <w:t>Total</w:t>
            </w:r>
          </w:p>
        </w:tc>
        <w:tc>
          <w:tcPr>
            <w:tcW w:w="1710" w:type="dxa"/>
          </w:tcPr>
          <w:p w14:paraId="2C20F7FD" w14:textId="357A4E98" w:rsidR="00BC599F" w:rsidRPr="00A0498F" w:rsidRDefault="00906CF0" w:rsidP="00906CF0">
            <w:pPr>
              <w:jc w:val="center"/>
              <w:rPr>
                <w:rFonts w:cstheme="minorHAnsi"/>
                <w:sz w:val="20"/>
                <w:szCs w:val="20"/>
              </w:rPr>
            </w:pPr>
            <w:r w:rsidRPr="00A0498F">
              <w:rPr>
                <w:rFonts w:cstheme="minorHAnsi"/>
                <w:sz w:val="20"/>
                <w:szCs w:val="20"/>
              </w:rPr>
              <w:t>$366</w:t>
            </w:r>
          </w:p>
        </w:tc>
        <w:tc>
          <w:tcPr>
            <w:tcW w:w="1710" w:type="dxa"/>
          </w:tcPr>
          <w:p w14:paraId="07D67B4E" w14:textId="33D36C48" w:rsidR="00BC599F" w:rsidRPr="00A0498F" w:rsidRDefault="00906CF0" w:rsidP="00906CF0">
            <w:pPr>
              <w:jc w:val="center"/>
              <w:rPr>
                <w:rFonts w:cstheme="minorHAnsi"/>
                <w:sz w:val="20"/>
                <w:szCs w:val="20"/>
              </w:rPr>
            </w:pPr>
            <w:r w:rsidRPr="00A0498F">
              <w:rPr>
                <w:rFonts w:cstheme="minorHAnsi"/>
                <w:sz w:val="20"/>
                <w:szCs w:val="20"/>
              </w:rPr>
              <w:t>$841</w:t>
            </w:r>
          </w:p>
        </w:tc>
      </w:tr>
    </w:tbl>
    <w:p w14:paraId="1A611556" w14:textId="4C4FFEBE" w:rsidR="00BC599F" w:rsidRPr="00A0498F" w:rsidRDefault="00BC599F" w:rsidP="00BC599F">
      <w:pPr>
        <w:rPr>
          <w:rFonts w:cstheme="minorHAnsi"/>
          <w:b/>
          <w:bCs/>
          <w:sz w:val="20"/>
          <w:szCs w:val="20"/>
        </w:rPr>
      </w:pPr>
    </w:p>
    <w:p w14:paraId="3E69B87A" w14:textId="77777777" w:rsidR="00906CF0" w:rsidRPr="00A0498F" w:rsidRDefault="00906CF0" w:rsidP="00906CF0">
      <w:pPr>
        <w:rPr>
          <w:rFonts w:cstheme="minorHAnsi"/>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33FEBE4A" w14:textId="77777777" w:rsidR="00A0498F" w:rsidRDefault="00A0498F" w:rsidP="00FF2739">
      <w:pPr>
        <w:rPr>
          <w:rFonts w:cstheme="minorHAnsi"/>
          <w:sz w:val="20"/>
          <w:szCs w:val="20"/>
        </w:rPr>
      </w:pPr>
    </w:p>
    <w:p w14:paraId="17996755" w14:textId="42403359" w:rsidR="00FF2739" w:rsidRPr="00A0498F" w:rsidRDefault="00FF2739" w:rsidP="00FF2739">
      <w:pPr>
        <w:rPr>
          <w:rFonts w:cstheme="minorHAnsi"/>
          <w:sz w:val="20"/>
          <w:szCs w:val="20"/>
        </w:rPr>
      </w:pPr>
      <w:r w:rsidRPr="00A0498F">
        <w:rPr>
          <w:rFonts w:cstheme="minorHAnsi"/>
          <w:sz w:val="20"/>
          <w:szCs w:val="20"/>
        </w:rPr>
        <w:t xml:space="preserve">Germany and the United Kingdom, the two European countries with the highest total outflow, ranked second and third at the global level respectively (following the United States). Additionally, eleven of the twelve countries that experienced a decrease in the </w:t>
      </w:r>
      <w:proofErr w:type="gramStart"/>
      <w:r w:rsidRPr="00A0498F">
        <w:rPr>
          <w:rFonts w:cstheme="minorHAnsi"/>
          <w:sz w:val="20"/>
          <w:szCs w:val="20"/>
        </w:rPr>
        <w:t>amount</w:t>
      </w:r>
      <w:proofErr w:type="gramEnd"/>
      <w:r w:rsidRPr="00A0498F">
        <w:rPr>
          <w:rFonts w:cstheme="minorHAnsi"/>
          <w:sz w:val="20"/>
          <w:szCs w:val="20"/>
        </w:rPr>
        <w:t xml:space="preserve"> of philanthropic outflows between 2018 and 2020 were European (except for Canada, with a decline of USD 582 million).</w:t>
      </w:r>
    </w:p>
    <w:p w14:paraId="0C937D16" w14:textId="3D9324F6" w:rsidR="00FF2739" w:rsidRPr="00A0498F" w:rsidRDefault="00FF2739" w:rsidP="007F04A6">
      <w:pPr>
        <w:rPr>
          <w:rFonts w:cstheme="minorHAnsi"/>
          <w:b/>
          <w:bCs/>
          <w:sz w:val="20"/>
          <w:szCs w:val="20"/>
        </w:rPr>
      </w:pPr>
    </w:p>
    <w:p w14:paraId="0739D69B" w14:textId="37C79A04" w:rsidR="007F04A6" w:rsidRPr="00A0498F" w:rsidRDefault="00FF2739" w:rsidP="007F04A6">
      <w:pPr>
        <w:rPr>
          <w:rFonts w:cstheme="minorHAnsi"/>
          <w:b/>
          <w:bCs/>
          <w:sz w:val="20"/>
          <w:szCs w:val="20"/>
        </w:rPr>
      </w:pPr>
      <w:r w:rsidRPr="00A0498F">
        <w:rPr>
          <w:rFonts w:cstheme="minorHAnsi"/>
          <w:b/>
          <w:bCs/>
          <w:noProof/>
          <w:sz w:val="20"/>
          <w:szCs w:val="20"/>
        </w:rPr>
        <w:drawing>
          <wp:anchor distT="0" distB="0" distL="114300" distR="114300" simplePos="0" relativeHeight="251669504" behindDoc="0" locked="0" layoutInCell="1" allowOverlap="1" wp14:anchorId="5409C3FF" wp14:editId="0971EBD5">
            <wp:simplePos x="0" y="0"/>
            <wp:positionH relativeFrom="margin">
              <wp:align>center</wp:align>
            </wp:positionH>
            <wp:positionV relativeFrom="paragraph">
              <wp:posOffset>268605</wp:posOffset>
            </wp:positionV>
            <wp:extent cx="4495800" cy="3045302"/>
            <wp:effectExtent l="0" t="0" r="0" b="3175"/>
            <wp:wrapNone/>
            <wp:docPr id="927239403" name="Picture 1" descr="A map of europe with red countries/region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7239403" name="Picture 1" descr="A map of europe with red countries/regions&#10;&#10;Description automatically generated with low confidence"/>
                    <pic:cNvPicPr/>
                  </pic:nvPicPr>
                  <pic:blipFill rotWithShape="1">
                    <a:blip r:embed="rId8" cstate="print">
                      <a:extLst>
                        <a:ext uri="{28A0092B-C50C-407E-A947-70E740481C1C}">
                          <a14:useLocalDpi xmlns:a14="http://schemas.microsoft.com/office/drawing/2010/main" val="0"/>
                        </a:ext>
                      </a:extLst>
                    </a:blip>
                    <a:srcRect l="10000" t="12527" r="128"/>
                    <a:stretch/>
                  </pic:blipFill>
                  <pic:spPr bwMode="auto">
                    <a:xfrm>
                      <a:off x="0" y="0"/>
                      <a:ext cx="4495800" cy="304530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F04A6" w:rsidRPr="00A0498F">
        <w:rPr>
          <w:rFonts w:cstheme="minorHAnsi"/>
          <w:b/>
          <w:bCs/>
          <w:sz w:val="20"/>
          <w:szCs w:val="20"/>
        </w:rPr>
        <w:t>EUROPEAN COUNTRIES INCLUDED IN THE GLOBAL PHILANTHROP</w:t>
      </w:r>
      <w:r w:rsidR="00342219" w:rsidRPr="00A0498F">
        <w:rPr>
          <w:rFonts w:cstheme="minorHAnsi"/>
          <w:b/>
          <w:bCs/>
          <w:sz w:val="20"/>
          <w:szCs w:val="20"/>
        </w:rPr>
        <w:t>Y</w:t>
      </w:r>
      <w:r w:rsidR="007F04A6" w:rsidRPr="00A0498F">
        <w:rPr>
          <w:rFonts w:cstheme="minorHAnsi"/>
          <w:b/>
          <w:bCs/>
          <w:sz w:val="20"/>
          <w:szCs w:val="20"/>
        </w:rPr>
        <w:t xml:space="preserve"> TRACKER</w:t>
      </w:r>
    </w:p>
    <w:p w14:paraId="50EAA005" w14:textId="79792684" w:rsidR="007F04A6" w:rsidRPr="00A0498F" w:rsidRDefault="007F04A6" w:rsidP="007F04A6">
      <w:pPr>
        <w:jc w:val="center"/>
        <w:rPr>
          <w:rFonts w:cstheme="minorHAnsi"/>
          <w:b/>
          <w:bCs/>
          <w:sz w:val="20"/>
          <w:szCs w:val="20"/>
        </w:rPr>
      </w:pPr>
    </w:p>
    <w:p w14:paraId="63CC6D1A" w14:textId="77777777" w:rsidR="007F04A6" w:rsidRPr="00A0498F" w:rsidRDefault="007F04A6">
      <w:pPr>
        <w:rPr>
          <w:rFonts w:cstheme="minorHAnsi"/>
          <w:sz w:val="20"/>
          <w:szCs w:val="20"/>
        </w:rPr>
      </w:pPr>
    </w:p>
    <w:p w14:paraId="03031C99" w14:textId="77777777" w:rsidR="00FF2739" w:rsidRPr="00A0498F" w:rsidRDefault="00FF2739">
      <w:pPr>
        <w:rPr>
          <w:rFonts w:cstheme="minorHAnsi"/>
          <w:sz w:val="20"/>
          <w:szCs w:val="20"/>
        </w:rPr>
      </w:pPr>
      <w:r w:rsidRPr="00A0498F">
        <w:rPr>
          <w:rFonts w:cstheme="minorHAnsi"/>
          <w:sz w:val="20"/>
          <w:szCs w:val="20"/>
        </w:rPr>
        <w:br w:type="page"/>
      </w:r>
    </w:p>
    <w:p w14:paraId="3E19FC37" w14:textId="31D1E4F5" w:rsidR="00582E2F" w:rsidRPr="00A0498F" w:rsidRDefault="00582E2F" w:rsidP="00A0498F">
      <w:pPr>
        <w:pStyle w:val="ListParagraph"/>
        <w:numPr>
          <w:ilvl w:val="1"/>
          <w:numId w:val="4"/>
        </w:numPr>
        <w:rPr>
          <w:rFonts w:cstheme="minorHAnsi"/>
          <w:b/>
          <w:bCs/>
          <w:i/>
          <w:iCs/>
          <w:sz w:val="20"/>
          <w:szCs w:val="20"/>
        </w:rPr>
      </w:pPr>
      <w:bookmarkStart w:id="5" w:name="_Toc138453599"/>
      <w:r w:rsidRPr="00A0498F">
        <w:rPr>
          <w:rStyle w:val="Heading2Char"/>
          <w:rFonts w:asciiTheme="minorHAnsi" w:hAnsiTheme="minorHAnsi" w:cstheme="minorHAnsi"/>
          <w:i/>
          <w:iCs/>
          <w:sz w:val="20"/>
          <w:szCs w:val="20"/>
        </w:rPr>
        <w:lastRenderedPageBreak/>
        <w:t xml:space="preserve">Total </w:t>
      </w:r>
      <w:r w:rsidR="007A07AC" w:rsidRPr="00A0498F">
        <w:rPr>
          <w:rStyle w:val="Heading2Char"/>
          <w:rFonts w:asciiTheme="minorHAnsi" w:hAnsiTheme="minorHAnsi" w:cstheme="minorHAnsi"/>
          <w:i/>
          <w:iCs/>
          <w:sz w:val="20"/>
          <w:szCs w:val="20"/>
        </w:rPr>
        <w:t>C</w:t>
      </w:r>
      <w:r w:rsidRPr="00A0498F">
        <w:rPr>
          <w:rStyle w:val="Heading2Char"/>
          <w:rFonts w:asciiTheme="minorHAnsi" w:hAnsiTheme="minorHAnsi" w:cstheme="minorHAnsi"/>
          <w:i/>
          <w:iCs/>
          <w:sz w:val="20"/>
          <w:szCs w:val="20"/>
        </w:rPr>
        <w:t>ross-</w:t>
      </w:r>
      <w:r w:rsidR="007A07AC" w:rsidRPr="00A0498F">
        <w:rPr>
          <w:rStyle w:val="Heading2Char"/>
          <w:rFonts w:asciiTheme="minorHAnsi" w:hAnsiTheme="minorHAnsi" w:cstheme="minorHAnsi"/>
          <w:i/>
          <w:iCs/>
          <w:sz w:val="20"/>
          <w:szCs w:val="20"/>
        </w:rPr>
        <w:t>B</w:t>
      </w:r>
      <w:r w:rsidRPr="00A0498F">
        <w:rPr>
          <w:rStyle w:val="Heading2Char"/>
          <w:rFonts w:asciiTheme="minorHAnsi" w:hAnsiTheme="minorHAnsi" w:cstheme="minorHAnsi"/>
          <w:i/>
          <w:iCs/>
          <w:sz w:val="20"/>
          <w:szCs w:val="20"/>
        </w:rPr>
        <w:t xml:space="preserve">order </w:t>
      </w:r>
      <w:r w:rsidR="007A07AC" w:rsidRPr="00A0498F">
        <w:rPr>
          <w:rStyle w:val="Heading2Char"/>
          <w:rFonts w:asciiTheme="minorHAnsi" w:hAnsiTheme="minorHAnsi" w:cstheme="minorHAnsi"/>
          <w:i/>
          <w:iCs/>
          <w:sz w:val="20"/>
          <w:szCs w:val="20"/>
        </w:rPr>
        <w:t>R</w:t>
      </w:r>
      <w:r w:rsidRPr="00A0498F">
        <w:rPr>
          <w:rStyle w:val="Heading2Char"/>
          <w:rFonts w:asciiTheme="minorHAnsi" w:hAnsiTheme="minorHAnsi" w:cstheme="minorHAnsi"/>
          <w:i/>
          <w:iCs/>
          <w:sz w:val="20"/>
          <w:szCs w:val="20"/>
        </w:rPr>
        <w:t xml:space="preserve">esource </w:t>
      </w:r>
      <w:r w:rsidR="007A07AC" w:rsidRPr="00A0498F">
        <w:rPr>
          <w:rStyle w:val="Heading2Char"/>
          <w:rFonts w:asciiTheme="minorHAnsi" w:hAnsiTheme="minorHAnsi" w:cstheme="minorHAnsi"/>
          <w:i/>
          <w:iCs/>
          <w:sz w:val="20"/>
          <w:szCs w:val="20"/>
        </w:rPr>
        <w:t>F</w:t>
      </w:r>
      <w:r w:rsidRPr="00A0498F">
        <w:rPr>
          <w:rStyle w:val="Heading2Char"/>
          <w:rFonts w:asciiTheme="minorHAnsi" w:hAnsiTheme="minorHAnsi" w:cstheme="minorHAnsi"/>
          <w:i/>
          <w:iCs/>
          <w:sz w:val="20"/>
          <w:szCs w:val="20"/>
        </w:rPr>
        <w:t>lows</w:t>
      </w:r>
      <w:bookmarkEnd w:id="5"/>
    </w:p>
    <w:p w14:paraId="2B702D19" w14:textId="3A1BA9B1" w:rsidR="00E220A9" w:rsidRPr="00A0498F" w:rsidRDefault="00E220A9">
      <w:pPr>
        <w:rPr>
          <w:rFonts w:cstheme="minorHAnsi"/>
          <w:sz w:val="20"/>
          <w:szCs w:val="20"/>
        </w:rPr>
      </w:pPr>
      <w:r w:rsidRPr="00A0498F">
        <w:rPr>
          <w:rFonts w:cstheme="minorHAnsi"/>
          <w:sz w:val="20"/>
          <w:szCs w:val="20"/>
        </w:rPr>
        <w:t>In 2020, the 27 European countries included in this research contributed a combined USD 366 billion across all four resource flows</w:t>
      </w:r>
      <w:r w:rsidR="00A46D6C" w:rsidRPr="00A0498F">
        <w:rPr>
          <w:rFonts w:cstheme="minorHAnsi"/>
          <w:sz w:val="20"/>
          <w:szCs w:val="20"/>
        </w:rPr>
        <w:t xml:space="preserve"> (Figure 1)</w:t>
      </w:r>
      <w:r w:rsidRPr="00A0498F">
        <w:rPr>
          <w:rFonts w:cstheme="minorHAnsi"/>
          <w:sz w:val="20"/>
          <w:szCs w:val="20"/>
        </w:rPr>
        <w:t xml:space="preserve">. Remittances represented the largest resource flow in 2020, at USD 201 billion or about 55 percent of all philanthropic flows. ODA was the second-largest flow at USD 107 billion (29% of the total), followed by </w:t>
      </w:r>
      <w:r w:rsidR="00111D36" w:rsidRPr="00A0498F">
        <w:rPr>
          <w:rFonts w:cstheme="minorHAnsi"/>
          <w:sz w:val="20"/>
          <w:szCs w:val="20"/>
        </w:rPr>
        <w:t>private capital investment</w:t>
      </w:r>
      <w:r w:rsidRPr="00A0498F">
        <w:rPr>
          <w:rFonts w:cstheme="minorHAnsi"/>
          <w:sz w:val="20"/>
          <w:szCs w:val="20"/>
        </w:rPr>
        <w:t xml:space="preserve"> (12%) and philanthropic outflows (4%). </w:t>
      </w:r>
    </w:p>
    <w:p w14:paraId="3AEEDA29" w14:textId="4F59A4E8" w:rsidR="00A46D6C" w:rsidRPr="00A0498F" w:rsidRDefault="007A07AC" w:rsidP="00A46D6C">
      <w:pPr>
        <w:rPr>
          <w:rFonts w:cstheme="minorHAnsi"/>
          <w:sz w:val="20"/>
          <w:szCs w:val="20"/>
        </w:rPr>
      </w:pPr>
      <w:r w:rsidRPr="00A0498F">
        <w:rPr>
          <w:rFonts w:cstheme="minorHAnsi"/>
          <w:b/>
          <w:bCs/>
          <w:sz w:val="20"/>
          <w:szCs w:val="20"/>
        </w:rPr>
        <w:t xml:space="preserve">Figure 1: </w:t>
      </w:r>
      <w:r w:rsidR="00A46D6C" w:rsidRPr="00A0498F">
        <w:rPr>
          <w:rFonts w:cstheme="minorHAnsi"/>
          <w:b/>
          <w:bCs/>
          <w:sz w:val="20"/>
          <w:szCs w:val="20"/>
        </w:rPr>
        <w:t>TOTAL CROSS-BORDER RESOURCES FROM 27 COUNTRIES BY FLOW, 2020 (in billions of inflation-adjusted 2020 US dollars)</w:t>
      </w:r>
      <w:r w:rsidR="003645B8" w:rsidRPr="00A0498F">
        <w:rPr>
          <w:rFonts w:cstheme="minorHAnsi"/>
          <w:noProof/>
          <w:sz w:val="20"/>
          <w:szCs w:val="20"/>
        </w:rPr>
        <mc:AlternateContent>
          <mc:Choice Requires="cx1">
            <w:drawing>
              <wp:inline distT="0" distB="0" distL="0" distR="0" wp14:anchorId="203B46ED" wp14:editId="68956E7C">
                <wp:extent cx="5875020" cy="2781300"/>
                <wp:effectExtent l="0" t="0" r="11430" b="0"/>
                <wp:docPr id="2060491437" name="Chart 1">
                  <a:extLst xmlns:a="http://schemas.openxmlformats.org/drawingml/2006/main">
                    <a:ext uri="{FF2B5EF4-FFF2-40B4-BE49-F238E27FC236}">
                      <a16:creationId xmlns:a16="http://schemas.microsoft.com/office/drawing/2014/main" id="{5054A1CE-B0C7-4D0F-A230-4A2EF1942589}"/>
                    </a:ext>
                  </a:extLst>
                </wp:docPr>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9"/>
                  </a:graphicData>
                </a:graphic>
              </wp:inline>
            </w:drawing>
          </mc:Choice>
          <mc:Fallback>
            <w:drawing>
              <wp:inline distT="0" distB="0" distL="0" distR="0" wp14:anchorId="203B46ED" wp14:editId="68956E7C">
                <wp:extent cx="5875020" cy="2781300"/>
                <wp:effectExtent l="0" t="0" r="11430" b="0"/>
                <wp:docPr id="2060491437" name="Chart 1">
                  <a:extLst xmlns:a="http://schemas.openxmlformats.org/drawingml/2006/main">
                    <a:ext uri="{FF2B5EF4-FFF2-40B4-BE49-F238E27FC236}">
                      <a16:creationId xmlns:a16="http://schemas.microsoft.com/office/drawing/2014/main" id="{5054A1CE-B0C7-4D0F-A230-4A2EF1942589}"/>
                    </a:ext>
                  </a:extLst>
                </wp:docPr>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2060491437" name="Chart 1">
                          <a:extLst>
                            <a:ext uri="{FF2B5EF4-FFF2-40B4-BE49-F238E27FC236}">
                              <a16:creationId xmlns:a16="http://schemas.microsoft.com/office/drawing/2014/main" id="{5054A1CE-B0C7-4D0F-A230-4A2EF1942589}"/>
                            </a:ext>
                          </a:extLst>
                        </pic:cNvPr>
                        <pic:cNvPicPr>
                          <a:picLocks noGrp="1" noRot="1" noChangeAspect="1" noMove="1" noResize="1" noEditPoints="1" noAdjustHandles="1" noChangeArrowheads="1" noChangeShapeType="1"/>
                        </pic:cNvPicPr>
                      </pic:nvPicPr>
                      <pic:blipFill>
                        <a:blip r:embed="rId10"/>
                        <a:stretch>
                          <a:fillRect/>
                        </a:stretch>
                      </pic:blipFill>
                      <pic:spPr>
                        <a:xfrm>
                          <a:off x="0" y="0"/>
                          <a:ext cx="5875020" cy="2781300"/>
                        </a:xfrm>
                        <a:prstGeom prst="rect">
                          <a:avLst/>
                        </a:prstGeom>
                      </pic:spPr>
                    </pic:pic>
                  </a:graphicData>
                </a:graphic>
              </wp:inline>
            </w:drawing>
          </mc:Fallback>
        </mc:AlternateContent>
      </w:r>
      <w:r w:rsidR="00A46D6C" w:rsidRPr="00A0498F">
        <w:rPr>
          <w:rFonts w:cstheme="minorHAnsi"/>
          <w:sz w:val="20"/>
          <w:szCs w:val="20"/>
        </w:rPr>
        <w:t xml:space="preserve">Source: Indiana University Lilly Family School of Philanthropy, </w:t>
      </w:r>
      <w:r w:rsidR="00A46D6C" w:rsidRPr="00A0498F">
        <w:rPr>
          <w:rFonts w:cstheme="minorHAnsi"/>
          <w:i/>
          <w:iCs/>
          <w:sz w:val="20"/>
          <w:szCs w:val="20"/>
        </w:rPr>
        <w:t>2023 Global Philanthropy Tracker</w:t>
      </w:r>
    </w:p>
    <w:p w14:paraId="0F4F4743" w14:textId="5249B7CD" w:rsidR="00E220A9" w:rsidRPr="00A0498F" w:rsidRDefault="00E220A9">
      <w:pPr>
        <w:rPr>
          <w:rFonts w:cstheme="minorHAnsi"/>
          <w:sz w:val="20"/>
          <w:szCs w:val="20"/>
        </w:rPr>
      </w:pPr>
      <w:r w:rsidRPr="00A0498F">
        <w:rPr>
          <w:rFonts w:cstheme="minorHAnsi"/>
          <w:sz w:val="20"/>
          <w:szCs w:val="20"/>
        </w:rPr>
        <w:t xml:space="preserve">Despite the global economic turbulence associated with the COVID-19 pandemic, most resource flows remained stable compared to 2018. In fact, </w:t>
      </w:r>
      <w:r w:rsidR="00164C3D" w:rsidRPr="00A0498F">
        <w:rPr>
          <w:rFonts w:cstheme="minorHAnsi"/>
          <w:sz w:val="20"/>
          <w:szCs w:val="20"/>
        </w:rPr>
        <w:t xml:space="preserve">among European countries, </w:t>
      </w:r>
      <w:proofErr w:type="gramStart"/>
      <w:r w:rsidRPr="00A0498F">
        <w:rPr>
          <w:rFonts w:cstheme="minorHAnsi"/>
          <w:sz w:val="20"/>
          <w:szCs w:val="20"/>
        </w:rPr>
        <w:t>ODA</w:t>
      </w:r>
      <w:proofErr w:type="gramEnd"/>
      <w:r w:rsidRPr="00A0498F">
        <w:rPr>
          <w:rFonts w:cstheme="minorHAnsi"/>
          <w:sz w:val="20"/>
          <w:szCs w:val="20"/>
        </w:rPr>
        <w:t xml:space="preserve"> and philanthropic outflows both increased 5 percent since 2018</w:t>
      </w:r>
      <w:r w:rsidR="00A46D6C" w:rsidRPr="00A0498F">
        <w:rPr>
          <w:rFonts w:cstheme="minorHAnsi"/>
          <w:sz w:val="20"/>
          <w:szCs w:val="20"/>
        </w:rPr>
        <w:t xml:space="preserve"> (</w:t>
      </w:r>
      <w:r w:rsidR="00F844C3" w:rsidRPr="00A0498F">
        <w:rPr>
          <w:rFonts w:cstheme="minorHAnsi"/>
          <w:sz w:val="20"/>
          <w:szCs w:val="20"/>
        </w:rPr>
        <w:t xml:space="preserve">Table </w:t>
      </w:r>
      <w:r w:rsidR="00906CF0" w:rsidRPr="00A0498F">
        <w:rPr>
          <w:rFonts w:cstheme="minorHAnsi"/>
          <w:sz w:val="20"/>
          <w:szCs w:val="20"/>
        </w:rPr>
        <w:t>2</w:t>
      </w:r>
      <w:r w:rsidR="00A46D6C" w:rsidRPr="00A0498F">
        <w:rPr>
          <w:rFonts w:cstheme="minorHAnsi"/>
          <w:sz w:val="20"/>
          <w:szCs w:val="20"/>
        </w:rPr>
        <w:t>)</w:t>
      </w:r>
      <w:r w:rsidRPr="00A0498F">
        <w:rPr>
          <w:rFonts w:cstheme="minorHAnsi"/>
          <w:sz w:val="20"/>
          <w:szCs w:val="20"/>
        </w:rPr>
        <w:t xml:space="preserve">. Remittances, which tend to rise with economic instability, saw a 24 percent increase between 2018 and 2020. This rise is </w:t>
      </w:r>
      <w:r w:rsidR="007A07AC" w:rsidRPr="00A0498F">
        <w:rPr>
          <w:rFonts w:cstheme="minorHAnsi"/>
          <w:sz w:val="20"/>
          <w:szCs w:val="20"/>
        </w:rPr>
        <w:t xml:space="preserve">likely </w:t>
      </w:r>
      <w:r w:rsidRPr="00A0498F">
        <w:rPr>
          <w:rFonts w:cstheme="minorHAnsi"/>
          <w:sz w:val="20"/>
          <w:szCs w:val="20"/>
        </w:rPr>
        <w:t xml:space="preserve">due in part to government stimulus packages as well as </w:t>
      </w:r>
      <w:r w:rsidR="00164C3D" w:rsidRPr="00A0498F">
        <w:rPr>
          <w:rFonts w:cstheme="minorHAnsi"/>
          <w:sz w:val="20"/>
          <w:szCs w:val="20"/>
        </w:rPr>
        <w:t xml:space="preserve">the introduction of </w:t>
      </w:r>
      <w:r w:rsidRPr="00A0498F">
        <w:rPr>
          <w:rFonts w:cstheme="minorHAnsi"/>
          <w:sz w:val="20"/>
          <w:szCs w:val="20"/>
        </w:rPr>
        <w:t xml:space="preserve">new vehicles for sending remittances, which encouraged an increase in remittances (Kpodar et al., 2022). In contrast, </w:t>
      </w:r>
      <w:r w:rsidR="00111D36" w:rsidRPr="00A0498F">
        <w:rPr>
          <w:rFonts w:cstheme="minorHAnsi"/>
          <w:sz w:val="20"/>
          <w:szCs w:val="20"/>
        </w:rPr>
        <w:t xml:space="preserve">private capital </w:t>
      </w:r>
      <w:proofErr w:type="gramStart"/>
      <w:r w:rsidR="00111D36" w:rsidRPr="00A0498F">
        <w:rPr>
          <w:rFonts w:cstheme="minorHAnsi"/>
          <w:sz w:val="20"/>
          <w:szCs w:val="20"/>
        </w:rPr>
        <w:t>investment</w:t>
      </w:r>
      <w:r w:rsidR="00111D36" w:rsidRPr="00A0498F" w:rsidDel="00111D36">
        <w:rPr>
          <w:rFonts w:cstheme="minorHAnsi"/>
          <w:sz w:val="20"/>
          <w:szCs w:val="20"/>
        </w:rPr>
        <w:t xml:space="preserve"> </w:t>
      </w:r>
      <w:r w:rsidRPr="00A0498F">
        <w:rPr>
          <w:rFonts w:cstheme="minorHAnsi"/>
          <w:sz w:val="20"/>
          <w:szCs w:val="20"/>
        </w:rPr>
        <w:t xml:space="preserve"> suffered</w:t>
      </w:r>
      <w:proofErr w:type="gramEnd"/>
      <w:r w:rsidRPr="00A0498F">
        <w:rPr>
          <w:rFonts w:cstheme="minorHAnsi"/>
          <w:sz w:val="20"/>
          <w:szCs w:val="20"/>
        </w:rPr>
        <w:t xml:space="preserve"> the impacts of unfavorable economic conditions during the pandemic and decreased 44 percent between 2018 and 2020, largely due to the global economic recession and a sharp decline in the values of foreign investments (UNCTAD, 2021).</w:t>
      </w:r>
    </w:p>
    <w:p w14:paraId="664FF16B" w14:textId="5943C8C5" w:rsidR="00A46D6C" w:rsidRPr="00A0498F" w:rsidRDefault="00A46D6C">
      <w:pPr>
        <w:rPr>
          <w:rFonts w:cstheme="minorHAnsi"/>
          <w:b/>
          <w:bCs/>
          <w:sz w:val="20"/>
          <w:szCs w:val="20"/>
        </w:rPr>
      </w:pPr>
      <w:r w:rsidRPr="00A0498F">
        <w:rPr>
          <w:rFonts w:cstheme="minorHAnsi"/>
          <w:b/>
          <w:bCs/>
          <w:sz w:val="20"/>
          <w:szCs w:val="20"/>
        </w:rPr>
        <w:t xml:space="preserve">Table </w:t>
      </w:r>
      <w:r w:rsidR="00906CF0" w:rsidRPr="00A0498F">
        <w:rPr>
          <w:rFonts w:cstheme="minorHAnsi"/>
          <w:b/>
          <w:bCs/>
          <w:sz w:val="20"/>
          <w:szCs w:val="20"/>
        </w:rPr>
        <w:t>2</w:t>
      </w:r>
      <w:r w:rsidRPr="00A0498F">
        <w:rPr>
          <w:rFonts w:cstheme="minorHAnsi"/>
          <w:b/>
          <w:bCs/>
          <w:sz w:val="20"/>
          <w:szCs w:val="20"/>
        </w:rPr>
        <w:t>: TOTAL CROSS-BORDER RESOURCES FROM 47 COUNTRIES BY FLOW, 2018 AND 2020 (in billions of inflation-adjusted 2020 US dollars)</w:t>
      </w:r>
    </w:p>
    <w:tbl>
      <w:tblPr>
        <w:tblStyle w:val="TableGrid"/>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865"/>
        <w:gridCol w:w="1080"/>
        <w:gridCol w:w="1085"/>
        <w:gridCol w:w="1870"/>
      </w:tblGrid>
      <w:tr w:rsidR="00A46D6C" w:rsidRPr="00A0498F" w14:paraId="3AB25AE2" w14:textId="77777777" w:rsidTr="000A6044">
        <w:trPr>
          <w:jc w:val="center"/>
        </w:trPr>
        <w:tc>
          <w:tcPr>
            <w:tcW w:w="3865" w:type="dxa"/>
          </w:tcPr>
          <w:p w14:paraId="5B63CB49" w14:textId="17ACA916" w:rsidR="00A46D6C" w:rsidRPr="00A0498F" w:rsidRDefault="00A46D6C">
            <w:pPr>
              <w:rPr>
                <w:rFonts w:cstheme="minorHAnsi"/>
                <w:i/>
                <w:iCs/>
                <w:sz w:val="20"/>
                <w:szCs w:val="20"/>
              </w:rPr>
            </w:pPr>
            <w:r w:rsidRPr="00A0498F">
              <w:rPr>
                <w:rFonts w:cstheme="minorHAnsi"/>
                <w:i/>
                <w:iCs/>
                <w:sz w:val="20"/>
                <w:szCs w:val="20"/>
              </w:rPr>
              <w:t>Financial Flows from 27 Countries</w:t>
            </w:r>
          </w:p>
        </w:tc>
        <w:tc>
          <w:tcPr>
            <w:tcW w:w="1080" w:type="dxa"/>
          </w:tcPr>
          <w:p w14:paraId="1E7A9354" w14:textId="68FAE3EF" w:rsidR="00A46D6C" w:rsidRPr="00A0498F" w:rsidRDefault="00A46D6C" w:rsidP="00A46D6C">
            <w:pPr>
              <w:jc w:val="center"/>
              <w:rPr>
                <w:rFonts w:cstheme="minorHAnsi"/>
                <w:i/>
                <w:iCs/>
                <w:sz w:val="20"/>
                <w:szCs w:val="20"/>
              </w:rPr>
            </w:pPr>
            <w:r w:rsidRPr="00A0498F">
              <w:rPr>
                <w:rFonts w:cstheme="minorHAnsi"/>
                <w:i/>
                <w:iCs/>
                <w:sz w:val="20"/>
                <w:szCs w:val="20"/>
              </w:rPr>
              <w:t>2020</w:t>
            </w:r>
          </w:p>
        </w:tc>
        <w:tc>
          <w:tcPr>
            <w:tcW w:w="1085" w:type="dxa"/>
          </w:tcPr>
          <w:p w14:paraId="5F72AEE4" w14:textId="27392C70" w:rsidR="00A46D6C" w:rsidRPr="00A0498F" w:rsidRDefault="00A46D6C" w:rsidP="00A46D6C">
            <w:pPr>
              <w:jc w:val="center"/>
              <w:rPr>
                <w:rFonts w:cstheme="minorHAnsi"/>
                <w:i/>
                <w:iCs/>
                <w:sz w:val="20"/>
                <w:szCs w:val="20"/>
              </w:rPr>
            </w:pPr>
            <w:r w:rsidRPr="00A0498F">
              <w:rPr>
                <w:rFonts w:cstheme="minorHAnsi"/>
                <w:i/>
                <w:iCs/>
                <w:sz w:val="20"/>
                <w:szCs w:val="20"/>
              </w:rPr>
              <w:t>2018</w:t>
            </w:r>
          </w:p>
        </w:tc>
        <w:tc>
          <w:tcPr>
            <w:tcW w:w="1870" w:type="dxa"/>
          </w:tcPr>
          <w:p w14:paraId="4DAC5591" w14:textId="1AF30FEB" w:rsidR="00A46D6C" w:rsidRPr="00A0498F" w:rsidRDefault="00A46D6C" w:rsidP="00A46D6C">
            <w:pPr>
              <w:jc w:val="center"/>
              <w:rPr>
                <w:rFonts w:cstheme="minorHAnsi"/>
                <w:i/>
                <w:iCs/>
                <w:sz w:val="20"/>
                <w:szCs w:val="20"/>
              </w:rPr>
            </w:pPr>
            <w:r w:rsidRPr="00A0498F">
              <w:rPr>
                <w:rFonts w:cstheme="minorHAnsi"/>
                <w:i/>
                <w:iCs/>
                <w:sz w:val="20"/>
                <w:szCs w:val="20"/>
              </w:rPr>
              <w:t>% Change from 2018 to 2020</w:t>
            </w:r>
          </w:p>
        </w:tc>
      </w:tr>
      <w:tr w:rsidR="00A46D6C" w:rsidRPr="00A0498F" w14:paraId="5D953363" w14:textId="77777777" w:rsidTr="000A6044">
        <w:trPr>
          <w:jc w:val="center"/>
        </w:trPr>
        <w:tc>
          <w:tcPr>
            <w:tcW w:w="3865" w:type="dxa"/>
            <w:shd w:val="clear" w:color="auto" w:fill="D3FDEB"/>
          </w:tcPr>
          <w:p w14:paraId="675571BB" w14:textId="74F4F007" w:rsidR="00A46D6C" w:rsidRPr="00A0498F" w:rsidRDefault="00A46D6C">
            <w:pPr>
              <w:rPr>
                <w:rFonts w:cstheme="minorHAnsi"/>
                <w:b/>
                <w:bCs/>
                <w:sz w:val="20"/>
                <w:szCs w:val="20"/>
              </w:rPr>
            </w:pPr>
            <w:r w:rsidRPr="00A0498F">
              <w:rPr>
                <w:rFonts w:cstheme="minorHAnsi"/>
                <w:b/>
                <w:bCs/>
                <w:sz w:val="20"/>
                <w:szCs w:val="20"/>
              </w:rPr>
              <w:t>Remittances</w:t>
            </w:r>
          </w:p>
        </w:tc>
        <w:tc>
          <w:tcPr>
            <w:tcW w:w="1080" w:type="dxa"/>
            <w:shd w:val="clear" w:color="auto" w:fill="D3FDEB"/>
          </w:tcPr>
          <w:p w14:paraId="53F906C6" w14:textId="7EEF6DF3" w:rsidR="00A46D6C" w:rsidRPr="00A0498F" w:rsidRDefault="00A46D6C" w:rsidP="00A46D6C">
            <w:pPr>
              <w:jc w:val="center"/>
              <w:rPr>
                <w:rFonts w:cstheme="minorHAnsi"/>
                <w:b/>
                <w:bCs/>
                <w:sz w:val="20"/>
                <w:szCs w:val="20"/>
              </w:rPr>
            </w:pPr>
            <w:r w:rsidRPr="00A0498F">
              <w:rPr>
                <w:rFonts w:cstheme="minorHAnsi"/>
                <w:b/>
                <w:bCs/>
                <w:sz w:val="20"/>
                <w:szCs w:val="20"/>
              </w:rPr>
              <w:t>$201</w:t>
            </w:r>
          </w:p>
        </w:tc>
        <w:tc>
          <w:tcPr>
            <w:tcW w:w="1085" w:type="dxa"/>
            <w:shd w:val="clear" w:color="auto" w:fill="D3FDEB"/>
          </w:tcPr>
          <w:p w14:paraId="1385ACBA" w14:textId="71554A4A" w:rsidR="00A46D6C" w:rsidRPr="00A0498F" w:rsidRDefault="00A46D6C" w:rsidP="00A46D6C">
            <w:pPr>
              <w:jc w:val="center"/>
              <w:rPr>
                <w:rFonts w:cstheme="minorHAnsi"/>
                <w:b/>
                <w:bCs/>
                <w:sz w:val="20"/>
                <w:szCs w:val="20"/>
              </w:rPr>
            </w:pPr>
            <w:r w:rsidRPr="00A0498F">
              <w:rPr>
                <w:rFonts w:cstheme="minorHAnsi"/>
                <w:b/>
                <w:bCs/>
                <w:sz w:val="20"/>
                <w:szCs w:val="20"/>
              </w:rPr>
              <w:t>$161</w:t>
            </w:r>
          </w:p>
        </w:tc>
        <w:tc>
          <w:tcPr>
            <w:tcW w:w="1870" w:type="dxa"/>
            <w:shd w:val="clear" w:color="auto" w:fill="D3FDEB"/>
          </w:tcPr>
          <w:p w14:paraId="0A402A66" w14:textId="17DB1F8E" w:rsidR="00A46D6C" w:rsidRPr="00A0498F" w:rsidRDefault="00A46D6C" w:rsidP="00A46D6C">
            <w:pPr>
              <w:jc w:val="center"/>
              <w:rPr>
                <w:rFonts w:cstheme="minorHAnsi"/>
                <w:b/>
                <w:bCs/>
                <w:sz w:val="20"/>
                <w:szCs w:val="20"/>
              </w:rPr>
            </w:pPr>
            <w:r w:rsidRPr="00A0498F">
              <w:rPr>
                <w:rFonts w:cstheme="minorHAnsi"/>
                <w:b/>
                <w:bCs/>
                <w:sz w:val="20"/>
                <w:szCs w:val="20"/>
              </w:rPr>
              <w:t>24%</w:t>
            </w:r>
          </w:p>
        </w:tc>
      </w:tr>
      <w:tr w:rsidR="00A46D6C" w:rsidRPr="00A0498F" w14:paraId="58A5FF2D" w14:textId="77777777" w:rsidTr="000A6044">
        <w:trPr>
          <w:trHeight w:val="323"/>
          <w:jc w:val="center"/>
        </w:trPr>
        <w:tc>
          <w:tcPr>
            <w:tcW w:w="3865" w:type="dxa"/>
            <w:shd w:val="clear" w:color="auto" w:fill="D3FDEB"/>
          </w:tcPr>
          <w:p w14:paraId="3FE140D8" w14:textId="72E6EFA7" w:rsidR="00A46D6C" w:rsidRPr="00A0498F" w:rsidRDefault="00A46D6C">
            <w:pPr>
              <w:rPr>
                <w:rFonts w:cstheme="minorHAnsi"/>
                <w:b/>
                <w:bCs/>
                <w:sz w:val="20"/>
                <w:szCs w:val="20"/>
              </w:rPr>
            </w:pPr>
            <w:r w:rsidRPr="00A0498F">
              <w:rPr>
                <w:rFonts w:cstheme="minorHAnsi"/>
                <w:b/>
                <w:bCs/>
                <w:sz w:val="20"/>
                <w:szCs w:val="20"/>
              </w:rPr>
              <w:t>Official Development Assistance (ODA)</w:t>
            </w:r>
          </w:p>
        </w:tc>
        <w:tc>
          <w:tcPr>
            <w:tcW w:w="1080" w:type="dxa"/>
            <w:shd w:val="clear" w:color="auto" w:fill="D3FDEB"/>
          </w:tcPr>
          <w:p w14:paraId="3F817D2E" w14:textId="49105649" w:rsidR="00A46D6C" w:rsidRPr="00A0498F" w:rsidRDefault="00A46D6C" w:rsidP="00A46D6C">
            <w:pPr>
              <w:jc w:val="center"/>
              <w:rPr>
                <w:rFonts w:cstheme="minorHAnsi"/>
                <w:b/>
                <w:bCs/>
                <w:sz w:val="20"/>
                <w:szCs w:val="20"/>
              </w:rPr>
            </w:pPr>
            <w:r w:rsidRPr="00A0498F">
              <w:rPr>
                <w:rFonts w:cstheme="minorHAnsi"/>
                <w:b/>
                <w:bCs/>
                <w:sz w:val="20"/>
                <w:szCs w:val="20"/>
              </w:rPr>
              <w:t>$107</w:t>
            </w:r>
          </w:p>
        </w:tc>
        <w:tc>
          <w:tcPr>
            <w:tcW w:w="1085" w:type="dxa"/>
            <w:shd w:val="clear" w:color="auto" w:fill="D3FDEB"/>
          </w:tcPr>
          <w:p w14:paraId="65AC17F7" w14:textId="2F2D77D3" w:rsidR="00A46D6C" w:rsidRPr="00A0498F" w:rsidRDefault="00A46D6C" w:rsidP="00A46D6C">
            <w:pPr>
              <w:jc w:val="center"/>
              <w:rPr>
                <w:rFonts w:cstheme="minorHAnsi"/>
                <w:b/>
                <w:bCs/>
                <w:sz w:val="20"/>
                <w:szCs w:val="20"/>
              </w:rPr>
            </w:pPr>
            <w:r w:rsidRPr="00A0498F">
              <w:rPr>
                <w:rFonts w:cstheme="minorHAnsi"/>
                <w:b/>
                <w:bCs/>
                <w:sz w:val="20"/>
                <w:szCs w:val="20"/>
              </w:rPr>
              <w:t>$102</w:t>
            </w:r>
          </w:p>
        </w:tc>
        <w:tc>
          <w:tcPr>
            <w:tcW w:w="1870" w:type="dxa"/>
            <w:shd w:val="clear" w:color="auto" w:fill="D3FDEB"/>
          </w:tcPr>
          <w:p w14:paraId="162038CC" w14:textId="79B876CA" w:rsidR="00A46D6C" w:rsidRPr="00A0498F" w:rsidRDefault="00A46D6C" w:rsidP="00A46D6C">
            <w:pPr>
              <w:jc w:val="center"/>
              <w:rPr>
                <w:rFonts w:cstheme="minorHAnsi"/>
                <w:b/>
                <w:bCs/>
                <w:sz w:val="20"/>
                <w:szCs w:val="20"/>
              </w:rPr>
            </w:pPr>
            <w:r w:rsidRPr="00A0498F">
              <w:rPr>
                <w:rFonts w:cstheme="minorHAnsi"/>
                <w:b/>
                <w:bCs/>
                <w:sz w:val="20"/>
                <w:szCs w:val="20"/>
              </w:rPr>
              <w:t>5%</w:t>
            </w:r>
          </w:p>
        </w:tc>
      </w:tr>
      <w:tr w:rsidR="00A46D6C" w:rsidRPr="00A0498F" w14:paraId="307ADA0B" w14:textId="77777777" w:rsidTr="000A6044">
        <w:trPr>
          <w:jc w:val="center"/>
        </w:trPr>
        <w:tc>
          <w:tcPr>
            <w:tcW w:w="3865" w:type="dxa"/>
            <w:shd w:val="clear" w:color="auto" w:fill="D3FDEB"/>
          </w:tcPr>
          <w:p w14:paraId="733B570F" w14:textId="659360D1" w:rsidR="00A46D6C" w:rsidRPr="00A0498F" w:rsidRDefault="00A46D6C">
            <w:pPr>
              <w:rPr>
                <w:rFonts w:cstheme="minorHAnsi"/>
                <w:b/>
                <w:bCs/>
                <w:sz w:val="20"/>
                <w:szCs w:val="20"/>
              </w:rPr>
            </w:pPr>
            <w:r w:rsidRPr="00A0498F">
              <w:rPr>
                <w:rFonts w:cstheme="minorHAnsi"/>
                <w:b/>
                <w:bCs/>
                <w:sz w:val="20"/>
                <w:szCs w:val="20"/>
              </w:rPr>
              <w:t>Philanthropic Outflows</w:t>
            </w:r>
          </w:p>
        </w:tc>
        <w:tc>
          <w:tcPr>
            <w:tcW w:w="1080" w:type="dxa"/>
            <w:shd w:val="clear" w:color="auto" w:fill="D3FDEB"/>
          </w:tcPr>
          <w:p w14:paraId="4687C200" w14:textId="352AC8CF" w:rsidR="00A46D6C" w:rsidRPr="00A0498F" w:rsidRDefault="00A46D6C" w:rsidP="00A46D6C">
            <w:pPr>
              <w:jc w:val="center"/>
              <w:rPr>
                <w:rFonts w:cstheme="minorHAnsi"/>
                <w:b/>
                <w:bCs/>
                <w:sz w:val="20"/>
                <w:szCs w:val="20"/>
              </w:rPr>
            </w:pPr>
            <w:r w:rsidRPr="00A0498F">
              <w:rPr>
                <w:rFonts w:cstheme="minorHAnsi"/>
                <w:b/>
                <w:bCs/>
                <w:sz w:val="20"/>
                <w:szCs w:val="20"/>
              </w:rPr>
              <w:t>$16</w:t>
            </w:r>
          </w:p>
        </w:tc>
        <w:tc>
          <w:tcPr>
            <w:tcW w:w="1085" w:type="dxa"/>
            <w:shd w:val="clear" w:color="auto" w:fill="D3FDEB"/>
          </w:tcPr>
          <w:p w14:paraId="612A5509" w14:textId="0B11DCA8" w:rsidR="00A46D6C" w:rsidRPr="00A0498F" w:rsidRDefault="00A46D6C" w:rsidP="00A46D6C">
            <w:pPr>
              <w:jc w:val="center"/>
              <w:rPr>
                <w:rFonts w:cstheme="minorHAnsi"/>
                <w:b/>
                <w:bCs/>
                <w:sz w:val="20"/>
                <w:szCs w:val="20"/>
              </w:rPr>
            </w:pPr>
            <w:r w:rsidRPr="00A0498F">
              <w:rPr>
                <w:rFonts w:cstheme="minorHAnsi"/>
                <w:b/>
                <w:bCs/>
                <w:sz w:val="20"/>
                <w:szCs w:val="20"/>
              </w:rPr>
              <w:t>$15</w:t>
            </w:r>
          </w:p>
        </w:tc>
        <w:tc>
          <w:tcPr>
            <w:tcW w:w="1870" w:type="dxa"/>
            <w:shd w:val="clear" w:color="auto" w:fill="D3FDEB"/>
          </w:tcPr>
          <w:p w14:paraId="300D2EB6" w14:textId="1B74CA53" w:rsidR="00A46D6C" w:rsidRPr="00A0498F" w:rsidRDefault="00A46D6C" w:rsidP="00A46D6C">
            <w:pPr>
              <w:jc w:val="center"/>
              <w:rPr>
                <w:rFonts w:cstheme="minorHAnsi"/>
                <w:b/>
                <w:bCs/>
                <w:sz w:val="20"/>
                <w:szCs w:val="20"/>
              </w:rPr>
            </w:pPr>
            <w:r w:rsidRPr="00A0498F">
              <w:rPr>
                <w:rFonts w:cstheme="minorHAnsi"/>
                <w:b/>
                <w:bCs/>
                <w:sz w:val="20"/>
                <w:szCs w:val="20"/>
              </w:rPr>
              <w:t>5%</w:t>
            </w:r>
          </w:p>
        </w:tc>
      </w:tr>
      <w:tr w:rsidR="00A46D6C" w:rsidRPr="00A0498F" w14:paraId="18106657" w14:textId="77777777" w:rsidTr="000A6044">
        <w:trPr>
          <w:jc w:val="center"/>
        </w:trPr>
        <w:tc>
          <w:tcPr>
            <w:tcW w:w="3865" w:type="dxa"/>
            <w:shd w:val="clear" w:color="auto" w:fill="FF9B9B"/>
          </w:tcPr>
          <w:p w14:paraId="6AC6A517" w14:textId="711D1EC4" w:rsidR="00A46D6C" w:rsidRPr="00A0498F" w:rsidRDefault="00A46D6C">
            <w:pPr>
              <w:rPr>
                <w:rFonts w:cstheme="minorHAnsi"/>
                <w:b/>
                <w:bCs/>
                <w:sz w:val="20"/>
                <w:szCs w:val="20"/>
              </w:rPr>
            </w:pPr>
            <w:r w:rsidRPr="00A0498F">
              <w:rPr>
                <w:rFonts w:cstheme="minorHAnsi"/>
                <w:b/>
                <w:bCs/>
                <w:sz w:val="20"/>
                <w:szCs w:val="20"/>
              </w:rPr>
              <w:t>Private Capital Investment</w:t>
            </w:r>
          </w:p>
        </w:tc>
        <w:tc>
          <w:tcPr>
            <w:tcW w:w="1080" w:type="dxa"/>
            <w:shd w:val="clear" w:color="auto" w:fill="FF9B9B"/>
          </w:tcPr>
          <w:p w14:paraId="61B85DF0" w14:textId="56E81240" w:rsidR="00A46D6C" w:rsidRPr="00A0498F" w:rsidRDefault="00A46D6C" w:rsidP="00A46D6C">
            <w:pPr>
              <w:jc w:val="center"/>
              <w:rPr>
                <w:rFonts w:cstheme="minorHAnsi"/>
                <w:b/>
                <w:bCs/>
                <w:sz w:val="20"/>
                <w:szCs w:val="20"/>
              </w:rPr>
            </w:pPr>
            <w:r w:rsidRPr="00A0498F">
              <w:rPr>
                <w:rFonts w:cstheme="minorHAnsi"/>
                <w:b/>
                <w:bCs/>
                <w:sz w:val="20"/>
                <w:szCs w:val="20"/>
              </w:rPr>
              <w:t>$42</w:t>
            </w:r>
          </w:p>
        </w:tc>
        <w:tc>
          <w:tcPr>
            <w:tcW w:w="1085" w:type="dxa"/>
            <w:shd w:val="clear" w:color="auto" w:fill="FF9B9B"/>
          </w:tcPr>
          <w:p w14:paraId="78F8A051" w14:textId="0ECC5480" w:rsidR="00A46D6C" w:rsidRPr="00A0498F" w:rsidRDefault="00A46D6C" w:rsidP="00A46D6C">
            <w:pPr>
              <w:jc w:val="center"/>
              <w:rPr>
                <w:rFonts w:cstheme="minorHAnsi"/>
                <w:b/>
                <w:bCs/>
                <w:sz w:val="20"/>
                <w:szCs w:val="20"/>
              </w:rPr>
            </w:pPr>
            <w:r w:rsidRPr="00A0498F">
              <w:rPr>
                <w:rFonts w:cstheme="minorHAnsi"/>
                <w:b/>
                <w:bCs/>
                <w:sz w:val="20"/>
                <w:szCs w:val="20"/>
              </w:rPr>
              <w:t>$75</w:t>
            </w:r>
          </w:p>
        </w:tc>
        <w:tc>
          <w:tcPr>
            <w:tcW w:w="1870" w:type="dxa"/>
            <w:shd w:val="clear" w:color="auto" w:fill="FF9B9B"/>
          </w:tcPr>
          <w:p w14:paraId="752B4559" w14:textId="4CC43E1C" w:rsidR="00A46D6C" w:rsidRPr="00A0498F" w:rsidRDefault="00A46D6C" w:rsidP="00A46D6C">
            <w:pPr>
              <w:jc w:val="center"/>
              <w:rPr>
                <w:rFonts w:cstheme="minorHAnsi"/>
                <w:b/>
                <w:bCs/>
                <w:sz w:val="20"/>
                <w:szCs w:val="20"/>
              </w:rPr>
            </w:pPr>
            <w:r w:rsidRPr="00A0498F">
              <w:rPr>
                <w:rFonts w:cstheme="minorHAnsi"/>
                <w:b/>
                <w:bCs/>
                <w:sz w:val="20"/>
                <w:szCs w:val="20"/>
              </w:rPr>
              <w:t>-44%</w:t>
            </w:r>
          </w:p>
        </w:tc>
      </w:tr>
      <w:tr w:rsidR="00A46D6C" w:rsidRPr="00A0498F" w14:paraId="20DD58C4" w14:textId="77777777" w:rsidTr="000A6044">
        <w:trPr>
          <w:jc w:val="center"/>
        </w:trPr>
        <w:tc>
          <w:tcPr>
            <w:tcW w:w="3865" w:type="dxa"/>
          </w:tcPr>
          <w:p w14:paraId="58EF13B4" w14:textId="79D45386" w:rsidR="00A46D6C" w:rsidRPr="00A0498F" w:rsidRDefault="00A46D6C">
            <w:pPr>
              <w:rPr>
                <w:rFonts w:cstheme="minorHAnsi"/>
                <w:b/>
                <w:bCs/>
                <w:sz w:val="20"/>
                <w:szCs w:val="20"/>
              </w:rPr>
            </w:pPr>
            <w:r w:rsidRPr="00A0498F">
              <w:rPr>
                <w:rFonts w:cstheme="minorHAnsi"/>
                <w:b/>
                <w:bCs/>
                <w:sz w:val="20"/>
                <w:szCs w:val="20"/>
              </w:rPr>
              <w:t>Total</w:t>
            </w:r>
          </w:p>
        </w:tc>
        <w:tc>
          <w:tcPr>
            <w:tcW w:w="1080" w:type="dxa"/>
          </w:tcPr>
          <w:p w14:paraId="66D3B50F" w14:textId="576782EE" w:rsidR="00A46D6C" w:rsidRPr="00A0498F" w:rsidRDefault="00A46D6C" w:rsidP="00A46D6C">
            <w:pPr>
              <w:jc w:val="center"/>
              <w:rPr>
                <w:rFonts w:cstheme="minorHAnsi"/>
                <w:b/>
                <w:bCs/>
                <w:sz w:val="20"/>
                <w:szCs w:val="20"/>
              </w:rPr>
            </w:pPr>
            <w:r w:rsidRPr="00A0498F">
              <w:rPr>
                <w:rFonts w:cstheme="minorHAnsi"/>
                <w:b/>
                <w:bCs/>
                <w:sz w:val="20"/>
                <w:szCs w:val="20"/>
              </w:rPr>
              <w:t>$336</w:t>
            </w:r>
          </w:p>
        </w:tc>
        <w:tc>
          <w:tcPr>
            <w:tcW w:w="1085" w:type="dxa"/>
          </w:tcPr>
          <w:p w14:paraId="62D5E407" w14:textId="755A5654" w:rsidR="00A46D6C" w:rsidRPr="00A0498F" w:rsidRDefault="00A46D6C" w:rsidP="00A46D6C">
            <w:pPr>
              <w:jc w:val="center"/>
              <w:rPr>
                <w:rFonts w:cstheme="minorHAnsi"/>
                <w:b/>
                <w:bCs/>
                <w:sz w:val="20"/>
                <w:szCs w:val="20"/>
              </w:rPr>
            </w:pPr>
            <w:r w:rsidRPr="00A0498F">
              <w:rPr>
                <w:rFonts w:cstheme="minorHAnsi"/>
                <w:b/>
                <w:bCs/>
                <w:sz w:val="20"/>
                <w:szCs w:val="20"/>
              </w:rPr>
              <w:t>$354</w:t>
            </w:r>
          </w:p>
        </w:tc>
        <w:tc>
          <w:tcPr>
            <w:tcW w:w="1870" w:type="dxa"/>
          </w:tcPr>
          <w:p w14:paraId="4299C9BE" w14:textId="3CB3A4BB" w:rsidR="00A46D6C" w:rsidRPr="00A0498F" w:rsidRDefault="00A46D6C" w:rsidP="00A46D6C">
            <w:pPr>
              <w:jc w:val="center"/>
              <w:rPr>
                <w:rFonts w:cstheme="minorHAnsi"/>
                <w:b/>
                <w:bCs/>
                <w:sz w:val="20"/>
                <w:szCs w:val="20"/>
              </w:rPr>
            </w:pPr>
            <w:r w:rsidRPr="00A0498F">
              <w:rPr>
                <w:rFonts w:cstheme="minorHAnsi"/>
                <w:b/>
                <w:bCs/>
                <w:sz w:val="20"/>
                <w:szCs w:val="20"/>
              </w:rPr>
              <w:t>3%</w:t>
            </w:r>
          </w:p>
        </w:tc>
      </w:tr>
    </w:tbl>
    <w:p w14:paraId="4E873A8D" w14:textId="6F3F83C1" w:rsidR="009B5754" w:rsidRPr="00A0498F" w:rsidRDefault="00A46D6C" w:rsidP="00A46D6C">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r w:rsidR="003F309F" w:rsidRPr="00A0498F">
        <w:rPr>
          <w:rFonts w:cstheme="minorHAnsi"/>
          <w:i/>
          <w:iCs/>
          <w:sz w:val="20"/>
          <w:szCs w:val="20"/>
        </w:rPr>
        <w:t xml:space="preserve"> and 2020 Global Philanthropy Tracker</w:t>
      </w:r>
    </w:p>
    <w:p w14:paraId="14DAA10E" w14:textId="674CE795" w:rsidR="00D478EE" w:rsidRPr="00A0498F" w:rsidRDefault="00D478EE" w:rsidP="00A15076">
      <w:pPr>
        <w:rPr>
          <w:rFonts w:cstheme="minorHAnsi"/>
          <w:b/>
          <w:bCs/>
          <w:sz w:val="20"/>
          <w:szCs w:val="20"/>
        </w:rPr>
      </w:pPr>
      <w:r w:rsidRPr="00A0498F">
        <w:rPr>
          <w:rFonts w:cstheme="minorHAnsi"/>
          <w:b/>
          <w:bCs/>
          <w:sz w:val="20"/>
          <w:szCs w:val="20"/>
        </w:rPr>
        <w:lastRenderedPageBreak/>
        <w:t>Cross-border resource flows by country</w:t>
      </w:r>
    </w:p>
    <w:p w14:paraId="01F9B5F0" w14:textId="4323FC67" w:rsidR="004D3E17" w:rsidRPr="00A0498F" w:rsidRDefault="009B5754" w:rsidP="00906CF0">
      <w:pPr>
        <w:rPr>
          <w:rFonts w:cstheme="minorHAnsi"/>
          <w:sz w:val="20"/>
          <w:szCs w:val="20"/>
        </w:rPr>
      </w:pPr>
      <w:r w:rsidRPr="00A0498F">
        <w:rPr>
          <w:rFonts w:cstheme="minorHAnsi"/>
          <w:sz w:val="20"/>
          <w:szCs w:val="20"/>
        </w:rPr>
        <w:t>Figure 2</w:t>
      </w:r>
      <w:r w:rsidR="00E220A9" w:rsidRPr="00A0498F">
        <w:rPr>
          <w:rFonts w:cstheme="minorHAnsi"/>
          <w:sz w:val="20"/>
          <w:szCs w:val="20"/>
        </w:rPr>
        <w:t xml:space="preserve"> displays total cross-border resources by flow for </w:t>
      </w:r>
      <w:proofErr w:type="gramStart"/>
      <w:r w:rsidR="00E220A9" w:rsidRPr="00A0498F">
        <w:rPr>
          <w:rFonts w:cstheme="minorHAnsi"/>
          <w:sz w:val="20"/>
          <w:szCs w:val="20"/>
        </w:rPr>
        <w:t>all of</w:t>
      </w:r>
      <w:proofErr w:type="gramEnd"/>
      <w:r w:rsidR="00E220A9" w:rsidRPr="00A0498F">
        <w:rPr>
          <w:rFonts w:cstheme="minorHAnsi"/>
          <w:sz w:val="20"/>
          <w:szCs w:val="20"/>
        </w:rPr>
        <w:t xml:space="preserve"> the 27 European countries. </w:t>
      </w:r>
      <w:r w:rsidR="00164C3D" w:rsidRPr="00A0498F">
        <w:rPr>
          <w:rFonts w:cstheme="minorHAnsi"/>
          <w:sz w:val="20"/>
          <w:szCs w:val="20"/>
        </w:rPr>
        <w:t>Türkiye</w:t>
      </w:r>
      <w:r w:rsidR="00E220A9" w:rsidRPr="00A0498F">
        <w:rPr>
          <w:rFonts w:cstheme="minorHAnsi"/>
          <w:sz w:val="20"/>
          <w:szCs w:val="20"/>
        </w:rPr>
        <w:t xml:space="preserve">, an upper-middle income country, was </w:t>
      </w:r>
      <w:r w:rsidR="006B4E57" w:rsidRPr="00A0498F">
        <w:rPr>
          <w:rFonts w:cstheme="minorHAnsi"/>
          <w:sz w:val="20"/>
          <w:szCs w:val="20"/>
        </w:rPr>
        <w:t xml:space="preserve">only </w:t>
      </w:r>
      <w:r w:rsidR="00164C3D" w:rsidRPr="00A0498F">
        <w:rPr>
          <w:rFonts w:cstheme="minorHAnsi"/>
          <w:sz w:val="20"/>
          <w:szCs w:val="20"/>
        </w:rPr>
        <w:t>one of two</w:t>
      </w:r>
      <w:r w:rsidR="00E220A9" w:rsidRPr="00A0498F">
        <w:rPr>
          <w:rFonts w:cstheme="minorHAnsi"/>
          <w:sz w:val="20"/>
          <w:szCs w:val="20"/>
        </w:rPr>
        <w:t xml:space="preserve"> non-high-income</w:t>
      </w:r>
      <w:r w:rsidR="00164C3D" w:rsidRPr="00A0498F">
        <w:rPr>
          <w:rFonts w:cstheme="minorHAnsi"/>
          <w:sz w:val="20"/>
          <w:szCs w:val="20"/>
        </w:rPr>
        <w:t xml:space="preserve"> </w:t>
      </w:r>
      <w:r w:rsidR="00E220A9" w:rsidRPr="00A0498F">
        <w:rPr>
          <w:rFonts w:cstheme="minorHAnsi"/>
          <w:sz w:val="20"/>
          <w:szCs w:val="20"/>
        </w:rPr>
        <w:t>countr</w:t>
      </w:r>
      <w:r w:rsidR="00164C3D" w:rsidRPr="00A0498F">
        <w:rPr>
          <w:rFonts w:cstheme="minorHAnsi"/>
          <w:sz w:val="20"/>
          <w:szCs w:val="20"/>
        </w:rPr>
        <w:t>ies</w:t>
      </w:r>
      <w:r w:rsidR="00E220A9" w:rsidRPr="00A0498F">
        <w:rPr>
          <w:rFonts w:cstheme="minorHAnsi"/>
          <w:sz w:val="20"/>
          <w:szCs w:val="20"/>
        </w:rPr>
        <w:t xml:space="preserve"> to rank in the top 20 total resource flows at the global level. Germany</w:t>
      </w:r>
      <w:r w:rsidR="00906CF0" w:rsidRPr="00A0498F">
        <w:rPr>
          <w:rFonts w:cstheme="minorHAnsi"/>
          <w:sz w:val="20"/>
          <w:szCs w:val="20"/>
        </w:rPr>
        <w:t xml:space="preserve"> (USD 82 billion)</w:t>
      </w:r>
      <w:r w:rsidR="00E220A9" w:rsidRPr="00A0498F">
        <w:rPr>
          <w:rFonts w:cstheme="minorHAnsi"/>
          <w:sz w:val="20"/>
          <w:szCs w:val="20"/>
        </w:rPr>
        <w:t xml:space="preserve"> and the United Kingdom</w:t>
      </w:r>
      <w:r w:rsidR="00906CF0" w:rsidRPr="00A0498F">
        <w:rPr>
          <w:rFonts w:cstheme="minorHAnsi"/>
          <w:sz w:val="20"/>
          <w:szCs w:val="20"/>
        </w:rPr>
        <w:t xml:space="preserve"> (USD 57 billion) were </w:t>
      </w:r>
      <w:r w:rsidR="00E220A9" w:rsidRPr="00A0498F">
        <w:rPr>
          <w:rFonts w:cstheme="minorHAnsi"/>
          <w:sz w:val="20"/>
          <w:szCs w:val="20"/>
        </w:rPr>
        <w:t>the top two European countries with the highest total outflow</w:t>
      </w:r>
      <w:r w:rsidR="00906CF0" w:rsidRPr="00A0498F">
        <w:rPr>
          <w:rFonts w:cstheme="minorHAnsi"/>
          <w:sz w:val="20"/>
          <w:szCs w:val="20"/>
        </w:rPr>
        <w:t xml:space="preserve"> followed by France (USD 45 billion), Spain (USD 36 billion), and Italy (USD 25 billion).</w:t>
      </w:r>
    </w:p>
    <w:p w14:paraId="1B57B0DB" w14:textId="29BE3B67" w:rsidR="00F844C3" w:rsidRPr="00A0498F" w:rsidRDefault="00F844C3">
      <w:pPr>
        <w:rPr>
          <w:rFonts w:cstheme="minorHAnsi"/>
          <w:b/>
          <w:bCs/>
          <w:sz w:val="20"/>
          <w:szCs w:val="20"/>
        </w:rPr>
      </w:pPr>
      <w:r w:rsidRPr="00A0498F">
        <w:rPr>
          <w:rFonts w:cstheme="minorHAnsi"/>
          <w:b/>
          <w:bCs/>
          <w:sz w:val="20"/>
          <w:szCs w:val="20"/>
        </w:rPr>
        <w:t>Figure 2: TOTAL CROSS-BORDER RESOURCES BY FLOW AND BY COUNTRY, 2020 (in millions of inflation-adjusted 2020 US dollars)</w:t>
      </w:r>
    </w:p>
    <w:p w14:paraId="6442647B" w14:textId="067164B4" w:rsidR="00D478EE" w:rsidRPr="00A0498F" w:rsidRDefault="00A15076" w:rsidP="00833D89">
      <w:pPr>
        <w:jc w:val="center"/>
        <w:rPr>
          <w:rFonts w:cstheme="minorHAnsi"/>
          <w:sz w:val="20"/>
          <w:szCs w:val="20"/>
        </w:rPr>
      </w:pPr>
      <w:r w:rsidRPr="00A0498F">
        <w:rPr>
          <w:rFonts w:cstheme="minorHAnsi"/>
          <w:noProof/>
          <w:sz w:val="20"/>
          <w:szCs w:val="20"/>
        </w:rPr>
        <w:drawing>
          <wp:inline distT="0" distB="0" distL="0" distR="0" wp14:anchorId="47310A15" wp14:editId="751E4E66">
            <wp:extent cx="5943600" cy="5478780"/>
            <wp:effectExtent l="0" t="0" r="0" b="7620"/>
            <wp:docPr id="351979316" name="Chart 1">
              <a:extLst xmlns:a="http://schemas.openxmlformats.org/drawingml/2006/main">
                <a:ext uri="{FF2B5EF4-FFF2-40B4-BE49-F238E27FC236}">
                  <a16:creationId xmlns:a16="http://schemas.microsoft.com/office/drawing/2014/main" id="{BEE6EB4E-21FD-5D22-0062-C932ECB7305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5859420E" w14:textId="77777777" w:rsidR="00F844C3" w:rsidRPr="00A0498F" w:rsidRDefault="00F844C3" w:rsidP="00F844C3">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26C3ED19" w14:textId="77777777" w:rsidR="00A0498F" w:rsidRDefault="00A0498F" w:rsidP="006B7CC5">
      <w:pPr>
        <w:pStyle w:val="Heading3"/>
        <w:rPr>
          <w:rFonts w:asciiTheme="minorHAnsi" w:hAnsiTheme="minorHAnsi" w:cstheme="minorHAnsi"/>
          <w:sz w:val="20"/>
          <w:szCs w:val="20"/>
        </w:rPr>
      </w:pPr>
    </w:p>
    <w:p w14:paraId="2E275367" w14:textId="6343BEA6" w:rsidR="00D478EE" w:rsidRPr="00A0498F" w:rsidRDefault="00D478EE" w:rsidP="00A0498F">
      <w:pPr>
        <w:pStyle w:val="Heading3"/>
        <w:numPr>
          <w:ilvl w:val="2"/>
          <w:numId w:val="4"/>
        </w:numPr>
        <w:rPr>
          <w:rFonts w:asciiTheme="minorHAnsi" w:hAnsiTheme="minorHAnsi" w:cstheme="minorHAnsi"/>
          <w:i/>
          <w:iCs/>
          <w:sz w:val="20"/>
          <w:szCs w:val="20"/>
        </w:rPr>
      </w:pPr>
      <w:bookmarkStart w:id="6" w:name="_Toc138453600"/>
      <w:r w:rsidRPr="00A0498F">
        <w:rPr>
          <w:rFonts w:asciiTheme="minorHAnsi" w:hAnsiTheme="minorHAnsi" w:cstheme="minorHAnsi"/>
          <w:i/>
          <w:iCs/>
          <w:sz w:val="20"/>
          <w:szCs w:val="20"/>
        </w:rPr>
        <w:t>Cross-Border Philanthrop</w:t>
      </w:r>
      <w:r w:rsidR="00A15076" w:rsidRPr="00A0498F">
        <w:rPr>
          <w:rFonts w:asciiTheme="minorHAnsi" w:hAnsiTheme="minorHAnsi" w:cstheme="minorHAnsi"/>
          <w:i/>
          <w:iCs/>
          <w:sz w:val="20"/>
          <w:szCs w:val="20"/>
        </w:rPr>
        <w:t>ic Outflows</w:t>
      </w:r>
      <w:bookmarkEnd w:id="6"/>
    </w:p>
    <w:p w14:paraId="79C6C70C" w14:textId="406AE8C3" w:rsidR="00F23717" w:rsidRPr="00A0498F" w:rsidRDefault="00881E53" w:rsidP="00881E53">
      <w:pPr>
        <w:rPr>
          <w:rFonts w:cstheme="minorHAnsi"/>
          <w:sz w:val="20"/>
          <w:szCs w:val="20"/>
        </w:rPr>
      </w:pPr>
      <w:r w:rsidRPr="00A0498F">
        <w:rPr>
          <w:rFonts w:cstheme="minorHAnsi"/>
          <w:sz w:val="20"/>
          <w:szCs w:val="20"/>
        </w:rPr>
        <w:t xml:space="preserve">Twenty-seven countries in Europe had available data on the </w:t>
      </w:r>
      <w:proofErr w:type="gramStart"/>
      <w:r w:rsidRPr="00A0498F">
        <w:rPr>
          <w:rFonts w:cstheme="minorHAnsi"/>
          <w:sz w:val="20"/>
          <w:szCs w:val="20"/>
        </w:rPr>
        <w:t>amount</w:t>
      </w:r>
      <w:proofErr w:type="gramEnd"/>
      <w:r w:rsidRPr="00A0498F">
        <w:rPr>
          <w:rFonts w:cstheme="minorHAnsi"/>
          <w:sz w:val="20"/>
          <w:szCs w:val="20"/>
        </w:rPr>
        <w:t xml:space="preserve"> of philanthropic outflows. Among these countries, 78 percent (21 countries) are classified as high-income according to the World Bank, and 22 percent (6 countries) are classified as upper-middle income. Just over half (56%, or 15 countries) are developed markets in the </w:t>
      </w:r>
      <w:r w:rsidR="00A15076" w:rsidRPr="00A0498F">
        <w:rPr>
          <w:rFonts w:cstheme="minorHAnsi"/>
          <w:sz w:val="20"/>
          <w:szCs w:val="20"/>
        </w:rPr>
        <w:t>Morgan Stanley Capital International (</w:t>
      </w:r>
      <w:r w:rsidRPr="00A0498F">
        <w:rPr>
          <w:rFonts w:cstheme="minorHAnsi"/>
          <w:sz w:val="20"/>
          <w:szCs w:val="20"/>
        </w:rPr>
        <w:t>MSCI</w:t>
      </w:r>
      <w:r w:rsidR="00A15076" w:rsidRPr="00A0498F">
        <w:rPr>
          <w:rFonts w:cstheme="minorHAnsi"/>
          <w:sz w:val="20"/>
          <w:szCs w:val="20"/>
        </w:rPr>
        <w:t>)</w:t>
      </w:r>
      <w:r w:rsidRPr="00A0498F">
        <w:rPr>
          <w:rFonts w:cstheme="minorHAnsi"/>
          <w:sz w:val="20"/>
          <w:szCs w:val="20"/>
        </w:rPr>
        <w:t xml:space="preserve"> framework, while the remaining 12 countries are considered emerging, frontier, or without classification.</w:t>
      </w:r>
    </w:p>
    <w:p w14:paraId="575317A0" w14:textId="7DB92920" w:rsidR="004D3E17" w:rsidRPr="00A0498F" w:rsidRDefault="00165AF3" w:rsidP="00881E53">
      <w:pPr>
        <w:rPr>
          <w:rFonts w:cstheme="minorHAnsi"/>
          <w:sz w:val="20"/>
          <w:szCs w:val="20"/>
        </w:rPr>
      </w:pPr>
      <w:r w:rsidRPr="00A0498F">
        <w:rPr>
          <w:rFonts w:cstheme="minorHAnsi"/>
          <w:sz w:val="20"/>
          <w:szCs w:val="20"/>
        </w:rPr>
        <w:t xml:space="preserve">In both absolute terms and as a share of </w:t>
      </w:r>
      <w:r w:rsidR="00A15076" w:rsidRPr="00A0498F">
        <w:rPr>
          <w:rFonts w:cstheme="minorHAnsi"/>
          <w:sz w:val="20"/>
          <w:szCs w:val="20"/>
        </w:rPr>
        <w:t>gross national income (</w:t>
      </w:r>
      <w:r w:rsidRPr="00A0498F">
        <w:rPr>
          <w:rFonts w:cstheme="minorHAnsi"/>
          <w:sz w:val="20"/>
          <w:szCs w:val="20"/>
        </w:rPr>
        <w:t>GNI</w:t>
      </w:r>
      <w:r w:rsidR="00A15076" w:rsidRPr="00A0498F">
        <w:rPr>
          <w:rFonts w:cstheme="minorHAnsi"/>
          <w:sz w:val="20"/>
          <w:szCs w:val="20"/>
        </w:rPr>
        <w:t>)</w:t>
      </w:r>
      <w:r w:rsidRPr="00A0498F">
        <w:rPr>
          <w:rFonts w:cstheme="minorHAnsi"/>
          <w:sz w:val="20"/>
          <w:szCs w:val="20"/>
        </w:rPr>
        <w:t xml:space="preserve">, the United Kingdom contributed the most philanthropic outflows in 2020. Four countries gave more than USD 1 billion in 2020: the United Kingdom (USD 6 billion), Germany (USD 3 billion), and Switzerland and France (about USD 1 billion each). </w:t>
      </w:r>
      <w:r w:rsidR="0080697C" w:rsidRPr="00A0498F">
        <w:rPr>
          <w:rFonts w:cstheme="minorHAnsi"/>
          <w:sz w:val="20"/>
          <w:szCs w:val="20"/>
        </w:rPr>
        <w:t>Ten countries donated between USD 100 million and USD 1 billion; six donated between USD 1 million and USD 100 million; and the remaining seven countries donated less than USD 1 million</w:t>
      </w:r>
      <w:r w:rsidR="00A15076" w:rsidRPr="00A0498F">
        <w:rPr>
          <w:rFonts w:cstheme="minorHAnsi"/>
          <w:sz w:val="20"/>
          <w:szCs w:val="20"/>
        </w:rPr>
        <w:t xml:space="preserve"> (Figure 3)</w:t>
      </w:r>
      <w:r w:rsidR="0080697C" w:rsidRPr="00A0498F">
        <w:rPr>
          <w:rFonts w:cstheme="minorHAnsi"/>
          <w:sz w:val="20"/>
          <w:szCs w:val="20"/>
        </w:rPr>
        <w:t>.</w:t>
      </w:r>
    </w:p>
    <w:p w14:paraId="7BB7AEE5" w14:textId="6E1C8624" w:rsidR="00165AF3" w:rsidRPr="00A0498F" w:rsidRDefault="00A15076" w:rsidP="00881E53">
      <w:pPr>
        <w:rPr>
          <w:rFonts w:cstheme="minorHAnsi"/>
          <w:b/>
          <w:bCs/>
          <w:sz w:val="20"/>
          <w:szCs w:val="20"/>
        </w:rPr>
      </w:pPr>
      <w:r w:rsidRPr="00A0498F">
        <w:rPr>
          <w:rFonts w:cstheme="minorHAnsi"/>
          <w:b/>
          <w:bCs/>
          <w:sz w:val="20"/>
          <w:szCs w:val="20"/>
        </w:rPr>
        <w:t>Figure 3: PHILANTHROPIC OUTFLOWS BY COUNTRY</w:t>
      </w:r>
      <w:r w:rsidR="0080697C" w:rsidRPr="00A0498F">
        <w:rPr>
          <w:rFonts w:cstheme="minorHAnsi"/>
          <w:sz w:val="20"/>
          <w:szCs w:val="20"/>
        </w:rPr>
        <w:t xml:space="preserve"> </w:t>
      </w:r>
      <w:r w:rsidRPr="00A0498F">
        <w:rPr>
          <w:rFonts w:cstheme="minorHAnsi"/>
          <w:b/>
          <w:bCs/>
          <w:sz w:val="20"/>
          <w:szCs w:val="20"/>
        </w:rPr>
        <w:t>(in millions of inflation-adjusted 2020 US dollars)</w:t>
      </w:r>
    </w:p>
    <w:p w14:paraId="668411FF" w14:textId="2D07C3FE" w:rsidR="00D478EE" w:rsidRPr="00A0498F" w:rsidRDefault="00F23717" w:rsidP="00DB1330">
      <w:pPr>
        <w:jc w:val="center"/>
        <w:rPr>
          <w:rFonts w:cstheme="minorHAnsi"/>
          <w:sz w:val="20"/>
          <w:szCs w:val="20"/>
        </w:rPr>
      </w:pPr>
      <w:r w:rsidRPr="00A0498F">
        <w:rPr>
          <w:rFonts w:cstheme="minorHAnsi"/>
          <w:noProof/>
          <w:sz w:val="20"/>
          <w:szCs w:val="20"/>
        </w:rPr>
        <w:drawing>
          <wp:inline distT="0" distB="0" distL="0" distR="0" wp14:anchorId="1DF6C4DC" wp14:editId="4EF055F4">
            <wp:extent cx="5238750" cy="4792980"/>
            <wp:effectExtent l="0" t="0" r="0" b="7620"/>
            <wp:docPr id="339956151" name="Chart 1">
              <a:extLst xmlns:a="http://schemas.openxmlformats.org/drawingml/2006/main">
                <a:ext uri="{FF2B5EF4-FFF2-40B4-BE49-F238E27FC236}">
                  <a16:creationId xmlns:a16="http://schemas.microsoft.com/office/drawing/2014/main" id="{208BA712-1B0A-FCAF-20AF-BF0E0069B98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45C0E4C8" w14:textId="77777777" w:rsidR="00F23717" w:rsidRPr="00A0498F" w:rsidRDefault="00F23717" w:rsidP="00F23717">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0BCC8912" w14:textId="77777777" w:rsidR="00A15076" w:rsidRPr="00A0498F" w:rsidRDefault="00A15076" w:rsidP="00997C26">
      <w:pPr>
        <w:rPr>
          <w:rFonts w:cstheme="minorHAnsi"/>
          <w:sz w:val="20"/>
          <w:szCs w:val="20"/>
        </w:rPr>
      </w:pPr>
    </w:p>
    <w:p w14:paraId="30A9688C" w14:textId="0532499B" w:rsidR="004D3E17" w:rsidRPr="00A0498F" w:rsidRDefault="00997C26" w:rsidP="00F23717">
      <w:pPr>
        <w:rPr>
          <w:rFonts w:cstheme="minorHAnsi"/>
          <w:sz w:val="20"/>
          <w:szCs w:val="20"/>
        </w:rPr>
      </w:pPr>
      <w:r w:rsidRPr="00A0498F">
        <w:rPr>
          <w:rFonts w:cstheme="minorHAnsi"/>
          <w:sz w:val="20"/>
          <w:szCs w:val="20"/>
        </w:rPr>
        <w:lastRenderedPageBreak/>
        <w:t xml:space="preserve">Among the European countries, </w:t>
      </w:r>
      <w:r w:rsidR="006B4E57" w:rsidRPr="00A0498F">
        <w:rPr>
          <w:rFonts w:cstheme="minorHAnsi"/>
          <w:sz w:val="20"/>
          <w:szCs w:val="20"/>
        </w:rPr>
        <w:t xml:space="preserve">only </w:t>
      </w:r>
      <w:r w:rsidRPr="00A0498F">
        <w:rPr>
          <w:rFonts w:cstheme="minorHAnsi"/>
          <w:sz w:val="20"/>
          <w:szCs w:val="20"/>
        </w:rPr>
        <w:t>the United Kingdom donated more than 0.20 percent of GNI abroad. In the Netherlands, Denmark, and Switzerland, philanthropic outflows represented more than 0.10 percent of GNI. In eight countries, philanthropic outflows as a share of GNI were very small</w:t>
      </w:r>
      <w:proofErr w:type="gramStart"/>
      <w:r w:rsidR="006B4E57" w:rsidRPr="00A0498F">
        <w:rPr>
          <w:rFonts w:cstheme="minorHAnsi"/>
          <w:sz w:val="20"/>
          <w:szCs w:val="20"/>
        </w:rPr>
        <w:t>,</w:t>
      </w:r>
      <w:r w:rsidRPr="00A0498F">
        <w:rPr>
          <w:rFonts w:cstheme="minorHAnsi"/>
          <w:sz w:val="20"/>
          <w:szCs w:val="20"/>
        </w:rPr>
        <w:t xml:space="preserve"> at</w:t>
      </w:r>
      <w:proofErr w:type="gramEnd"/>
      <w:r w:rsidRPr="00A0498F">
        <w:rPr>
          <w:rFonts w:cstheme="minorHAnsi"/>
          <w:sz w:val="20"/>
          <w:szCs w:val="20"/>
        </w:rPr>
        <w:t xml:space="preserve"> well below 0.01 percent</w:t>
      </w:r>
      <w:r w:rsidR="00F23717" w:rsidRPr="00A0498F">
        <w:rPr>
          <w:rFonts w:cstheme="minorHAnsi"/>
          <w:sz w:val="20"/>
          <w:szCs w:val="20"/>
        </w:rPr>
        <w:t xml:space="preserve"> (Figure 4)</w:t>
      </w:r>
      <w:r w:rsidRPr="00A0498F">
        <w:rPr>
          <w:rFonts w:cstheme="minorHAnsi"/>
          <w:sz w:val="20"/>
          <w:szCs w:val="20"/>
        </w:rPr>
        <w:t>.</w:t>
      </w:r>
    </w:p>
    <w:p w14:paraId="63A4AB22" w14:textId="12A720FE" w:rsidR="00F23717" w:rsidRPr="00A0498F" w:rsidRDefault="00F23717" w:rsidP="00F23717">
      <w:pPr>
        <w:rPr>
          <w:rFonts w:cstheme="minorHAnsi"/>
          <w:b/>
          <w:bCs/>
          <w:sz w:val="20"/>
          <w:szCs w:val="20"/>
        </w:rPr>
      </w:pPr>
      <w:r w:rsidRPr="00A0498F">
        <w:rPr>
          <w:rFonts w:cstheme="minorHAnsi"/>
          <w:b/>
          <w:bCs/>
          <w:sz w:val="20"/>
          <w:szCs w:val="20"/>
        </w:rPr>
        <w:t>Figure 4: PHILANTHROPIC OUTFLOWS BY COUNTRY</w:t>
      </w:r>
      <w:r w:rsidRPr="00A0498F">
        <w:rPr>
          <w:rFonts w:cstheme="minorHAnsi"/>
          <w:sz w:val="20"/>
          <w:szCs w:val="20"/>
        </w:rPr>
        <w:t xml:space="preserve"> </w:t>
      </w:r>
      <w:r w:rsidRPr="00A0498F">
        <w:rPr>
          <w:rFonts w:cstheme="minorHAnsi"/>
          <w:b/>
          <w:bCs/>
          <w:sz w:val="20"/>
          <w:szCs w:val="20"/>
        </w:rPr>
        <w:t>(as a share of gross national income)</w:t>
      </w:r>
    </w:p>
    <w:p w14:paraId="4FFB4C27" w14:textId="03C37AAA" w:rsidR="00165AF3" w:rsidRPr="00A0498F" w:rsidRDefault="00F23717" w:rsidP="00F23717">
      <w:pPr>
        <w:jc w:val="center"/>
        <w:rPr>
          <w:rFonts w:cstheme="minorHAnsi"/>
          <w:sz w:val="20"/>
          <w:szCs w:val="20"/>
        </w:rPr>
      </w:pPr>
      <w:r w:rsidRPr="00A0498F">
        <w:rPr>
          <w:rFonts w:cstheme="minorHAnsi"/>
          <w:noProof/>
          <w:sz w:val="20"/>
          <w:szCs w:val="20"/>
        </w:rPr>
        <w:drawing>
          <wp:inline distT="0" distB="0" distL="0" distR="0" wp14:anchorId="6D371A03" wp14:editId="2D285CE4">
            <wp:extent cx="5589270" cy="5433060"/>
            <wp:effectExtent l="0" t="0" r="0" b="0"/>
            <wp:docPr id="277105784" name="Chart 1">
              <a:extLst xmlns:a="http://schemas.openxmlformats.org/drawingml/2006/main">
                <a:ext uri="{FF2B5EF4-FFF2-40B4-BE49-F238E27FC236}">
                  <a16:creationId xmlns:a16="http://schemas.microsoft.com/office/drawing/2014/main" id="{46B1E887-2186-4A40-BB0C-F3F3282799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31A00532" w14:textId="7CE6E296" w:rsidR="00F23717" w:rsidRPr="00A0498F" w:rsidRDefault="00F23717" w:rsidP="00F23717">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20468F71" w14:textId="77777777" w:rsidR="00F23717" w:rsidRPr="00A0498F" w:rsidRDefault="00F23717" w:rsidP="00F23717">
      <w:pPr>
        <w:rPr>
          <w:rFonts w:cstheme="minorHAnsi"/>
          <w:sz w:val="20"/>
          <w:szCs w:val="20"/>
        </w:rPr>
      </w:pPr>
    </w:p>
    <w:p w14:paraId="4DF9AC9B" w14:textId="77777777" w:rsidR="00F23717" w:rsidRPr="00A0498F" w:rsidRDefault="00F23717" w:rsidP="00F23717">
      <w:pPr>
        <w:rPr>
          <w:rFonts w:cstheme="minorHAnsi"/>
          <w:sz w:val="20"/>
          <w:szCs w:val="20"/>
        </w:rPr>
      </w:pPr>
      <w:r w:rsidRPr="00A0498F">
        <w:rPr>
          <w:rFonts w:cstheme="minorHAnsi"/>
          <w:sz w:val="20"/>
          <w:szCs w:val="20"/>
        </w:rPr>
        <w:t xml:space="preserve">Eleven European countries experienced a decrease in the </w:t>
      </w:r>
      <w:proofErr w:type="gramStart"/>
      <w:r w:rsidRPr="00A0498F">
        <w:rPr>
          <w:rFonts w:cstheme="minorHAnsi"/>
          <w:sz w:val="20"/>
          <w:szCs w:val="20"/>
        </w:rPr>
        <w:t>amount</w:t>
      </w:r>
      <w:proofErr w:type="gramEnd"/>
      <w:r w:rsidRPr="00A0498F">
        <w:rPr>
          <w:rFonts w:cstheme="minorHAnsi"/>
          <w:sz w:val="20"/>
          <w:szCs w:val="20"/>
        </w:rPr>
        <w:t xml:space="preserve"> of philanthropic outflows between 2018 and 2020. The largest decline was Türkiye (a decrease of USD 345 million), followed by the Netherlands (USD 105 million) and Finland (USD 68 million).</w:t>
      </w:r>
    </w:p>
    <w:p w14:paraId="4FCA55B3" w14:textId="77777777" w:rsidR="00F23717" w:rsidRPr="00A0498F" w:rsidRDefault="00F23717" w:rsidP="00F23717">
      <w:pPr>
        <w:rPr>
          <w:rFonts w:cstheme="minorHAnsi"/>
          <w:sz w:val="20"/>
          <w:szCs w:val="20"/>
        </w:rPr>
      </w:pPr>
    </w:p>
    <w:p w14:paraId="0441BE42" w14:textId="5560DC88" w:rsidR="0080697C" w:rsidRPr="00A0498F" w:rsidRDefault="000069B9" w:rsidP="00A0498F">
      <w:pPr>
        <w:pStyle w:val="Heading3"/>
        <w:numPr>
          <w:ilvl w:val="2"/>
          <w:numId w:val="4"/>
        </w:numPr>
        <w:rPr>
          <w:rFonts w:asciiTheme="minorHAnsi" w:hAnsiTheme="minorHAnsi" w:cstheme="minorHAnsi"/>
          <w:i/>
          <w:iCs/>
          <w:sz w:val="20"/>
          <w:szCs w:val="20"/>
        </w:rPr>
      </w:pPr>
      <w:bookmarkStart w:id="7" w:name="_Toc138453601"/>
      <w:r w:rsidRPr="00A0498F">
        <w:rPr>
          <w:rFonts w:asciiTheme="minorHAnsi" w:hAnsiTheme="minorHAnsi" w:cstheme="minorHAnsi"/>
          <w:i/>
          <w:iCs/>
          <w:sz w:val="20"/>
          <w:szCs w:val="20"/>
        </w:rPr>
        <w:lastRenderedPageBreak/>
        <w:t>Official Development Assistance</w:t>
      </w:r>
      <w:bookmarkEnd w:id="7"/>
    </w:p>
    <w:p w14:paraId="2117EC0F" w14:textId="753E7148" w:rsidR="00372908" w:rsidRPr="00A0498F" w:rsidRDefault="00372908">
      <w:pPr>
        <w:rPr>
          <w:rFonts w:cstheme="minorHAnsi"/>
          <w:sz w:val="20"/>
          <w:szCs w:val="20"/>
        </w:rPr>
      </w:pPr>
      <w:r w:rsidRPr="00A0498F">
        <w:rPr>
          <w:rFonts w:cstheme="minorHAnsi"/>
          <w:sz w:val="20"/>
          <w:szCs w:val="20"/>
        </w:rPr>
        <w:t xml:space="preserve">Twenty-two of the European countries included in this </w:t>
      </w:r>
      <w:r w:rsidR="00F23717" w:rsidRPr="00A0498F">
        <w:rPr>
          <w:rFonts w:cstheme="minorHAnsi"/>
          <w:sz w:val="20"/>
          <w:szCs w:val="20"/>
        </w:rPr>
        <w:t>paper</w:t>
      </w:r>
      <w:r w:rsidRPr="00A0498F">
        <w:rPr>
          <w:rFonts w:cstheme="minorHAnsi"/>
          <w:sz w:val="20"/>
          <w:szCs w:val="20"/>
        </w:rPr>
        <w:t xml:space="preserve"> had available data on ODA from the </w:t>
      </w:r>
      <w:r w:rsidR="009A7048" w:rsidRPr="00A0498F">
        <w:rPr>
          <w:rFonts w:cstheme="minorHAnsi"/>
          <w:sz w:val="20"/>
          <w:szCs w:val="20"/>
        </w:rPr>
        <w:t>Organisation for Economic Co-operation and Development</w:t>
      </w:r>
      <w:r w:rsidRPr="00A0498F">
        <w:rPr>
          <w:rFonts w:cstheme="minorHAnsi"/>
          <w:sz w:val="20"/>
          <w:szCs w:val="20"/>
        </w:rPr>
        <w:t>. In 2020, ODA flows reached a total of USD 107 billion. This is a 5 percent increase from the total of USD 102 billion in 2018, s</w:t>
      </w:r>
      <w:r w:rsidR="00DB1330" w:rsidRPr="00A0498F">
        <w:rPr>
          <w:rFonts w:cstheme="minorHAnsi"/>
          <w:sz w:val="20"/>
          <w:szCs w:val="20"/>
        </w:rPr>
        <w:t xml:space="preserve">uggesting </w:t>
      </w:r>
      <w:r w:rsidRPr="00A0498F">
        <w:rPr>
          <w:rFonts w:cstheme="minorHAnsi"/>
          <w:sz w:val="20"/>
          <w:szCs w:val="20"/>
        </w:rPr>
        <w:t xml:space="preserve">that European governments maintained their foreign assistance despite the negative economic impacts of the COVID-19 pandemic. </w:t>
      </w:r>
    </w:p>
    <w:p w14:paraId="43CFB6DD" w14:textId="143AD479" w:rsidR="004D3E17" w:rsidRPr="00A0498F" w:rsidRDefault="00372908">
      <w:pPr>
        <w:rPr>
          <w:rFonts w:cstheme="minorHAnsi"/>
          <w:sz w:val="20"/>
          <w:szCs w:val="20"/>
        </w:rPr>
      </w:pPr>
      <w:r w:rsidRPr="00A0498F">
        <w:rPr>
          <w:rFonts w:cstheme="minorHAnsi"/>
          <w:sz w:val="20"/>
          <w:szCs w:val="20"/>
        </w:rPr>
        <w:t>The highest contributor of ODA in 2020 was Germany at USD 29 billion, followed by the United Kingdom (19 billion) and France (14 billion). Just over half (14) of the European countries contributed more than USD 1 billion in ODA. Among the remaining 13 countries, 12 contributed between USD 100 million and USD 1 billion, while only one country contributed less than USD 100 million</w:t>
      </w:r>
      <w:r w:rsidR="00F23717" w:rsidRPr="00A0498F">
        <w:rPr>
          <w:rFonts w:cstheme="minorHAnsi"/>
          <w:sz w:val="20"/>
          <w:szCs w:val="20"/>
        </w:rPr>
        <w:t xml:space="preserve"> (Figure 5)</w:t>
      </w:r>
      <w:r w:rsidRPr="00A0498F">
        <w:rPr>
          <w:rFonts w:cstheme="minorHAnsi"/>
          <w:sz w:val="20"/>
          <w:szCs w:val="20"/>
        </w:rPr>
        <w:t>.</w:t>
      </w:r>
    </w:p>
    <w:p w14:paraId="62C4D1BA" w14:textId="4199C963" w:rsidR="00F23717" w:rsidRPr="00A0498F" w:rsidRDefault="00F23717">
      <w:pPr>
        <w:rPr>
          <w:rFonts w:cstheme="minorHAnsi"/>
          <w:b/>
          <w:bCs/>
          <w:sz w:val="20"/>
          <w:szCs w:val="20"/>
        </w:rPr>
      </w:pPr>
      <w:r w:rsidRPr="00A0498F">
        <w:rPr>
          <w:rFonts w:cstheme="minorHAnsi"/>
          <w:b/>
          <w:bCs/>
          <w:sz w:val="20"/>
          <w:szCs w:val="20"/>
        </w:rPr>
        <w:t>Figure 5: OFFICIAL DEVELOPMENT ASSISTANCE BY COUNTRY</w:t>
      </w:r>
      <w:r w:rsidRPr="00A0498F">
        <w:rPr>
          <w:rFonts w:cstheme="minorHAnsi"/>
          <w:sz w:val="20"/>
          <w:szCs w:val="20"/>
        </w:rPr>
        <w:t xml:space="preserve"> </w:t>
      </w:r>
      <w:r w:rsidRPr="00A0498F">
        <w:rPr>
          <w:rFonts w:cstheme="minorHAnsi"/>
          <w:b/>
          <w:bCs/>
          <w:sz w:val="20"/>
          <w:szCs w:val="20"/>
        </w:rPr>
        <w:t>(in millions of inflation-adjusted 2020 US dollars)</w:t>
      </w:r>
    </w:p>
    <w:p w14:paraId="3B53795B" w14:textId="6288DBF2" w:rsidR="000069B9" w:rsidRPr="00A0498F" w:rsidRDefault="000069B9" w:rsidP="00DB1330">
      <w:pPr>
        <w:jc w:val="center"/>
        <w:rPr>
          <w:rFonts w:cstheme="minorHAnsi"/>
          <w:sz w:val="20"/>
          <w:szCs w:val="20"/>
        </w:rPr>
      </w:pPr>
      <w:r w:rsidRPr="00A0498F">
        <w:rPr>
          <w:rFonts w:cstheme="minorHAnsi"/>
          <w:noProof/>
          <w:sz w:val="20"/>
          <w:szCs w:val="20"/>
        </w:rPr>
        <w:drawing>
          <wp:inline distT="0" distB="0" distL="0" distR="0" wp14:anchorId="376AB765" wp14:editId="0D706BA6">
            <wp:extent cx="5048250" cy="4663440"/>
            <wp:effectExtent l="0" t="0" r="0" b="3810"/>
            <wp:docPr id="1806387701" name="Chart 1">
              <a:extLst xmlns:a="http://schemas.openxmlformats.org/drawingml/2006/main">
                <a:ext uri="{FF2B5EF4-FFF2-40B4-BE49-F238E27FC236}">
                  <a16:creationId xmlns:a16="http://schemas.microsoft.com/office/drawing/2014/main" id="{A071D5BF-4117-20A2-781C-9AA0484BBE7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486447E" w14:textId="77777777" w:rsidR="004D3E17" w:rsidRPr="00A0498F" w:rsidRDefault="004D3E17" w:rsidP="004D3E17">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3A99EE67" w14:textId="77777777" w:rsidR="00997C26" w:rsidRPr="00A0498F" w:rsidRDefault="00997C26" w:rsidP="00997C26">
      <w:pPr>
        <w:rPr>
          <w:rFonts w:cstheme="minorHAnsi"/>
          <w:sz w:val="20"/>
          <w:szCs w:val="20"/>
        </w:rPr>
      </w:pPr>
    </w:p>
    <w:p w14:paraId="27F01D1E" w14:textId="778CDD46" w:rsidR="004D3E17" w:rsidRPr="00A0498F" w:rsidRDefault="00997C26" w:rsidP="00997C26">
      <w:pPr>
        <w:rPr>
          <w:rFonts w:cstheme="minorHAnsi"/>
          <w:sz w:val="20"/>
          <w:szCs w:val="20"/>
        </w:rPr>
      </w:pPr>
      <w:r w:rsidRPr="00A0498F">
        <w:rPr>
          <w:rFonts w:cstheme="minorHAnsi"/>
          <w:sz w:val="20"/>
          <w:szCs w:val="20"/>
        </w:rPr>
        <w:t xml:space="preserve">As a share of GNI, the top three largest contributors—Türkiye, Sweden, and Norway—remained the same compared to 2018. Among the top 10 countries with the highest ODA outflows in 2020, </w:t>
      </w:r>
      <w:r w:rsidR="00F23717" w:rsidRPr="00A0498F">
        <w:rPr>
          <w:rFonts w:cstheme="minorHAnsi"/>
          <w:sz w:val="20"/>
          <w:szCs w:val="20"/>
        </w:rPr>
        <w:t xml:space="preserve">eight </w:t>
      </w:r>
      <w:r w:rsidRPr="00A0498F">
        <w:rPr>
          <w:rFonts w:cstheme="minorHAnsi"/>
          <w:sz w:val="20"/>
          <w:szCs w:val="20"/>
        </w:rPr>
        <w:t xml:space="preserve">remained in the top 10 when considering ODA as a share of GNI. Only seven countries at the global level reached the </w:t>
      </w:r>
      <w:r w:rsidR="009A7048" w:rsidRPr="00A0498F">
        <w:rPr>
          <w:rFonts w:cstheme="minorHAnsi"/>
          <w:sz w:val="20"/>
          <w:szCs w:val="20"/>
        </w:rPr>
        <w:t xml:space="preserve">Organisation for </w:t>
      </w:r>
      <w:r w:rsidR="009A7048" w:rsidRPr="00A0498F">
        <w:rPr>
          <w:rFonts w:cstheme="minorHAnsi"/>
          <w:sz w:val="20"/>
          <w:szCs w:val="20"/>
        </w:rPr>
        <w:lastRenderedPageBreak/>
        <w:t>Economic Co-operation and Development</w:t>
      </w:r>
      <w:r w:rsidRPr="00A0498F">
        <w:rPr>
          <w:rFonts w:cstheme="minorHAnsi"/>
          <w:sz w:val="20"/>
          <w:szCs w:val="20"/>
        </w:rPr>
        <w:t>'s target of 0.70 percent for ODA as a share of GNI</w:t>
      </w:r>
      <w:r w:rsidR="009A7048" w:rsidRPr="00A0498F">
        <w:rPr>
          <w:rStyle w:val="FootnoteReference"/>
          <w:rFonts w:cstheme="minorHAnsi"/>
          <w:sz w:val="20"/>
          <w:szCs w:val="20"/>
        </w:rPr>
        <w:footnoteReference w:id="4"/>
      </w:r>
      <w:r w:rsidRPr="00A0498F">
        <w:rPr>
          <w:rFonts w:cstheme="minorHAnsi"/>
          <w:sz w:val="20"/>
          <w:szCs w:val="20"/>
        </w:rPr>
        <w:t>, and all were European. Türkiye, the top contributor as a share of GNI within Europe and globally, was the only non-high-income country to surpass the 0.70 target. The seven countries to exceed the 0.70 percent target contributed a combined USD 70 billion in ODA in 2020</w:t>
      </w:r>
      <w:r w:rsidR="004D3E17" w:rsidRPr="00A0498F">
        <w:rPr>
          <w:rFonts w:cstheme="minorHAnsi"/>
          <w:sz w:val="20"/>
          <w:szCs w:val="20"/>
        </w:rPr>
        <w:t xml:space="preserve"> (Figure 6)</w:t>
      </w:r>
      <w:r w:rsidRPr="00A0498F">
        <w:rPr>
          <w:rFonts w:cstheme="minorHAnsi"/>
          <w:sz w:val="20"/>
          <w:szCs w:val="20"/>
        </w:rPr>
        <w:t>.</w:t>
      </w:r>
    </w:p>
    <w:p w14:paraId="28861403" w14:textId="01976451" w:rsidR="004D3E17" w:rsidRPr="00A0498F" w:rsidRDefault="004D3E17" w:rsidP="00997C26">
      <w:pPr>
        <w:rPr>
          <w:rFonts w:cstheme="minorHAnsi"/>
          <w:b/>
          <w:bCs/>
          <w:sz w:val="20"/>
          <w:szCs w:val="20"/>
        </w:rPr>
      </w:pPr>
      <w:r w:rsidRPr="00A0498F">
        <w:rPr>
          <w:rFonts w:cstheme="minorHAnsi"/>
          <w:b/>
          <w:bCs/>
          <w:sz w:val="20"/>
          <w:szCs w:val="20"/>
        </w:rPr>
        <w:t>Figure 6: OFFICIAL DEVELOPMENT ASSISTANCE BY COUNTRY</w:t>
      </w:r>
      <w:r w:rsidRPr="00A0498F">
        <w:rPr>
          <w:rFonts w:cstheme="minorHAnsi"/>
          <w:sz w:val="20"/>
          <w:szCs w:val="20"/>
        </w:rPr>
        <w:t xml:space="preserve"> </w:t>
      </w:r>
      <w:r w:rsidRPr="00A0498F">
        <w:rPr>
          <w:rFonts w:cstheme="minorHAnsi"/>
          <w:b/>
          <w:bCs/>
          <w:sz w:val="20"/>
          <w:szCs w:val="20"/>
        </w:rPr>
        <w:t>(as a share of gross national income)</w:t>
      </w:r>
    </w:p>
    <w:p w14:paraId="6FEF20CE" w14:textId="58485328" w:rsidR="000069B9" w:rsidRPr="00A0498F" w:rsidRDefault="000069B9" w:rsidP="00DB1330">
      <w:pPr>
        <w:jc w:val="center"/>
        <w:rPr>
          <w:rFonts w:cstheme="minorHAnsi"/>
          <w:sz w:val="20"/>
          <w:szCs w:val="20"/>
        </w:rPr>
      </w:pPr>
      <w:r w:rsidRPr="00A0498F">
        <w:rPr>
          <w:rFonts w:cstheme="minorHAnsi"/>
          <w:noProof/>
          <w:sz w:val="20"/>
          <w:szCs w:val="20"/>
        </w:rPr>
        <w:drawing>
          <wp:inline distT="0" distB="0" distL="0" distR="0" wp14:anchorId="5103242A" wp14:editId="58D9D407">
            <wp:extent cx="4968875" cy="5303520"/>
            <wp:effectExtent l="0" t="0" r="3175" b="0"/>
            <wp:docPr id="1634379725" name="Chart 1">
              <a:extLst xmlns:a="http://schemas.openxmlformats.org/drawingml/2006/main">
                <a:ext uri="{FF2B5EF4-FFF2-40B4-BE49-F238E27FC236}">
                  <a16:creationId xmlns:a16="http://schemas.microsoft.com/office/drawing/2014/main" id="{21A6DBB7-E898-947A-1324-0BB4196EA19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381F06ED" w14:textId="77777777" w:rsidR="004D3E17" w:rsidRPr="00A0498F" w:rsidRDefault="004D3E17" w:rsidP="004D3E17">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4C1753E3" w14:textId="77777777" w:rsidR="00A0498F" w:rsidRDefault="00A0498F">
      <w:pPr>
        <w:rPr>
          <w:rFonts w:eastAsiaTheme="majorEastAsia" w:cstheme="minorHAnsi"/>
          <w:i/>
          <w:iCs/>
          <w:color w:val="1F3763" w:themeColor="accent1" w:themeShade="7F"/>
          <w:sz w:val="20"/>
          <w:szCs w:val="20"/>
        </w:rPr>
      </w:pPr>
      <w:r>
        <w:rPr>
          <w:rFonts w:cstheme="minorHAnsi"/>
          <w:i/>
          <w:iCs/>
          <w:sz w:val="20"/>
          <w:szCs w:val="20"/>
        </w:rPr>
        <w:br w:type="page"/>
      </w:r>
    </w:p>
    <w:p w14:paraId="43BBB88E" w14:textId="2B288231" w:rsidR="00A4031D" w:rsidRPr="00A0498F" w:rsidRDefault="00A4031D" w:rsidP="00A0498F">
      <w:pPr>
        <w:pStyle w:val="Heading3"/>
        <w:numPr>
          <w:ilvl w:val="2"/>
          <w:numId w:val="4"/>
        </w:numPr>
        <w:rPr>
          <w:rFonts w:asciiTheme="minorHAnsi" w:hAnsiTheme="minorHAnsi" w:cstheme="minorHAnsi"/>
          <w:i/>
          <w:iCs/>
          <w:sz w:val="20"/>
          <w:szCs w:val="20"/>
        </w:rPr>
      </w:pPr>
      <w:bookmarkStart w:id="8" w:name="_Toc138453602"/>
      <w:r w:rsidRPr="00A0498F">
        <w:rPr>
          <w:rFonts w:asciiTheme="minorHAnsi" w:hAnsiTheme="minorHAnsi" w:cstheme="minorHAnsi"/>
          <w:i/>
          <w:iCs/>
          <w:sz w:val="20"/>
          <w:szCs w:val="20"/>
        </w:rPr>
        <w:lastRenderedPageBreak/>
        <w:t>Remittances</w:t>
      </w:r>
      <w:bookmarkEnd w:id="8"/>
    </w:p>
    <w:p w14:paraId="6040DE99" w14:textId="6AF01CF8" w:rsidR="00997C26" w:rsidRPr="00A0498F" w:rsidRDefault="00997C26">
      <w:pPr>
        <w:rPr>
          <w:rFonts w:cstheme="minorHAnsi"/>
          <w:sz w:val="20"/>
          <w:szCs w:val="20"/>
        </w:rPr>
      </w:pPr>
      <w:r w:rsidRPr="00A0498F">
        <w:rPr>
          <w:rFonts w:cstheme="minorHAnsi"/>
          <w:sz w:val="20"/>
          <w:szCs w:val="20"/>
        </w:rPr>
        <w:t xml:space="preserve">Unlike the other resource flows, remittances are counter-cyclical in nature. Economic or social crises tend to encourage migrants to send more remittances to family and friends in their home countries, making it a stable financial flow (Frankel, 2020). </w:t>
      </w:r>
      <w:r w:rsidR="00974B0B" w:rsidRPr="00A0498F">
        <w:rPr>
          <w:rFonts w:cstheme="minorHAnsi"/>
          <w:sz w:val="20"/>
          <w:szCs w:val="20"/>
        </w:rPr>
        <w:t>Remittances can be used for basic costs of living, including food, health care, and housing, as well as to maintain access to clean water and electricity. In the context of the COVID-19 pandemic, and due to government stimulus packages and the emergence of new formal channels for sending remittances, remittances proved resilient in 2020.</w:t>
      </w:r>
    </w:p>
    <w:p w14:paraId="68C2FA79" w14:textId="08D68424" w:rsidR="004D3E17" w:rsidRPr="00A0498F" w:rsidRDefault="0026765E">
      <w:pPr>
        <w:rPr>
          <w:rFonts w:cstheme="minorHAnsi"/>
          <w:sz w:val="20"/>
          <w:szCs w:val="20"/>
        </w:rPr>
      </w:pPr>
      <w:r w:rsidRPr="00A0498F">
        <w:rPr>
          <w:rFonts w:cstheme="minorHAnsi"/>
          <w:sz w:val="20"/>
          <w:szCs w:val="20"/>
        </w:rPr>
        <w:t xml:space="preserve">Because of these characteristics, remittances from European countries did not suffer the same impacts of the economic recession in 2020, rising from USD 161 billion in 2018 to USD 201 billion in 2020, a 44 percent increase. </w:t>
      </w:r>
      <w:r w:rsidR="00EB3458" w:rsidRPr="00A0498F">
        <w:rPr>
          <w:rFonts w:cstheme="minorHAnsi"/>
          <w:sz w:val="20"/>
          <w:szCs w:val="20"/>
        </w:rPr>
        <w:t>The top contributor of remittances in absolute terms was Germany (</w:t>
      </w:r>
      <w:r w:rsidR="00DB1330" w:rsidRPr="00A0498F">
        <w:rPr>
          <w:rFonts w:cstheme="minorHAnsi"/>
          <w:sz w:val="20"/>
          <w:szCs w:val="20"/>
        </w:rPr>
        <w:t xml:space="preserve">USD </w:t>
      </w:r>
      <w:r w:rsidR="00EB3458" w:rsidRPr="00A0498F">
        <w:rPr>
          <w:rFonts w:cstheme="minorHAnsi"/>
          <w:sz w:val="20"/>
          <w:szCs w:val="20"/>
        </w:rPr>
        <w:t>36 billion), followed by the United Kingdom (</w:t>
      </w:r>
      <w:r w:rsidR="00DB1330" w:rsidRPr="00A0498F">
        <w:rPr>
          <w:rFonts w:cstheme="minorHAnsi"/>
          <w:sz w:val="20"/>
          <w:szCs w:val="20"/>
        </w:rPr>
        <w:t xml:space="preserve">USD </w:t>
      </w:r>
      <w:r w:rsidR="00EB3458" w:rsidRPr="00A0498F">
        <w:rPr>
          <w:rFonts w:cstheme="minorHAnsi"/>
          <w:sz w:val="20"/>
          <w:szCs w:val="20"/>
        </w:rPr>
        <w:t>32 billion) and France (</w:t>
      </w:r>
      <w:r w:rsidR="00DB1330" w:rsidRPr="00A0498F">
        <w:rPr>
          <w:rFonts w:cstheme="minorHAnsi"/>
          <w:sz w:val="20"/>
          <w:szCs w:val="20"/>
        </w:rPr>
        <w:t xml:space="preserve">USD </w:t>
      </w:r>
      <w:r w:rsidR="00EB3458" w:rsidRPr="00A0498F">
        <w:rPr>
          <w:rFonts w:cstheme="minorHAnsi"/>
          <w:sz w:val="20"/>
          <w:szCs w:val="20"/>
        </w:rPr>
        <w:t>25 billion). Six of the 27 European countries contributed more than USD 10 billion in remittances; sixteen contributed between USD 1 billion and USD 10 billion; and the remaining five countries contributed less than USD 1 billion</w:t>
      </w:r>
      <w:r w:rsidR="004D3E17" w:rsidRPr="00A0498F">
        <w:rPr>
          <w:rFonts w:cstheme="minorHAnsi"/>
          <w:sz w:val="20"/>
          <w:szCs w:val="20"/>
        </w:rPr>
        <w:t xml:space="preserve"> (Figure 7)</w:t>
      </w:r>
      <w:r w:rsidR="00EB3458" w:rsidRPr="00A0498F">
        <w:rPr>
          <w:rFonts w:cstheme="minorHAnsi"/>
          <w:sz w:val="20"/>
          <w:szCs w:val="20"/>
        </w:rPr>
        <w:t>.</w:t>
      </w:r>
    </w:p>
    <w:p w14:paraId="5C78944B" w14:textId="0E36D62B" w:rsidR="004D3E17" w:rsidRPr="00A0498F" w:rsidRDefault="004D3E17">
      <w:pPr>
        <w:rPr>
          <w:rFonts w:cstheme="minorHAnsi"/>
          <w:b/>
          <w:bCs/>
          <w:sz w:val="20"/>
          <w:szCs w:val="20"/>
        </w:rPr>
      </w:pPr>
      <w:r w:rsidRPr="00A0498F">
        <w:rPr>
          <w:rFonts w:cstheme="minorHAnsi"/>
          <w:b/>
          <w:bCs/>
          <w:sz w:val="20"/>
          <w:szCs w:val="20"/>
        </w:rPr>
        <w:t>Figure 7: REMITTANCES BY COUNTRY</w:t>
      </w:r>
      <w:r w:rsidRPr="00A0498F">
        <w:rPr>
          <w:rFonts w:cstheme="minorHAnsi"/>
          <w:sz w:val="20"/>
          <w:szCs w:val="20"/>
        </w:rPr>
        <w:t xml:space="preserve"> </w:t>
      </w:r>
      <w:r w:rsidRPr="00A0498F">
        <w:rPr>
          <w:rFonts w:cstheme="minorHAnsi"/>
          <w:b/>
          <w:bCs/>
          <w:sz w:val="20"/>
          <w:szCs w:val="20"/>
        </w:rPr>
        <w:t>(in millions of inflation-adjusted 2020 US dollars)</w:t>
      </w:r>
    </w:p>
    <w:p w14:paraId="4BE55D5E" w14:textId="3DED8806" w:rsidR="00BD131E" w:rsidRPr="00A0498F" w:rsidRDefault="00BD131E" w:rsidP="00DB1330">
      <w:pPr>
        <w:jc w:val="center"/>
        <w:rPr>
          <w:rFonts w:cstheme="minorHAnsi"/>
          <w:sz w:val="20"/>
          <w:szCs w:val="20"/>
        </w:rPr>
      </w:pPr>
      <w:r w:rsidRPr="00A0498F">
        <w:rPr>
          <w:rFonts w:cstheme="minorHAnsi"/>
          <w:noProof/>
          <w:sz w:val="20"/>
          <w:szCs w:val="20"/>
        </w:rPr>
        <w:drawing>
          <wp:inline distT="0" distB="0" distL="0" distR="0" wp14:anchorId="6349D91D" wp14:editId="184BE3BD">
            <wp:extent cx="5311140" cy="4564380"/>
            <wp:effectExtent l="0" t="0" r="3810" b="7620"/>
            <wp:docPr id="1618315191" name="Chart 1">
              <a:extLst xmlns:a="http://schemas.openxmlformats.org/drawingml/2006/main">
                <a:ext uri="{FF2B5EF4-FFF2-40B4-BE49-F238E27FC236}">
                  <a16:creationId xmlns:a16="http://schemas.microsoft.com/office/drawing/2014/main" id="{B6DD324E-4F60-1CB5-246A-B613430CDC5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017B801C" w14:textId="77777777" w:rsidR="004D3E17" w:rsidRPr="00A0498F" w:rsidRDefault="004D3E17" w:rsidP="004D3E17">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54DB054C" w14:textId="77777777" w:rsidR="00A0498F" w:rsidRDefault="00A0498F" w:rsidP="00DB1330">
      <w:pPr>
        <w:rPr>
          <w:rFonts w:cstheme="minorHAnsi"/>
          <w:sz w:val="20"/>
          <w:szCs w:val="20"/>
        </w:rPr>
      </w:pPr>
    </w:p>
    <w:p w14:paraId="0B1CBBA4" w14:textId="35FA0D3F" w:rsidR="004D3E17" w:rsidRPr="00A0498F" w:rsidRDefault="00DB1330" w:rsidP="00DB1330">
      <w:pPr>
        <w:rPr>
          <w:rFonts w:cstheme="minorHAnsi"/>
          <w:sz w:val="20"/>
          <w:szCs w:val="20"/>
        </w:rPr>
      </w:pPr>
      <w:r w:rsidRPr="00A0498F">
        <w:rPr>
          <w:rFonts w:cstheme="minorHAnsi"/>
          <w:sz w:val="20"/>
          <w:szCs w:val="20"/>
        </w:rPr>
        <w:lastRenderedPageBreak/>
        <w:t>When considering remittances as a share of GNI, only 3 of the top 10 countries for remittance outflows in absolute terms remain in the top 10: Spain, Switzerland, and Belgium. The country with the largest remittance outflows as a share of GNI was Luxembourg (4.73%), followed by Serbia (4.68%) and Montenegro (3.83%). In 14 of the 27 European countries, remittances constituted larger than 1 percent of GNI; the remaining 13 countries ranged from 0.94 percent to 0.34 percent</w:t>
      </w:r>
      <w:r w:rsidR="004D3E17" w:rsidRPr="00A0498F">
        <w:rPr>
          <w:rFonts w:cstheme="minorHAnsi"/>
          <w:sz w:val="20"/>
          <w:szCs w:val="20"/>
        </w:rPr>
        <w:t xml:space="preserve"> (Figure 8)</w:t>
      </w:r>
      <w:r w:rsidRPr="00A0498F">
        <w:rPr>
          <w:rFonts w:cstheme="minorHAnsi"/>
          <w:sz w:val="20"/>
          <w:szCs w:val="20"/>
        </w:rPr>
        <w:t>.</w:t>
      </w:r>
    </w:p>
    <w:p w14:paraId="5DD40DF6" w14:textId="77777777" w:rsidR="00A0498F" w:rsidRDefault="00A0498F" w:rsidP="00DB1330">
      <w:pPr>
        <w:rPr>
          <w:rFonts w:cstheme="minorHAnsi"/>
          <w:b/>
          <w:bCs/>
          <w:sz w:val="20"/>
          <w:szCs w:val="20"/>
        </w:rPr>
      </w:pPr>
    </w:p>
    <w:p w14:paraId="363A9178" w14:textId="7851310F" w:rsidR="004D3E17" w:rsidRPr="00A0498F" w:rsidRDefault="004D3E17" w:rsidP="00DB1330">
      <w:pPr>
        <w:rPr>
          <w:rFonts w:cstheme="minorHAnsi"/>
          <w:sz w:val="20"/>
          <w:szCs w:val="20"/>
        </w:rPr>
      </w:pPr>
      <w:r w:rsidRPr="00A0498F">
        <w:rPr>
          <w:rFonts w:cstheme="minorHAnsi"/>
          <w:b/>
          <w:bCs/>
          <w:sz w:val="20"/>
          <w:szCs w:val="20"/>
        </w:rPr>
        <w:t>Figure 8: REMITTANCES BY COUNTRY</w:t>
      </w:r>
      <w:r w:rsidRPr="00A0498F">
        <w:rPr>
          <w:rFonts w:cstheme="minorHAnsi"/>
          <w:sz w:val="20"/>
          <w:szCs w:val="20"/>
        </w:rPr>
        <w:t xml:space="preserve"> </w:t>
      </w:r>
      <w:r w:rsidRPr="00A0498F">
        <w:rPr>
          <w:rFonts w:cstheme="minorHAnsi"/>
          <w:b/>
          <w:bCs/>
          <w:sz w:val="20"/>
          <w:szCs w:val="20"/>
        </w:rPr>
        <w:t>(as a share of gross national income)</w:t>
      </w:r>
    </w:p>
    <w:p w14:paraId="760EF9C1" w14:textId="77777777" w:rsidR="004D3E17" w:rsidRPr="00A0498F" w:rsidRDefault="004D3E17" w:rsidP="00DB1330">
      <w:pPr>
        <w:rPr>
          <w:rFonts w:cstheme="minorHAnsi"/>
          <w:sz w:val="20"/>
          <w:szCs w:val="20"/>
        </w:rPr>
      </w:pPr>
    </w:p>
    <w:p w14:paraId="11CC9059" w14:textId="0281504A" w:rsidR="00BD131E" w:rsidRPr="00A0498F" w:rsidRDefault="00D65492" w:rsidP="00DB1330">
      <w:pPr>
        <w:jc w:val="center"/>
        <w:rPr>
          <w:rFonts w:cstheme="minorHAnsi"/>
          <w:sz w:val="20"/>
          <w:szCs w:val="20"/>
        </w:rPr>
      </w:pPr>
      <w:r w:rsidRPr="00A0498F">
        <w:rPr>
          <w:rFonts w:cstheme="minorHAnsi"/>
          <w:noProof/>
          <w:sz w:val="20"/>
          <w:szCs w:val="20"/>
        </w:rPr>
        <w:drawing>
          <wp:inline distT="0" distB="0" distL="0" distR="0" wp14:anchorId="35F1E67F" wp14:editId="5E3064C9">
            <wp:extent cx="4884420" cy="4914900"/>
            <wp:effectExtent l="0" t="0" r="0" b="0"/>
            <wp:docPr id="398198318" name="Chart 1">
              <a:extLst xmlns:a="http://schemas.openxmlformats.org/drawingml/2006/main">
                <a:ext uri="{FF2B5EF4-FFF2-40B4-BE49-F238E27FC236}">
                  <a16:creationId xmlns:a16="http://schemas.microsoft.com/office/drawing/2014/main" id="{6671336D-231B-66DF-D92B-CCF57B5AA54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77EE5B70" w14:textId="77777777" w:rsidR="004D3E17" w:rsidRPr="00A0498F" w:rsidRDefault="004D3E17" w:rsidP="004D3E17">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3723EAAA" w14:textId="77777777" w:rsidR="004D3E17" w:rsidRPr="00A0498F" w:rsidRDefault="004D3E17">
      <w:pPr>
        <w:rPr>
          <w:rFonts w:cstheme="minorHAnsi"/>
          <w:sz w:val="20"/>
          <w:szCs w:val="20"/>
        </w:rPr>
      </w:pPr>
    </w:p>
    <w:p w14:paraId="25B724ED" w14:textId="4B5D5CE6" w:rsidR="00D65492" w:rsidRPr="00A0498F" w:rsidRDefault="00D65492">
      <w:pPr>
        <w:rPr>
          <w:rFonts w:cstheme="minorHAnsi"/>
          <w:sz w:val="20"/>
          <w:szCs w:val="20"/>
        </w:rPr>
      </w:pPr>
      <w:r w:rsidRPr="00A0498F">
        <w:rPr>
          <w:rFonts w:cstheme="minorHAnsi"/>
          <w:sz w:val="20"/>
          <w:szCs w:val="20"/>
        </w:rPr>
        <w:t xml:space="preserve">Of the USD 201 billion in remittances sent from migrants in European countries, 53 percent (USD 107 billion) was sent to high-income countries, while 47 percent (USD 94 billion) was sent to non-high-income countries. In only one-third (9) of the 27 countries, more remittances were sent to non-high-income than high-income countries. </w:t>
      </w:r>
      <w:r w:rsidRPr="00A0498F">
        <w:rPr>
          <w:rFonts w:cstheme="minorHAnsi"/>
          <w:sz w:val="20"/>
          <w:szCs w:val="20"/>
        </w:rPr>
        <w:lastRenderedPageBreak/>
        <w:t xml:space="preserve">Most of the 10 countries with the largest remittance outflows remained in the top when excluding remittances sent to high-income countries, except </w:t>
      </w:r>
      <w:r w:rsidR="00BC599F" w:rsidRPr="00A0498F">
        <w:rPr>
          <w:rFonts w:cstheme="minorHAnsi"/>
          <w:sz w:val="20"/>
          <w:szCs w:val="20"/>
        </w:rPr>
        <w:t>Türkiye</w:t>
      </w:r>
      <w:r w:rsidR="00380C64" w:rsidRPr="00A0498F">
        <w:rPr>
          <w:rFonts w:cstheme="minorHAnsi"/>
          <w:sz w:val="20"/>
          <w:szCs w:val="20"/>
        </w:rPr>
        <w:t xml:space="preserve"> (Figure 10)</w:t>
      </w:r>
      <w:r w:rsidRPr="00A0498F">
        <w:rPr>
          <w:rFonts w:cstheme="minorHAnsi"/>
          <w:sz w:val="20"/>
          <w:szCs w:val="20"/>
        </w:rPr>
        <w:t>.</w:t>
      </w:r>
    </w:p>
    <w:p w14:paraId="788C2F07" w14:textId="77777777" w:rsidR="00380C64" w:rsidRPr="00A0498F" w:rsidRDefault="00380C64">
      <w:pPr>
        <w:rPr>
          <w:rFonts w:cstheme="minorHAnsi"/>
          <w:sz w:val="20"/>
          <w:szCs w:val="20"/>
        </w:rPr>
      </w:pPr>
    </w:p>
    <w:p w14:paraId="3A769811" w14:textId="09D7D0BD" w:rsidR="00380C64" w:rsidRPr="00A0498F" w:rsidRDefault="00D37E8F">
      <w:pPr>
        <w:rPr>
          <w:rFonts w:cstheme="minorHAnsi"/>
          <w:b/>
          <w:bCs/>
          <w:sz w:val="20"/>
          <w:szCs w:val="20"/>
        </w:rPr>
      </w:pPr>
      <w:r w:rsidRPr="00A0498F">
        <w:rPr>
          <w:rFonts w:cstheme="minorHAnsi"/>
          <w:noProof/>
          <w:sz w:val="20"/>
          <w:szCs w:val="20"/>
        </w:rPr>
        <w:drawing>
          <wp:anchor distT="0" distB="0" distL="114300" distR="114300" simplePos="0" relativeHeight="251660288" behindDoc="1" locked="0" layoutInCell="1" allowOverlap="1" wp14:anchorId="332860E3" wp14:editId="4C6379AA">
            <wp:simplePos x="0" y="0"/>
            <wp:positionH relativeFrom="column">
              <wp:posOffset>-830580</wp:posOffset>
            </wp:positionH>
            <wp:positionV relativeFrom="paragraph">
              <wp:posOffset>441325</wp:posOffset>
            </wp:positionV>
            <wp:extent cx="8282940" cy="5402580"/>
            <wp:effectExtent l="0" t="0" r="3810" b="7620"/>
            <wp:wrapNone/>
            <wp:docPr id="988036941" name="Chart 1">
              <a:extLst xmlns:a="http://schemas.openxmlformats.org/drawingml/2006/main">
                <a:ext uri="{FF2B5EF4-FFF2-40B4-BE49-F238E27FC236}">
                  <a16:creationId xmlns:a16="http://schemas.microsoft.com/office/drawing/2014/main" id="{62AC6AFF-1A02-DBCE-FC2A-90B8CC0E921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page">
              <wp14:pctWidth>0</wp14:pctWidth>
            </wp14:sizeRelH>
            <wp14:sizeRelV relativeFrom="page">
              <wp14:pctHeight>0</wp14:pctHeight>
            </wp14:sizeRelV>
          </wp:anchor>
        </w:drawing>
      </w:r>
      <w:r w:rsidR="00380C64" w:rsidRPr="00A0498F">
        <w:rPr>
          <w:rFonts w:cstheme="minorHAnsi"/>
          <w:b/>
          <w:bCs/>
          <w:sz w:val="20"/>
          <w:szCs w:val="20"/>
        </w:rPr>
        <w:t xml:space="preserve">Figure </w:t>
      </w:r>
      <w:r w:rsidRPr="00A0498F">
        <w:rPr>
          <w:rFonts w:cstheme="minorHAnsi"/>
          <w:b/>
          <w:bCs/>
          <w:sz w:val="20"/>
          <w:szCs w:val="20"/>
        </w:rPr>
        <w:t>9</w:t>
      </w:r>
      <w:r w:rsidR="00380C64" w:rsidRPr="00A0498F">
        <w:rPr>
          <w:rFonts w:cstheme="minorHAnsi"/>
          <w:b/>
          <w:bCs/>
          <w:sz w:val="20"/>
          <w:szCs w:val="20"/>
        </w:rPr>
        <w:t>: REMITTANCES TO HIGH INCOME VS NON-HIGH-INCOME COUNTRIES (in millions of inflation-adjusted 2020 US dollars)</w:t>
      </w:r>
    </w:p>
    <w:p w14:paraId="7CE8AAD8" w14:textId="4938245D" w:rsidR="00D65492" w:rsidRPr="00A0498F" w:rsidRDefault="00D65492">
      <w:pPr>
        <w:rPr>
          <w:rFonts w:cstheme="minorHAnsi"/>
          <w:sz w:val="20"/>
          <w:szCs w:val="20"/>
        </w:rPr>
      </w:pPr>
    </w:p>
    <w:p w14:paraId="5869658B" w14:textId="77777777" w:rsidR="00380C64" w:rsidRPr="00A0498F" w:rsidRDefault="00380C64">
      <w:pPr>
        <w:rPr>
          <w:rFonts w:cstheme="minorHAnsi"/>
          <w:sz w:val="20"/>
          <w:szCs w:val="20"/>
        </w:rPr>
      </w:pPr>
    </w:p>
    <w:p w14:paraId="658B770C" w14:textId="77777777" w:rsidR="00D37E8F" w:rsidRPr="00A0498F" w:rsidRDefault="00D37E8F" w:rsidP="00380C64">
      <w:pPr>
        <w:rPr>
          <w:rFonts w:cstheme="minorHAnsi"/>
          <w:sz w:val="20"/>
          <w:szCs w:val="20"/>
        </w:rPr>
      </w:pPr>
    </w:p>
    <w:p w14:paraId="1820DF49" w14:textId="77777777" w:rsidR="00D37E8F" w:rsidRPr="00A0498F" w:rsidRDefault="00D37E8F" w:rsidP="00380C64">
      <w:pPr>
        <w:rPr>
          <w:rFonts w:cstheme="minorHAnsi"/>
          <w:sz w:val="20"/>
          <w:szCs w:val="20"/>
        </w:rPr>
      </w:pPr>
    </w:p>
    <w:p w14:paraId="0EFCB8D3" w14:textId="77777777" w:rsidR="00D37E8F" w:rsidRPr="00A0498F" w:rsidRDefault="00D37E8F" w:rsidP="00380C64">
      <w:pPr>
        <w:rPr>
          <w:rFonts w:cstheme="minorHAnsi"/>
          <w:sz w:val="20"/>
          <w:szCs w:val="20"/>
        </w:rPr>
      </w:pPr>
    </w:p>
    <w:p w14:paraId="317624D0" w14:textId="77777777" w:rsidR="00D37E8F" w:rsidRPr="00A0498F" w:rsidRDefault="00D37E8F" w:rsidP="00380C64">
      <w:pPr>
        <w:rPr>
          <w:rFonts w:cstheme="minorHAnsi"/>
          <w:sz w:val="20"/>
          <w:szCs w:val="20"/>
        </w:rPr>
      </w:pPr>
    </w:p>
    <w:p w14:paraId="6B7969BF" w14:textId="77777777" w:rsidR="00D37E8F" w:rsidRPr="00A0498F" w:rsidRDefault="00D37E8F" w:rsidP="00380C64">
      <w:pPr>
        <w:rPr>
          <w:rFonts w:cstheme="minorHAnsi"/>
          <w:sz w:val="20"/>
          <w:szCs w:val="20"/>
        </w:rPr>
      </w:pPr>
    </w:p>
    <w:p w14:paraId="7EC693DD" w14:textId="77777777" w:rsidR="00D37E8F" w:rsidRPr="00A0498F" w:rsidRDefault="00D37E8F" w:rsidP="00380C64">
      <w:pPr>
        <w:rPr>
          <w:rFonts w:cstheme="minorHAnsi"/>
          <w:sz w:val="20"/>
          <w:szCs w:val="20"/>
        </w:rPr>
      </w:pPr>
    </w:p>
    <w:p w14:paraId="236ECD79" w14:textId="77777777" w:rsidR="00D37E8F" w:rsidRPr="00A0498F" w:rsidRDefault="00D37E8F" w:rsidP="00380C64">
      <w:pPr>
        <w:rPr>
          <w:rFonts w:cstheme="minorHAnsi"/>
          <w:sz w:val="20"/>
          <w:szCs w:val="20"/>
        </w:rPr>
      </w:pPr>
    </w:p>
    <w:p w14:paraId="1FB636EA" w14:textId="77777777" w:rsidR="00D37E8F" w:rsidRPr="00A0498F" w:rsidRDefault="00D37E8F" w:rsidP="00380C64">
      <w:pPr>
        <w:rPr>
          <w:rFonts w:cstheme="minorHAnsi"/>
          <w:sz w:val="20"/>
          <w:szCs w:val="20"/>
        </w:rPr>
      </w:pPr>
    </w:p>
    <w:p w14:paraId="4BB61BBB" w14:textId="77777777" w:rsidR="00D37E8F" w:rsidRPr="00A0498F" w:rsidRDefault="00D37E8F" w:rsidP="00380C64">
      <w:pPr>
        <w:rPr>
          <w:rFonts w:cstheme="minorHAnsi"/>
          <w:sz w:val="20"/>
          <w:szCs w:val="20"/>
        </w:rPr>
      </w:pPr>
    </w:p>
    <w:p w14:paraId="148EA204" w14:textId="77777777" w:rsidR="00D37E8F" w:rsidRPr="00A0498F" w:rsidRDefault="00D37E8F" w:rsidP="00380C64">
      <w:pPr>
        <w:rPr>
          <w:rFonts w:cstheme="minorHAnsi"/>
          <w:sz w:val="20"/>
          <w:szCs w:val="20"/>
        </w:rPr>
      </w:pPr>
    </w:p>
    <w:p w14:paraId="3A11F10B" w14:textId="77777777" w:rsidR="00D37E8F" w:rsidRPr="00A0498F" w:rsidRDefault="00D37E8F" w:rsidP="00380C64">
      <w:pPr>
        <w:rPr>
          <w:rFonts w:cstheme="minorHAnsi"/>
          <w:sz w:val="20"/>
          <w:szCs w:val="20"/>
        </w:rPr>
      </w:pPr>
    </w:p>
    <w:p w14:paraId="3D28B596" w14:textId="77777777" w:rsidR="00D37E8F" w:rsidRPr="00A0498F" w:rsidRDefault="00D37E8F" w:rsidP="00380C64">
      <w:pPr>
        <w:rPr>
          <w:rFonts w:cstheme="minorHAnsi"/>
          <w:sz w:val="20"/>
          <w:szCs w:val="20"/>
        </w:rPr>
      </w:pPr>
    </w:p>
    <w:p w14:paraId="51FB7B30" w14:textId="77777777" w:rsidR="00D37E8F" w:rsidRPr="00A0498F" w:rsidRDefault="00D37E8F" w:rsidP="00380C64">
      <w:pPr>
        <w:rPr>
          <w:rFonts w:cstheme="minorHAnsi"/>
          <w:sz w:val="20"/>
          <w:szCs w:val="20"/>
        </w:rPr>
      </w:pPr>
    </w:p>
    <w:p w14:paraId="3C09DC03" w14:textId="77777777" w:rsidR="00D37E8F" w:rsidRPr="00A0498F" w:rsidRDefault="00D37E8F" w:rsidP="00380C64">
      <w:pPr>
        <w:rPr>
          <w:rFonts w:cstheme="minorHAnsi"/>
          <w:sz w:val="20"/>
          <w:szCs w:val="20"/>
        </w:rPr>
      </w:pPr>
    </w:p>
    <w:p w14:paraId="76DB9B1D" w14:textId="77777777" w:rsidR="00D37E8F" w:rsidRPr="00A0498F" w:rsidRDefault="00D37E8F" w:rsidP="00380C64">
      <w:pPr>
        <w:rPr>
          <w:rFonts w:cstheme="minorHAnsi"/>
          <w:sz w:val="20"/>
          <w:szCs w:val="20"/>
        </w:rPr>
      </w:pPr>
    </w:p>
    <w:p w14:paraId="1B2B5D60" w14:textId="77777777" w:rsidR="00D37E8F" w:rsidRPr="00A0498F" w:rsidRDefault="00D37E8F" w:rsidP="00380C64">
      <w:pPr>
        <w:rPr>
          <w:rFonts w:cstheme="minorHAnsi"/>
          <w:sz w:val="20"/>
          <w:szCs w:val="20"/>
        </w:rPr>
      </w:pPr>
    </w:p>
    <w:p w14:paraId="3959BE49" w14:textId="77777777" w:rsidR="00D37E8F" w:rsidRPr="00A0498F" w:rsidRDefault="00D37E8F" w:rsidP="00380C64">
      <w:pPr>
        <w:rPr>
          <w:rFonts w:cstheme="minorHAnsi"/>
          <w:sz w:val="20"/>
          <w:szCs w:val="20"/>
        </w:rPr>
      </w:pPr>
    </w:p>
    <w:p w14:paraId="02EAA874" w14:textId="77777777" w:rsidR="00D37E8F" w:rsidRPr="00A0498F" w:rsidRDefault="00D37E8F" w:rsidP="00380C64">
      <w:pPr>
        <w:rPr>
          <w:rFonts w:cstheme="minorHAnsi"/>
          <w:sz w:val="20"/>
          <w:szCs w:val="20"/>
        </w:rPr>
      </w:pPr>
    </w:p>
    <w:p w14:paraId="4E9B0F5F" w14:textId="77777777" w:rsidR="00D37E8F" w:rsidRPr="00A0498F" w:rsidRDefault="00D37E8F" w:rsidP="00380C64">
      <w:pPr>
        <w:rPr>
          <w:rFonts w:cstheme="minorHAnsi"/>
          <w:sz w:val="20"/>
          <w:szCs w:val="20"/>
        </w:rPr>
      </w:pPr>
    </w:p>
    <w:p w14:paraId="01542AC9" w14:textId="77777777" w:rsidR="00D37E8F" w:rsidRPr="00A0498F" w:rsidRDefault="00D37E8F" w:rsidP="00380C64">
      <w:pPr>
        <w:rPr>
          <w:rFonts w:cstheme="minorHAnsi"/>
          <w:sz w:val="20"/>
          <w:szCs w:val="20"/>
        </w:rPr>
      </w:pPr>
    </w:p>
    <w:p w14:paraId="0C755186" w14:textId="6B3592F8" w:rsidR="00380C64" w:rsidRPr="00A0498F" w:rsidRDefault="00380C64" w:rsidP="00380C64">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0FC82663" w14:textId="77777777" w:rsidR="00380C64" w:rsidRPr="00A0498F" w:rsidRDefault="00380C64">
      <w:pPr>
        <w:rPr>
          <w:rFonts w:cstheme="minorHAnsi"/>
          <w:sz w:val="20"/>
          <w:szCs w:val="20"/>
        </w:rPr>
      </w:pPr>
    </w:p>
    <w:p w14:paraId="3544E6F7" w14:textId="77777777" w:rsidR="00D37E8F" w:rsidRPr="00A0498F" w:rsidRDefault="00D37E8F" w:rsidP="00D37E8F">
      <w:pPr>
        <w:rPr>
          <w:rFonts w:cstheme="minorHAnsi"/>
          <w:b/>
          <w:bCs/>
          <w:sz w:val="20"/>
          <w:szCs w:val="20"/>
        </w:rPr>
      </w:pPr>
    </w:p>
    <w:p w14:paraId="6193710C" w14:textId="7211CC06" w:rsidR="00D37E8F" w:rsidRPr="00A0498F" w:rsidRDefault="00D37E8F">
      <w:pPr>
        <w:rPr>
          <w:rFonts w:eastAsiaTheme="majorEastAsia" w:cstheme="minorHAnsi"/>
          <w:color w:val="2F5496" w:themeColor="accent1" w:themeShade="BF"/>
          <w:sz w:val="20"/>
          <w:szCs w:val="20"/>
        </w:rPr>
      </w:pPr>
    </w:p>
    <w:p w14:paraId="12A1D292" w14:textId="79026BF7" w:rsidR="00D65492" w:rsidRPr="00A0498F" w:rsidRDefault="00D65492" w:rsidP="00A0498F">
      <w:pPr>
        <w:pStyle w:val="Heading3"/>
        <w:numPr>
          <w:ilvl w:val="2"/>
          <w:numId w:val="4"/>
        </w:numPr>
        <w:rPr>
          <w:rFonts w:asciiTheme="minorHAnsi" w:hAnsiTheme="minorHAnsi" w:cstheme="minorHAnsi"/>
          <w:i/>
          <w:iCs/>
          <w:sz w:val="20"/>
          <w:szCs w:val="20"/>
        </w:rPr>
      </w:pPr>
      <w:bookmarkStart w:id="9" w:name="_Toc138453603"/>
      <w:r w:rsidRPr="00A0498F">
        <w:rPr>
          <w:rFonts w:asciiTheme="minorHAnsi" w:hAnsiTheme="minorHAnsi" w:cstheme="minorHAnsi"/>
          <w:i/>
          <w:iCs/>
          <w:sz w:val="20"/>
          <w:szCs w:val="20"/>
        </w:rPr>
        <w:lastRenderedPageBreak/>
        <w:t>Private Capital Investment</w:t>
      </w:r>
      <w:bookmarkEnd w:id="9"/>
    </w:p>
    <w:p w14:paraId="0B8429E8" w14:textId="08C7072E" w:rsidR="00A30D06" w:rsidRPr="00A0498F" w:rsidRDefault="00A30D06">
      <w:pPr>
        <w:rPr>
          <w:rFonts w:cstheme="minorHAnsi"/>
          <w:sz w:val="20"/>
          <w:szCs w:val="20"/>
        </w:rPr>
      </w:pPr>
      <w:r w:rsidRPr="00A0498F">
        <w:rPr>
          <w:rFonts w:cstheme="minorHAnsi"/>
          <w:sz w:val="20"/>
          <w:szCs w:val="20"/>
        </w:rPr>
        <w:t>Of the 27 European countries included in the report, 1</w:t>
      </w:r>
      <w:r w:rsidR="00974B0B" w:rsidRPr="00A0498F">
        <w:rPr>
          <w:rFonts w:cstheme="minorHAnsi"/>
          <w:sz w:val="20"/>
          <w:szCs w:val="20"/>
        </w:rPr>
        <w:t>7</w:t>
      </w:r>
      <w:r w:rsidRPr="00A0498F">
        <w:rPr>
          <w:rFonts w:cstheme="minorHAnsi"/>
          <w:sz w:val="20"/>
          <w:szCs w:val="20"/>
        </w:rPr>
        <w:t xml:space="preserve"> had available data on </w:t>
      </w:r>
      <w:r w:rsidR="00974B0B" w:rsidRPr="00A0498F">
        <w:rPr>
          <w:rFonts w:cstheme="minorHAnsi"/>
          <w:sz w:val="20"/>
          <w:szCs w:val="20"/>
        </w:rPr>
        <w:t>private capital</w:t>
      </w:r>
      <w:r w:rsidRPr="00A0498F">
        <w:rPr>
          <w:rFonts w:cstheme="minorHAnsi"/>
          <w:sz w:val="20"/>
          <w:szCs w:val="20"/>
        </w:rPr>
        <w:t xml:space="preserve"> outflows</w:t>
      </w:r>
      <w:r w:rsidR="00974B0B" w:rsidRPr="00A0498F">
        <w:rPr>
          <w:rFonts w:cstheme="minorHAnsi"/>
          <w:sz w:val="20"/>
          <w:szCs w:val="20"/>
        </w:rPr>
        <w:t xml:space="preserve"> in 2020 and one (Denmark) had data from 2019</w:t>
      </w:r>
      <w:r w:rsidRPr="00A0498F">
        <w:rPr>
          <w:rFonts w:cstheme="minorHAnsi"/>
          <w:sz w:val="20"/>
          <w:szCs w:val="20"/>
        </w:rPr>
        <w:t xml:space="preserve">. </w:t>
      </w:r>
      <w:r w:rsidR="00111D36" w:rsidRPr="00A0498F">
        <w:rPr>
          <w:rFonts w:cstheme="minorHAnsi"/>
          <w:sz w:val="20"/>
          <w:szCs w:val="20"/>
        </w:rPr>
        <w:t>Private capital investment</w:t>
      </w:r>
      <w:r w:rsidR="00111D36" w:rsidRPr="00A0498F" w:rsidDel="00111D36">
        <w:rPr>
          <w:rFonts w:cstheme="minorHAnsi"/>
          <w:sz w:val="20"/>
          <w:szCs w:val="20"/>
        </w:rPr>
        <w:t xml:space="preserve"> </w:t>
      </w:r>
      <w:r w:rsidRPr="00A0498F">
        <w:rPr>
          <w:rFonts w:cstheme="minorHAnsi"/>
          <w:sz w:val="20"/>
          <w:szCs w:val="20"/>
        </w:rPr>
        <w:t xml:space="preserve">plays a critical role in financing international development, and it has risen significantly since the 1990s. However, </w:t>
      </w:r>
      <w:r w:rsidR="00111D36" w:rsidRPr="00A0498F">
        <w:rPr>
          <w:rFonts w:cstheme="minorHAnsi"/>
          <w:sz w:val="20"/>
          <w:szCs w:val="20"/>
        </w:rPr>
        <w:t>private capital investment</w:t>
      </w:r>
      <w:r w:rsidR="00111D36" w:rsidRPr="00A0498F" w:rsidDel="00111D36">
        <w:rPr>
          <w:rFonts w:cstheme="minorHAnsi"/>
          <w:sz w:val="20"/>
          <w:szCs w:val="20"/>
        </w:rPr>
        <w:t xml:space="preserve"> </w:t>
      </w:r>
      <w:r w:rsidRPr="00A0498F">
        <w:rPr>
          <w:rFonts w:cstheme="minorHAnsi"/>
          <w:sz w:val="20"/>
          <w:szCs w:val="20"/>
        </w:rPr>
        <w:t>was the resource flow most impacted by the economic turmoil associated with the COVID-19 pandemic</w:t>
      </w:r>
      <w:r w:rsidR="009A7048" w:rsidRPr="00A0498F">
        <w:rPr>
          <w:rFonts w:cstheme="minorHAnsi"/>
          <w:sz w:val="20"/>
          <w:szCs w:val="20"/>
        </w:rPr>
        <w:t xml:space="preserve"> (Organisation for Economic Co-operation and Development, 2023</w:t>
      </w:r>
      <w:r w:rsidR="00062D77" w:rsidRPr="00A0498F">
        <w:rPr>
          <w:rFonts w:cstheme="minorHAnsi"/>
          <w:sz w:val="20"/>
          <w:szCs w:val="20"/>
        </w:rPr>
        <w:t>b</w:t>
      </w:r>
      <w:r w:rsidR="009A7048" w:rsidRPr="00A0498F">
        <w:rPr>
          <w:rFonts w:cstheme="minorHAnsi"/>
          <w:sz w:val="20"/>
          <w:szCs w:val="20"/>
        </w:rPr>
        <w:t>; UNCTAD, 2021; Koçak &amp; Barış-Tüzemen, 2022)</w:t>
      </w:r>
      <w:r w:rsidRPr="00A0498F">
        <w:rPr>
          <w:rFonts w:cstheme="minorHAnsi"/>
          <w:sz w:val="20"/>
          <w:szCs w:val="20"/>
        </w:rPr>
        <w:t xml:space="preserve">. As a result of the economic crisis, a decline in investment value, and a reduction in the amount of foreign direct investment, </w:t>
      </w:r>
      <w:r w:rsidR="00111D36" w:rsidRPr="00A0498F">
        <w:rPr>
          <w:rFonts w:cstheme="minorHAnsi"/>
          <w:sz w:val="20"/>
          <w:szCs w:val="20"/>
        </w:rPr>
        <w:t>private capital investment</w:t>
      </w:r>
      <w:r w:rsidR="00111D36" w:rsidRPr="00A0498F" w:rsidDel="00111D36">
        <w:rPr>
          <w:rFonts w:cstheme="minorHAnsi"/>
          <w:sz w:val="20"/>
          <w:szCs w:val="20"/>
        </w:rPr>
        <w:t xml:space="preserve"> </w:t>
      </w:r>
      <w:r w:rsidRPr="00A0498F">
        <w:rPr>
          <w:rFonts w:cstheme="minorHAnsi"/>
          <w:sz w:val="20"/>
          <w:szCs w:val="20"/>
        </w:rPr>
        <w:t>from European countries fell 44 percent during the period covered in this report, from USD 75 billion in 2018 to USD 42 billion in 2020.</w:t>
      </w:r>
    </w:p>
    <w:p w14:paraId="5C4F0A8B" w14:textId="0BD1F39F" w:rsidR="00D37E8F" w:rsidRPr="00A0498F" w:rsidRDefault="00C72065">
      <w:pPr>
        <w:rPr>
          <w:rFonts w:cstheme="minorHAnsi"/>
          <w:sz w:val="20"/>
          <w:szCs w:val="20"/>
        </w:rPr>
      </w:pPr>
      <w:r w:rsidRPr="00A0498F">
        <w:rPr>
          <w:rFonts w:cstheme="minorHAnsi"/>
          <w:sz w:val="20"/>
          <w:szCs w:val="20"/>
        </w:rPr>
        <w:t xml:space="preserve">Germany had the highest </w:t>
      </w:r>
      <w:r w:rsidR="00111D36" w:rsidRPr="00A0498F">
        <w:rPr>
          <w:rFonts w:cstheme="minorHAnsi"/>
          <w:sz w:val="20"/>
          <w:szCs w:val="20"/>
        </w:rPr>
        <w:t>private capital investment</w:t>
      </w:r>
      <w:r w:rsidR="00111D36" w:rsidRPr="00A0498F" w:rsidDel="00111D36">
        <w:rPr>
          <w:rFonts w:cstheme="minorHAnsi"/>
          <w:sz w:val="20"/>
          <w:szCs w:val="20"/>
        </w:rPr>
        <w:t xml:space="preserve"> </w:t>
      </w:r>
      <w:r w:rsidRPr="00A0498F">
        <w:rPr>
          <w:rFonts w:cstheme="minorHAnsi"/>
          <w:sz w:val="20"/>
          <w:szCs w:val="20"/>
        </w:rPr>
        <w:t>outflow in 2020 with USD 15 billion, followed by Spain (USD 11 billion) and France (USD 5 billion). Four countries had negative outflows, or positive inflows, in 2020: Austria (USD -1.5 billion), Portugal (USD -0.8 billion), Switzerland (USD -0.8 billion), and the United Kingdom (USD -1 million)</w:t>
      </w:r>
      <w:r w:rsidR="00D37E8F" w:rsidRPr="00A0498F">
        <w:rPr>
          <w:rFonts w:cstheme="minorHAnsi"/>
          <w:sz w:val="20"/>
          <w:szCs w:val="20"/>
        </w:rPr>
        <w:t xml:space="preserve"> (Figure 10)</w:t>
      </w:r>
      <w:r w:rsidRPr="00A0498F">
        <w:rPr>
          <w:rFonts w:cstheme="minorHAnsi"/>
          <w:sz w:val="20"/>
          <w:szCs w:val="20"/>
        </w:rPr>
        <w:t xml:space="preserve">. </w:t>
      </w:r>
    </w:p>
    <w:p w14:paraId="4169BB9A" w14:textId="2886B66F" w:rsidR="00D37E8F" w:rsidRPr="00A0498F" w:rsidRDefault="00D37E8F">
      <w:pPr>
        <w:rPr>
          <w:rFonts w:cstheme="minorHAnsi"/>
          <w:sz w:val="20"/>
          <w:szCs w:val="20"/>
        </w:rPr>
      </w:pPr>
      <w:r w:rsidRPr="00A0498F">
        <w:rPr>
          <w:rFonts w:cstheme="minorHAnsi"/>
          <w:b/>
          <w:bCs/>
          <w:sz w:val="20"/>
          <w:szCs w:val="20"/>
        </w:rPr>
        <w:t>Figure 10: PRIVATE CAPITAL INVESTMENT BY COUNTRY</w:t>
      </w:r>
      <w:r w:rsidRPr="00A0498F">
        <w:rPr>
          <w:rFonts w:cstheme="minorHAnsi"/>
          <w:sz w:val="20"/>
          <w:szCs w:val="20"/>
        </w:rPr>
        <w:t xml:space="preserve"> </w:t>
      </w:r>
      <w:r w:rsidRPr="00A0498F">
        <w:rPr>
          <w:rFonts w:cstheme="minorHAnsi"/>
          <w:b/>
          <w:bCs/>
          <w:sz w:val="20"/>
          <w:szCs w:val="20"/>
        </w:rPr>
        <w:t>(in millions of inflation-adjusted 2020 US dollars)</w:t>
      </w:r>
    </w:p>
    <w:p w14:paraId="282E0C90" w14:textId="26BC8468" w:rsidR="00254230" w:rsidRPr="00A0498F" w:rsidRDefault="00254230" w:rsidP="00833D89">
      <w:pPr>
        <w:jc w:val="center"/>
        <w:rPr>
          <w:rFonts w:cstheme="minorHAnsi"/>
          <w:sz w:val="20"/>
          <w:szCs w:val="20"/>
        </w:rPr>
      </w:pPr>
      <w:r w:rsidRPr="00A0498F">
        <w:rPr>
          <w:rFonts w:cstheme="minorHAnsi"/>
          <w:noProof/>
          <w:sz w:val="20"/>
          <w:szCs w:val="20"/>
        </w:rPr>
        <w:drawing>
          <wp:inline distT="0" distB="0" distL="0" distR="0" wp14:anchorId="29305E61" wp14:editId="61EE411A">
            <wp:extent cx="5356860" cy="4114800"/>
            <wp:effectExtent l="0" t="0" r="0" b="0"/>
            <wp:docPr id="739678532" name="Chart 1">
              <a:extLst xmlns:a="http://schemas.openxmlformats.org/drawingml/2006/main">
                <a:ext uri="{FF2B5EF4-FFF2-40B4-BE49-F238E27FC236}">
                  <a16:creationId xmlns:a16="http://schemas.microsoft.com/office/drawing/2014/main" id="{7CEB775B-869E-E768-D08E-5F2A1ACC234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28E7BC80" w14:textId="77777777" w:rsidR="00D37E8F" w:rsidRPr="00A0498F" w:rsidRDefault="00D37E8F" w:rsidP="00D37E8F">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2C454B99" w14:textId="77777777" w:rsidR="00D37E8F" w:rsidRPr="00A0498F" w:rsidRDefault="00D37E8F">
      <w:pPr>
        <w:rPr>
          <w:rFonts w:cstheme="minorHAnsi"/>
          <w:sz w:val="20"/>
          <w:szCs w:val="20"/>
        </w:rPr>
      </w:pPr>
    </w:p>
    <w:p w14:paraId="55BB3C9F" w14:textId="54951C38" w:rsidR="00D37E8F" w:rsidRPr="00A0498F" w:rsidRDefault="00833D89">
      <w:pPr>
        <w:rPr>
          <w:rFonts w:cstheme="minorHAnsi"/>
          <w:sz w:val="20"/>
          <w:szCs w:val="20"/>
        </w:rPr>
      </w:pPr>
      <w:r w:rsidRPr="00A0498F">
        <w:rPr>
          <w:rFonts w:cstheme="minorHAnsi"/>
          <w:sz w:val="20"/>
          <w:szCs w:val="20"/>
        </w:rPr>
        <w:t xml:space="preserve">When considering </w:t>
      </w:r>
      <w:r w:rsidR="00111D36" w:rsidRPr="00A0498F">
        <w:rPr>
          <w:rFonts w:cstheme="minorHAnsi"/>
          <w:sz w:val="20"/>
          <w:szCs w:val="20"/>
        </w:rPr>
        <w:t xml:space="preserve">private capital </w:t>
      </w:r>
      <w:proofErr w:type="gramStart"/>
      <w:r w:rsidR="00111D36" w:rsidRPr="00A0498F">
        <w:rPr>
          <w:rFonts w:cstheme="minorHAnsi"/>
          <w:sz w:val="20"/>
          <w:szCs w:val="20"/>
        </w:rPr>
        <w:t>investment</w:t>
      </w:r>
      <w:r w:rsidR="00111D36" w:rsidRPr="00A0498F" w:rsidDel="00111D36">
        <w:rPr>
          <w:rFonts w:cstheme="minorHAnsi"/>
          <w:sz w:val="20"/>
          <w:szCs w:val="20"/>
        </w:rPr>
        <w:t xml:space="preserve"> </w:t>
      </w:r>
      <w:r w:rsidRPr="00A0498F">
        <w:rPr>
          <w:rFonts w:cstheme="minorHAnsi"/>
          <w:sz w:val="20"/>
          <w:szCs w:val="20"/>
        </w:rPr>
        <w:t xml:space="preserve"> as</w:t>
      </w:r>
      <w:proofErr w:type="gramEnd"/>
      <w:r w:rsidRPr="00A0498F">
        <w:rPr>
          <w:rFonts w:cstheme="minorHAnsi"/>
          <w:sz w:val="20"/>
          <w:szCs w:val="20"/>
        </w:rPr>
        <w:t xml:space="preserve"> a share of GNI, 9 of the top 10 countries in absolute terms remain in the top 10. Most of the </w:t>
      </w:r>
      <w:proofErr w:type="gramStart"/>
      <w:r w:rsidRPr="00A0498F">
        <w:rPr>
          <w:rFonts w:cstheme="minorHAnsi"/>
          <w:sz w:val="20"/>
          <w:szCs w:val="20"/>
        </w:rPr>
        <w:t>rankings</w:t>
      </w:r>
      <w:proofErr w:type="gramEnd"/>
      <w:r w:rsidRPr="00A0498F">
        <w:rPr>
          <w:rFonts w:cstheme="minorHAnsi"/>
          <w:sz w:val="20"/>
          <w:szCs w:val="20"/>
        </w:rPr>
        <w:t xml:space="preserve"> shift, except Spain which </w:t>
      </w:r>
      <w:r w:rsidR="002858F2" w:rsidRPr="00A0498F">
        <w:rPr>
          <w:rFonts w:cstheme="minorHAnsi"/>
          <w:sz w:val="20"/>
          <w:szCs w:val="20"/>
        </w:rPr>
        <w:t xml:space="preserve">was </w:t>
      </w:r>
      <w:r w:rsidRPr="00A0498F">
        <w:rPr>
          <w:rFonts w:cstheme="minorHAnsi"/>
          <w:sz w:val="20"/>
          <w:szCs w:val="20"/>
        </w:rPr>
        <w:t xml:space="preserve">second in both cases. Hungary, an emerging </w:t>
      </w:r>
      <w:r w:rsidRPr="00A0498F">
        <w:rPr>
          <w:rFonts w:cstheme="minorHAnsi"/>
          <w:sz w:val="20"/>
          <w:szCs w:val="20"/>
        </w:rPr>
        <w:lastRenderedPageBreak/>
        <w:t xml:space="preserve">market, had the largest </w:t>
      </w:r>
      <w:r w:rsidR="00111D36" w:rsidRPr="00A0498F">
        <w:rPr>
          <w:rFonts w:cstheme="minorHAnsi"/>
          <w:sz w:val="20"/>
          <w:szCs w:val="20"/>
        </w:rPr>
        <w:t xml:space="preserve">private capital </w:t>
      </w:r>
      <w:proofErr w:type="gramStart"/>
      <w:r w:rsidR="00111D36" w:rsidRPr="00A0498F">
        <w:rPr>
          <w:rFonts w:cstheme="minorHAnsi"/>
          <w:sz w:val="20"/>
          <w:szCs w:val="20"/>
        </w:rPr>
        <w:t>investment</w:t>
      </w:r>
      <w:r w:rsidR="00111D36" w:rsidRPr="00A0498F" w:rsidDel="00111D36">
        <w:rPr>
          <w:rFonts w:cstheme="minorHAnsi"/>
          <w:sz w:val="20"/>
          <w:szCs w:val="20"/>
        </w:rPr>
        <w:t xml:space="preserve"> </w:t>
      </w:r>
      <w:r w:rsidRPr="00A0498F">
        <w:rPr>
          <w:rFonts w:cstheme="minorHAnsi"/>
          <w:sz w:val="20"/>
          <w:szCs w:val="20"/>
        </w:rPr>
        <w:t xml:space="preserve"> as</w:t>
      </w:r>
      <w:proofErr w:type="gramEnd"/>
      <w:r w:rsidRPr="00A0498F">
        <w:rPr>
          <w:rFonts w:cstheme="minorHAnsi"/>
          <w:sz w:val="20"/>
          <w:szCs w:val="20"/>
        </w:rPr>
        <w:t xml:space="preserve"> a share of GNI at 1.98 percent, tripling its private capital outflows since 2018 (0.60%).</w:t>
      </w:r>
    </w:p>
    <w:p w14:paraId="6DDBD5D7" w14:textId="560C284F" w:rsidR="00D37E8F" w:rsidRPr="00A0498F" w:rsidRDefault="00D37E8F" w:rsidP="00D37E8F">
      <w:pPr>
        <w:rPr>
          <w:rFonts w:cstheme="minorHAnsi"/>
          <w:sz w:val="20"/>
          <w:szCs w:val="20"/>
        </w:rPr>
      </w:pPr>
      <w:r w:rsidRPr="00A0498F">
        <w:rPr>
          <w:rFonts w:cstheme="minorHAnsi"/>
          <w:b/>
          <w:bCs/>
          <w:sz w:val="20"/>
          <w:szCs w:val="20"/>
        </w:rPr>
        <w:t>Figure 11: PRIVATE CAPITAL INVESTMENT BY COUNTRY</w:t>
      </w:r>
      <w:r w:rsidRPr="00A0498F">
        <w:rPr>
          <w:rFonts w:cstheme="minorHAnsi"/>
          <w:sz w:val="20"/>
          <w:szCs w:val="20"/>
        </w:rPr>
        <w:t xml:space="preserve"> </w:t>
      </w:r>
      <w:r w:rsidRPr="00A0498F">
        <w:rPr>
          <w:rFonts w:cstheme="minorHAnsi"/>
          <w:b/>
          <w:bCs/>
          <w:sz w:val="20"/>
          <w:szCs w:val="20"/>
        </w:rPr>
        <w:t>(as a share of gross national income)</w:t>
      </w:r>
    </w:p>
    <w:p w14:paraId="3A306693" w14:textId="77777777" w:rsidR="00D37E8F" w:rsidRPr="00A0498F" w:rsidRDefault="00D37E8F">
      <w:pPr>
        <w:rPr>
          <w:rFonts w:cstheme="minorHAnsi"/>
          <w:sz w:val="20"/>
          <w:szCs w:val="20"/>
        </w:rPr>
      </w:pPr>
    </w:p>
    <w:p w14:paraId="69785965" w14:textId="697B13C6" w:rsidR="00254230" w:rsidRPr="00A0498F" w:rsidRDefault="00254230" w:rsidP="00833D89">
      <w:pPr>
        <w:jc w:val="center"/>
        <w:rPr>
          <w:rFonts w:cstheme="minorHAnsi"/>
          <w:sz w:val="20"/>
          <w:szCs w:val="20"/>
        </w:rPr>
      </w:pPr>
      <w:r w:rsidRPr="00A0498F">
        <w:rPr>
          <w:rFonts w:cstheme="minorHAnsi"/>
          <w:noProof/>
          <w:sz w:val="20"/>
          <w:szCs w:val="20"/>
        </w:rPr>
        <w:drawing>
          <wp:inline distT="0" distB="0" distL="0" distR="0" wp14:anchorId="31B2826D" wp14:editId="25D1B459">
            <wp:extent cx="5099050" cy="3954780"/>
            <wp:effectExtent l="0" t="0" r="6350" b="7620"/>
            <wp:docPr id="1521385326" name="Chart 1">
              <a:extLst xmlns:a="http://schemas.openxmlformats.org/drawingml/2006/main">
                <a:ext uri="{FF2B5EF4-FFF2-40B4-BE49-F238E27FC236}">
                  <a16:creationId xmlns:a16="http://schemas.microsoft.com/office/drawing/2014/main" id="{CA004874-8CEC-429C-B74A-23EFABC4D76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BB8DDB5" w14:textId="77777777" w:rsidR="00D37E8F" w:rsidRPr="00A0498F" w:rsidRDefault="00D37E8F" w:rsidP="00D37E8F">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605615A3" w14:textId="3627C799" w:rsidR="006B7CC5" w:rsidRPr="00A0498F" w:rsidRDefault="006B7CC5">
      <w:pPr>
        <w:rPr>
          <w:rFonts w:cstheme="minorHAnsi"/>
          <w:b/>
          <w:bCs/>
          <w:sz w:val="20"/>
          <w:szCs w:val="20"/>
        </w:rPr>
      </w:pPr>
    </w:p>
    <w:p w14:paraId="20E349C3" w14:textId="53042B60" w:rsidR="00BD131E" w:rsidRPr="00A0498F" w:rsidRDefault="00254230" w:rsidP="00A0498F">
      <w:pPr>
        <w:pStyle w:val="Heading2"/>
        <w:numPr>
          <w:ilvl w:val="1"/>
          <w:numId w:val="4"/>
        </w:numPr>
        <w:rPr>
          <w:rFonts w:asciiTheme="minorHAnsi" w:hAnsiTheme="minorHAnsi" w:cstheme="minorHAnsi"/>
          <w:i/>
          <w:iCs/>
          <w:sz w:val="20"/>
          <w:szCs w:val="20"/>
        </w:rPr>
      </w:pPr>
      <w:bookmarkStart w:id="10" w:name="_Toc138453604"/>
      <w:r w:rsidRPr="00A0498F">
        <w:rPr>
          <w:rFonts w:asciiTheme="minorHAnsi" w:hAnsiTheme="minorHAnsi" w:cstheme="minorHAnsi"/>
          <w:i/>
          <w:iCs/>
          <w:sz w:val="20"/>
          <w:szCs w:val="20"/>
        </w:rPr>
        <w:t>Recipients of Cross-Border Philanthropy</w:t>
      </w:r>
      <w:bookmarkEnd w:id="10"/>
    </w:p>
    <w:p w14:paraId="2CAD6ACA" w14:textId="61C39E47" w:rsidR="00254230" w:rsidRPr="00A0498F" w:rsidRDefault="00254230" w:rsidP="00A0498F">
      <w:pPr>
        <w:pStyle w:val="Heading3"/>
        <w:numPr>
          <w:ilvl w:val="2"/>
          <w:numId w:val="4"/>
        </w:numPr>
        <w:rPr>
          <w:rFonts w:asciiTheme="minorHAnsi" w:hAnsiTheme="minorHAnsi" w:cstheme="minorHAnsi"/>
          <w:i/>
          <w:iCs/>
          <w:sz w:val="20"/>
          <w:szCs w:val="20"/>
        </w:rPr>
      </w:pPr>
      <w:bookmarkStart w:id="11" w:name="_Toc138453605"/>
      <w:r w:rsidRPr="00A0498F">
        <w:rPr>
          <w:rFonts w:asciiTheme="minorHAnsi" w:hAnsiTheme="minorHAnsi" w:cstheme="minorHAnsi"/>
          <w:i/>
          <w:iCs/>
          <w:sz w:val="20"/>
          <w:szCs w:val="20"/>
        </w:rPr>
        <w:t>Cross-Border Philanthropy by Charitable Cause</w:t>
      </w:r>
      <w:bookmarkEnd w:id="11"/>
    </w:p>
    <w:p w14:paraId="538019DA" w14:textId="72C9FCC5" w:rsidR="00AB6A11" w:rsidRPr="00A0498F" w:rsidRDefault="00AB6A11">
      <w:pPr>
        <w:rPr>
          <w:rFonts w:cstheme="minorHAnsi"/>
          <w:sz w:val="20"/>
          <w:szCs w:val="20"/>
        </w:rPr>
      </w:pPr>
      <w:r w:rsidRPr="00A0498F">
        <w:rPr>
          <w:rFonts w:cstheme="minorHAnsi"/>
          <w:sz w:val="20"/>
          <w:szCs w:val="20"/>
        </w:rPr>
        <w:t xml:space="preserve">Fourteen of the 47 countries included in the global-level research had available data on cross-border giving </w:t>
      </w:r>
      <w:r w:rsidR="00762AF6" w:rsidRPr="00A0498F">
        <w:rPr>
          <w:rFonts w:cstheme="minorHAnsi"/>
          <w:sz w:val="20"/>
          <w:szCs w:val="20"/>
        </w:rPr>
        <w:t>by</w:t>
      </w:r>
      <w:r w:rsidRPr="00A0498F">
        <w:rPr>
          <w:rFonts w:cstheme="minorHAnsi"/>
          <w:sz w:val="20"/>
          <w:szCs w:val="20"/>
        </w:rPr>
        <w:t xml:space="preserve"> charitable causes, and only four were European: Austria, Belgium, France, and Spain. In general, there is a lack of data availability on cross-border giving to specific causes, and most of the available data does not align this information explicitly to the SDGs. This highlights the severe lack of data availability on the SDGs eight years following the adoption of the UN 2030 Agenda for Sustainable Development framework.</w:t>
      </w:r>
    </w:p>
    <w:p w14:paraId="6269D6AE" w14:textId="75AB7E53" w:rsidR="006B7CC5" w:rsidRPr="00A0498F" w:rsidRDefault="006B7CC5">
      <w:pPr>
        <w:rPr>
          <w:rFonts w:cstheme="minorHAnsi"/>
          <w:sz w:val="20"/>
          <w:szCs w:val="20"/>
        </w:rPr>
      </w:pPr>
      <w:r w:rsidRPr="00A0498F">
        <w:rPr>
          <w:rFonts w:cstheme="minorHAnsi"/>
          <w:sz w:val="20"/>
          <w:szCs w:val="20"/>
        </w:rPr>
        <w:t xml:space="preserve">Table </w:t>
      </w:r>
      <w:r w:rsidR="00BC599F" w:rsidRPr="00A0498F">
        <w:rPr>
          <w:rFonts w:cstheme="minorHAnsi"/>
          <w:sz w:val="20"/>
          <w:szCs w:val="20"/>
        </w:rPr>
        <w:t>3</w:t>
      </w:r>
      <w:r w:rsidRPr="00A0498F">
        <w:rPr>
          <w:rFonts w:cstheme="minorHAnsi"/>
          <w:sz w:val="20"/>
          <w:szCs w:val="20"/>
        </w:rPr>
        <w:t xml:space="preserve"> </w:t>
      </w:r>
      <w:r w:rsidR="00AB6A11" w:rsidRPr="00A0498F">
        <w:rPr>
          <w:rFonts w:cstheme="minorHAnsi"/>
          <w:sz w:val="20"/>
          <w:szCs w:val="20"/>
        </w:rPr>
        <w:t xml:space="preserve">shows the charitable causes that were listed as one of the top 3 recipient causes in the specified countries. Health was the </w:t>
      </w:r>
      <w:proofErr w:type="gramStart"/>
      <w:r w:rsidR="00AB6A11" w:rsidRPr="00A0498F">
        <w:rPr>
          <w:rFonts w:cstheme="minorHAnsi"/>
          <w:sz w:val="20"/>
          <w:szCs w:val="20"/>
        </w:rPr>
        <w:t>most commonly supported</w:t>
      </w:r>
      <w:proofErr w:type="gramEnd"/>
      <w:r w:rsidR="00AB6A11" w:rsidRPr="00A0498F">
        <w:rPr>
          <w:rFonts w:cstheme="minorHAnsi"/>
          <w:sz w:val="20"/>
          <w:szCs w:val="20"/>
        </w:rPr>
        <w:t xml:space="preserve"> charitable cause among European countries (3 countries), followed by </w:t>
      </w:r>
      <w:r w:rsidRPr="00A0498F">
        <w:rPr>
          <w:rFonts w:cstheme="minorHAnsi"/>
          <w:sz w:val="20"/>
          <w:szCs w:val="20"/>
        </w:rPr>
        <w:t>e</w:t>
      </w:r>
      <w:r w:rsidR="00AB6A11" w:rsidRPr="00A0498F">
        <w:rPr>
          <w:rFonts w:cstheme="minorHAnsi"/>
          <w:sz w:val="20"/>
          <w:szCs w:val="20"/>
        </w:rPr>
        <w:t xml:space="preserve">ducation (2 countries) and </w:t>
      </w:r>
      <w:r w:rsidRPr="00A0498F">
        <w:rPr>
          <w:rFonts w:cstheme="minorHAnsi"/>
          <w:sz w:val="20"/>
          <w:szCs w:val="20"/>
        </w:rPr>
        <w:t>s</w:t>
      </w:r>
      <w:r w:rsidR="00AB6A11" w:rsidRPr="00A0498F">
        <w:rPr>
          <w:rFonts w:cstheme="minorHAnsi"/>
          <w:sz w:val="20"/>
          <w:szCs w:val="20"/>
        </w:rPr>
        <w:t xml:space="preserve">ocial </w:t>
      </w:r>
      <w:r w:rsidRPr="00A0498F">
        <w:rPr>
          <w:rFonts w:cstheme="minorHAnsi"/>
          <w:sz w:val="20"/>
          <w:szCs w:val="20"/>
        </w:rPr>
        <w:t>i</w:t>
      </w:r>
      <w:r w:rsidR="00AB6A11" w:rsidRPr="00A0498F">
        <w:rPr>
          <w:rFonts w:cstheme="minorHAnsi"/>
          <w:sz w:val="20"/>
          <w:szCs w:val="20"/>
        </w:rPr>
        <w:t xml:space="preserve">nfrastructure (2 countries). Education and health are also the top two causes at the global level, and they align directly with SDG 4 (Quality education) and </w:t>
      </w:r>
      <w:r w:rsidR="002858F2" w:rsidRPr="00A0498F">
        <w:rPr>
          <w:rFonts w:cstheme="minorHAnsi"/>
          <w:sz w:val="20"/>
          <w:szCs w:val="20"/>
        </w:rPr>
        <w:t xml:space="preserve">SDG </w:t>
      </w:r>
      <w:r w:rsidR="00AB6A11" w:rsidRPr="00A0498F">
        <w:rPr>
          <w:rFonts w:cstheme="minorHAnsi"/>
          <w:sz w:val="20"/>
          <w:szCs w:val="20"/>
        </w:rPr>
        <w:t xml:space="preserve">3 (Good health and well-being) respectively. However, at the global level, Austria and France were still the only two countries to contribute to </w:t>
      </w:r>
      <w:r w:rsidRPr="00A0498F">
        <w:rPr>
          <w:rFonts w:cstheme="minorHAnsi"/>
          <w:sz w:val="20"/>
          <w:szCs w:val="20"/>
        </w:rPr>
        <w:t>s</w:t>
      </w:r>
      <w:r w:rsidR="00AB6A11" w:rsidRPr="00A0498F">
        <w:rPr>
          <w:rFonts w:cstheme="minorHAnsi"/>
          <w:sz w:val="20"/>
          <w:szCs w:val="20"/>
        </w:rPr>
        <w:t xml:space="preserve">ocial </w:t>
      </w:r>
      <w:r w:rsidRPr="00A0498F">
        <w:rPr>
          <w:rFonts w:cstheme="minorHAnsi"/>
          <w:sz w:val="20"/>
          <w:szCs w:val="20"/>
        </w:rPr>
        <w:t>i</w:t>
      </w:r>
      <w:r w:rsidR="00AB6A11" w:rsidRPr="00A0498F">
        <w:rPr>
          <w:rFonts w:cstheme="minorHAnsi"/>
          <w:sz w:val="20"/>
          <w:szCs w:val="20"/>
        </w:rPr>
        <w:t>nfrastructure. While religion was the third-most supported cause globally, no European country specified it in their top 3 causes.</w:t>
      </w:r>
    </w:p>
    <w:p w14:paraId="01960F9B" w14:textId="45CF4010" w:rsidR="006B7CC5" w:rsidRPr="00A0498F" w:rsidRDefault="006B7CC5">
      <w:pPr>
        <w:rPr>
          <w:rFonts w:cstheme="minorHAnsi"/>
          <w:b/>
          <w:bCs/>
          <w:sz w:val="20"/>
          <w:szCs w:val="20"/>
        </w:rPr>
      </w:pPr>
      <w:r w:rsidRPr="00A0498F">
        <w:rPr>
          <w:rFonts w:cstheme="minorHAnsi"/>
          <w:b/>
          <w:bCs/>
          <w:sz w:val="20"/>
          <w:szCs w:val="20"/>
        </w:rPr>
        <w:lastRenderedPageBreak/>
        <w:t xml:space="preserve">Table </w:t>
      </w:r>
      <w:r w:rsidR="00BC599F" w:rsidRPr="00A0498F">
        <w:rPr>
          <w:rFonts w:cstheme="minorHAnsi"/>
          <w:b/>
          <w:bCs/>
          <w:sz w:val="20"/>
          <w:szCs w:val="20"/>
        </w:rPr>
        <w:t>3</w:t>
      </w:r>
      <w:r w:rsidRPr="00A0498F">
        <w:rPr>
          <w:rFonts w:cstheme="minorHAnsi"/>
          <w:b/>
          <w:bCs/>
          <w:sz w:val="20"/>
          <w:szCs w:val="20"/>
        </w:rPr>
        <w:t>: DATA ON CROSS-BORDER PHILANTHROPIC OUTFLOWS BY TOP CHARITABLE CAUSE</w:t>
      </w:r>
    </w:p>
    <w:tbl>
      <w:tblPr>
        <w:tblStyle w:val="TableGrid"/>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765"/>
        <w:gridCol w:w="1440"/>
        <w:gridCol w:w="2340"/>
      </w:tblGrid>
      <w:tr w:rsidR="009F338D" w:rsidRPr="00A0498F" w14:paraId="713391EF" w14:textId="77777777" w:rsidTr="000A6044">
        <w:trPr>
          <w:jc w:val="center"/>
        </w:trPr>
        <w:tc>
          <w:tcPr>
            <w:tcW w:w="4765" w:type="dxa"/>
          </w:tcPr>
          <w:p w14:paraId="66535AF5" w14:textId="5B66B9E1" w:rsidR="009F338D" w:rsidRPr="00A0498F" w:rsidRDefault="009F338D">
            <w:pPr>
              <w:rPr>
                <w:rFonts w:cstheme="minorHAnsi"/>
                <w:i/>
                <w:iCs/>
                <w:sz w:val="20"/>
                <w:szCs w:val="20"/>
              </w:rPr>
            </w:pPr>
            <w:r w:rsidRPr="00A0498F">
              <w:rPr>
                <w:rFonts w:cstheme="minorHAnsi"/>
                <w:i/>
                <w:iCs/>
                <w:sz w:val="20"/>
                <w:szCs w:val="20"/>
              </w:rPr>
              <w:t>Charitable Causes</w:t>
            </w:r>
          </w:p>
        </w:tc>
        <w:tc>
          <w:tcPr>
            <w:tcW w:w="1440" w:type="dxa"/>
          </w:tcPr>
          <w:p w14:paraId="26D564F0" w14:textId="0908E41E" w:rsidR="009F338D" w:rsidRPr="00A0498F" w:rsidRDefault="009F338D" w:rsidP="00BC599F">
            <w:pPr>
              <w:jc w:val="center"/>
              <w:rPr>
                <w:rFonts w:cstheme="minorHAnsi"/>
                <w:i/>
                <w:iCs/>
                <w:sz w:val="20"/>
                <w:szCs w:val="20"/>
              </w:rPr>
            </w:pPr>
            <w:r w:rsidRPr="00A0498F">
              <w:rPr>
                <w:rFonts w:cstheme="minorHAnsi"/>
                <w:i/>
                <w:iCs/>
                <w:sz w:val="20"/>
                <w:szCs w:val="20"/>
              </w:rPr>
              <w:t>Number of Countries</w:t>
            </w:r>
          </w:p>
        </w:tc>
        <w:tc>
          <w:tcPr>
            <w:tcW w:w="2340" w:type="dxa"/>
          </w:tcPr>
          <w:p w14:paraId="638E0F4C" w14:textId="5C670704" w:rsidR="009F338D" w:rsidRPr="00A0498F" w:rsidRDefault="009F338D" w:rsidP="00BC599F">
            <w:pPr>
              <w:jc w:val="center"/>
              <w:rPr>
                <w:rFonts w:cstheme="minorHAnsi"/>
                <w:i/>
                <w:iCs/>
                <w:sz w:val="20"/>
                <w:szCs w:val="20"/>
              </w:rPr>
            </w:pPr>
            <w:r w:rsidRPr="00A0498F">
              <w:rPr>
                <w:rFonts w:cstheme="minorHAnsi"/>
                <w:i/>
                <w:iCs/>
                <w:sz w:val="20"/>
                <w:szCs w:val="20"/>
              </w:rPr>
              <w:t>Countries</w:t>
            </w:r>
          </w:p>
        </w:tc>
      </w:tr>
      <w:tr w:rsidR="009F338D" w:rsidRPr="00A0498F" w14:paraId="03B2C6BF" w14:textId="77777777" w:rsidTr="000A6044">
        <w:trPr>
          <w:jc w:val="center"/>
        </w:trPr>
        <w:tc>
          <w:tcPr>
            <w:tcW w:w="4765" w:type="dxa"/>
          </w:tcPr>
          <w:p w14:paraId="62726167" w14:textId="40729C59" w:rsidR="009F338D" w:rsidRPr="00A0498F" w:rsidRDefault="009F338D">
            <w:pPr>
              <w:rPr>
                <w:rFonts w:cstheme="minorHAnsi"/>
                <w:b/>
                <w:bCs/>
                <w:sz w:val="20"/>
                <w:szCs w:val="20"/>
              </w:rPr>
            </w:pPr>
            <w:r w:rsidRPr="00A0498F">
              <w:rPr>
                <w:rFonts w:cstheme="minorHAnsi"/>
                <w:b/>
                <w:bCs/>
                <w:sz w:val="20"/>
                <w:szCs w:val="20"/>
              </w:rPr>
              <w:t>Health</w:t>
            </w:r>
          </w:p>
        </w:tc>
        <w:tc>
          <w:tcPr>
            <w:tcW w:w="1440" w:type="dxa"/>
          </w:tcPr>
          <w:p w14:paraId="590F95B1" w14:textId="52DFFCD0" w:rsidR="009F338D" w:rsidRPr="00A0498F" w:rsidRDefault="009F338D" w:rsidP="00BC599F">
            <w:pPr>
              <w:jc w:val="center"/>
              <w:rPr>
                <w:rFonts w:cstheme="minorHAnsi"/>
                <w:sz w:val="20"/>
                <w:szCs w:val="20"/>
              </w:rPr>
            </w:pPr>
            <w:r w:rsidRPr="00A0498F">
              <w:rPr>
                <w:rFonts w:cstheme="minorHAnsi"/>
                <w:sz w:val="20"/>
                <w:szCs w:val="20"/>
              </w:rPr>
              <w:t>3</w:t>
            </w:r>
          </w:p>
        </w:tc>
        <w:tc>
          <w:tcPr>
            <w:tcW w:w="2340" w:type="dxa"/>
          </w:tcPr>
          <w:p w14:paraId="45EE8902" w14:textId="5903338C" w:rsidR="009F338D" w:rsidRPr="00A0498F" w:rsidRDefault="009F338D">
            <w:pPr>
              <w:rPr>
                <w:rFonts w:cstheme="minorHAnsi"/>
                <w:sz w:val="20"/>
                <w:szCs w:val="20"/>
              </w:rPr>
            </w:pPr>
            <w:r w:rsidRPr="00A0498F">
              <w:rPr>
                <w:rFonts w:cstheme="minorHAnsi"/>
                <w:sz w:val="20"/>
                <w:szCs w:val="20"/>
              </w:rPr>
              <w:t>Austria, Belgium, Spain</w:t>
            </w:r>
          </w:p>
        </w:tc>
      </w:tr>
      <w:tr w:rsidR="009F338D" w:rsidRPr="00A0498F" w14:paraId="0A6971B0" w14:textId="77777777" w:rsidTr="000A6044">
        <w:trPr>
          <w:jc w:val="center"/>
        </w:trPr>
        <w:tc>
          <w:tcPr>
            <w:tcW w:w="4765" w:type="dxa"/>
          </w:tcPr>
          <w:p w14:paraId="7C7F4E92" w14:textId="0185B61A" w:rsidR="009F338D" w:rsidRPr="00A0498F" w:rsidRDefault="009F338D">
            <w:pPr>
              <w:rPr>
                <w:rFonts w:cstheme="minorHAnsi"/>
                <w:b/>
                <w:bCs/>
                <w:sz w:val="20"/>
                <w:szCs w:val="20"/>
              </w:rPr>
            </w:pPr>
            <w:r w:rsidRPr="00A0498F">
              <w:rPr>
                <w:rFonts w:cstheme="minorHAnsi"/>
                <w:b/>
                <w:bCs/>
                <w:sz w:val="20"/>
                <w:szCs w:val="20"/>
              </w:rPr>
              <w:t>Education</w:t>
            </w:r>
          </w:p>
        </w:tc>
        <w:tc>
          <w:tcPr>
            <w:tcW w:w="1440" w:type="dxa"/>
          </w:tcPr>
          <w:p w14:paraId="3AF6384A" w14:textId="75F29AC4" w:rsidR="009F338D" w:rsidRPr="00A0498F" w:rsidRDefault="009F338D" w:rsidP="00BC599F">
            <w:pPr>
              <w:jc w:val="center"/>
              <w:rPr>
                <w:rFonts w:cstheme="minorHAnsi"/>
                <w:sz w:val="20"/>
                <w:szCs w:val="20"/>
              </w:rPr>
            </w:pPr>
            <w:r w:rsidRPr="00A0498F">
              <w:rPr>
                <w:rFonts w:cstheme="minorHAnsi"/>
                <w:sz w:val="20"/>
                <w:szCs w:val="20"/>
              </w:rPr>
              <w:t>2</w:t>
            </w:r>
          </w:p>
        </w:tc>
        <w:tc>
          <w:tcPr>
            <w:tcW w:w="2340" w:type="dxa"/>
          </w:tcPr>
          <w:p w14:paraId="12DA5576" w14:textId="44E522C4" w:rsidR="009F338D" w:rsidRPr="00A0498F" w:rsidRDefault="009F338D">
            <w:pPr>
              <w:rPr>
                <w:rFonts w:cstheme="minorHAnsi"/>
                <w:sz w:val="20"/>
                <w:szCs w:val="20"/>
              </w:rPr>
            </w:pPr>
            <w:r w:rsidRPr="00A0498F">
              <w:rPr>
                <w:rFonts w:cstheme="minorHAnsi"/>
                <w:sz w:val="20"/>
                <w:szCs w:val="20"/>
              </w:rPr>
              <w:t>France, Spain</w:t>
            </w:r>
          </w:p>
        </w:tc>
      </w:tr>
      <w:tr w:rsidR="009F338D" w:rsidRPr="00A0498F" w14:paraId="298A77D4" w14:textId="77777777" w:rsidTr="000A6044">
        <w:trPr>
          <w:jc w:val="center"/>
        </w:trPr>
        <w:tc>
          <w:tcPr>
            <w:tcW w:w="4765" w:type="dxa"/>
          </w:tcPr>
          <w:p w14:paraId="0A3B2177" w14:textId="5BC2AA4A" w:rsidR="009F338D" w:rsidRPr="00A0498F" w:rsidRDefault="009F338D">
            <w:pPr>
              <w:rPr>
                <w:rFonts w:cstheme="minorHAnsi"/>
                <w:b/>
                <w:bCs/>
                <w:sz w:val="20"/>
                <w:szCs w:val="20"/>
              </w:rPr>
            </w:pPr>
            <w:r w:rsidRPr="00A0498F">
              <w:rPr>
                <w:rFonts w:cstheme="minorHAnsi"/>
                <w:b/>
                <w:bCs/>
                <w:sz w:val="20"/>
                <w:szCs w:val="20"/>
              </w:rPr>
              <w:t>Social infrastructure</w:t>
            </w:r>
          </w:p>
        </w:tc>
        <w:tc>
          <w:tcPr>
            <w:tcW w:w="1440" w:type="dxa"/>
          </w:tcPr>
          <w:p w14:paraId="197F925F" w14:textId="77283DEC" w:rsidR="009F338D" w:rsidRPr="00A0498F" w:rsidRDefault="009F338D" w:rsidP="00BC599F">
            <w:pPr>
              <w:jc w:val="center"/>
              <w:rPr>
                <w:rFonts w:cstheme="minorHAnsi"/>
                <w:sz w:val="20"/>
                <w:szCs w:val="20"/>
              </w:rPr>
            </w:pPr>
            <w:r w:rsidRPr="00A0498F">
              <w:rPr>
                <w:rFonts w:cstheme="minorHAnsi"/>
                <w:sz w:val="20"/>
                <w:szCs w:val="20"/>
              </w:rPr>
              <w:t>2</w:t>
            </w:r>
          </w:p>
        </w:tc>
        <w:tc>
          <w:tcPr>
            <w:tcW w:w="2340" w:type="dxa"/>
          </w:tcPr>
          <w:p w14:paraId="4E1F0C92" w14:textId="4E74FA60" w:rsidR="009F338D" w:rsidRPr="00A0498F" w:rsidRDefault="009F338D">
            <w:pPr>
              <w:rPr>
                <w:rFonts w:cstheme="minorHAnsi"/>
                <w:sz w:val="20"/>
                <w:szCs w:val="20"/>
              </w:rPr>
            </w:pPr>
            <w:r w:rsidRPr="00A0498F">
              <w:rPr>
                <w:rFonts w:cstheme="minorHAnsi"/>
                <w:sz w:val="20"/>
                <w:szCs w:val="20"/>
              </w:rPr>
              <w:t>Austria, France</w:t>
            </w:r>
          </w:p>
        </w:tc>
      </w:tr>
      <w:tr w:rsidR="009F338D" w:rsidRPr="00A0498F" w14:paraId="301AAD87" w14:textId="77777777" w:rsidTr="000A6044">
        <w:trPr>
          <w:jc w:val="center"/>
        </w:trPr>
        <w:tc>
          <w:tcPr>
            <w:tcW w:w="4765" w:type="dxa"/>
          </w:tcPr>
          <w:p w14:paraId="4594B6D7" w14:textId="214A66F7" w:rsidR="009F338D" w:rsidRPr="00A0498F" w:rsidRDefault="009F338D">
            <w:pPr>
              <w:rPr>
                <w:rFonts w:cstheme="minorHAnsi"/>
                <w:b/>
                <w:bCs/>
                <w:sz w:val="20"/>
                <w:szCs w:val="20"/>
              </w:rPr>
            </w:pPr>
            <w:r w:rsidRPr="00A0498F">
              <w:rPr>
                <w:rFonts w:cstheme="minorHAnsi"/>
                <w:b/>
                <w:bCs/>
                <w:sz w:val="20"/>
                <w:szCs w:val="20"/>
              </w:rPr>
              <w:t>Humanitarian Aid and Emergency Response (including COVID-19 responses)</w:t>
            </w:r>
          </w:p>
        </w:tc>
        <w:tc>
          <w:tcPr>
            <w:tcW w:w="1440" w:type="dxa"/>
          </w:tcPr>
          <w:p w14:paraId="753723F4" w14:textId="5DDC7627" w:rsidR="009F338D" w:rsidRPr="00A0498F" w:rsidRDefault="009F338D" w:rsidP="00BC599F">
            <w:pPr>
              <w:jc w:val="center"/>
              <w:rPr>
                <w:rFonts w:cstheme="minorHAnsi"/>
                <w:sz w:val="20"/>
                <w:szCs w:val="20"/>
              </w:rPr>
            </w:pPr>
            <w:r w:rsidRPr="00A0498F">
              <w:rPr>
                <w:rFonts w:cstheme="minorHAnsi"/>
                <w:sz w:val="20"/>
                <w:szCs w:val="20"/>
              </w:rPr>
              <w:t>1</w:t>
            </w:r>
          </w:p>
        </w:tc>
        <w:tc>
          <w:tcPr>
            <w:tcW w:w="2340" w:type="dxa"/>
          </w:tcPr>
          <w:p w14:paraId="5F6B3D47" w14:textId="6E15C4BA" w:rsidR="009F338D" w:rsidRPr="00A0498F" w:rsidRDefault="009F338D">
            <w:pPr>
              <w:rPr>
                <w:rFonts w:cstheme="minorHAnsi"/>
                <w:sz w:val="20"/>
                <w:szCs w:val="20"/>
              </w:rPr>
            </w:pPr>
            <w:r w:rsidRPr="00A0498F">
              <w:rPr>
                <w:rFonts w:cstheme="minorHAnsi"/>
                <w:sz w:val="20"/>
                <w:szCs w:val="20"/>
              </w:rPr>
              <w:t>Austria</w:t>
            </w:r>
          </w:p>
        </w:tc>
      </w:tr>
      <w:tr w:rsidR="009F338D" w:rsidRPr="00A0498F" w14:paraId="422DFB9F" w14:textId="77777777" w:rsidTr="000A6044">
        <w:trPr>
          <w:jc w:val="center"/>
        </w:trPr>
        <w:tc>
          <w:tcPr>
            <w:tcW w:w="4765" w:type="dxa"/>
          </w:tcPr>
          <w:p w14:paraId="562EECE7" w14:textId="4E70A7BE" w:rsidR="009F338D" w:rsidRPr="00A0498F" w:rsidRDefault="009F338D">
            <w:pPr>
              <w:rPr>
                <w:rFonts w:cstheme="minorHAnsi"/>
                <w:b/>
                <w:bCs/>
                <w:sz w:val="20"/>
                <w:szCs w:val="20"/>
              </w:rPr>
            </w:pPr>
            <w:r w:rsidRPr="00A0498F">
              <w:rPr>
                <w:rFonts w:cstheme="minorHAnsi"/>
                <w:b/>
                <w:bCs/>
                <w:sz w:val="20"/>
                <w:szCs w:val="20"/>
              </w:rPr>
              <w:t>International Affairs and Development</w:t>
            </w:r>
          </w:p>
        </w:tc>
        <w:tc>
          <w:tcPr>
            <w:tcW w:w="1440" w:type="dxa"/>
          </w:tcPr>
          <w:p w14:paraId="61433C5F" w14:textId="6DAD93E7" w:rsidR="009F338D" w:rsidRPr="00A0498F" w:rsidRDefault="009F338D" w:rsidP="00BC599F">
            <w:pPr>
              <w:jc w:val="center"/>
              <w:rPr>
                <w:rFonts w:cstheme="minorHAnsi"/>
                <w:sz w:val="20"/>
                <w:szCs w:val="20"/>
              </w:rPr>
            </w:pPr>
            <w:r w:rsidRPr="00A0498F">
              <w:rPr>
                <w:rFonts w:cstheme="minorHAnsi"/>
                <w:sz w:val="20"/>
                <w:szCs w:val="20"/>
              </w:rPr>
              <w:t>1</w:t>
            </w:r>
          </w:p>
        </w:tc>
        <w:tc>
          <w:tcPr>
            <w:tcW w:w="2340" w:type="dxa"/>
          </w:tcPr>
          <w:p w14:paraId="6B6FFC46" w14:textId="39D742FE" w:rsidR="009F338D" w:rsidRPr="00A0498F" w:rsidRDefault="009F338D">
            <w:pPr>
              <w:rPr>
                <w:rFonts w:cstheme="minorHAnsi"/>
                <w:sz w:val="20"/>
                <w:szCs w:val="20"/>
              </w:rPr>
            </w:pPr>
            <w:r w:rsidRPr="00A0498F">
              <w:rPr>
                <w:rFonts w:cstheme="minorHAnsi"/>
                <w:sz w:val="20"/>
                <w:szCs w:val="20"/>
              </w:rPr>
              <w:t>France</w:t>
            </w:r>
          </w:p>
        </w:tc>
      </w:tr>
    </w:tbl>
    <w:p w14:paraId="3EA4F5CA" w14:textId="77777777" w:rsidR="00BC599F" w:rsidRPr="00A0498F" w:rsidRDefault="00BC599F" w:rsidP="00BC599F">
      <w:pPr>
        <w:rPr>
          <w:rFonts w:cstheme="minorHAnsi"/>
          <w:sz w:val="20"/>
          <w:szCs w:val="20"/>
        </w:rPr>
      </w:pPr>
    </w:p>
    <w:p w14:paraId="173DE8EE" w14:textId="2C5F1CF8" w:rsidR="00AB6A11" w:rsidRPr="00A0498F" w:rsidRDefault="00BC599F" w:rsidP="00BC599F">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24AFB1D3" w14:textId="55F7BC9A" w:rsidR="00254230" w:rsidRPr="00A0498F" w:rsidRDefault="00254230" w:rsidP="00A0498F">
      <w:pPr>
        <w:pStyle w:val="Heading3"/>
        <w:numPr>
          <w:ilvl w:val="2"/>
          <w:numId w:val="4"/>
        </w:numPr>
        <w:rPr>
          <w:rFonts w:asciiTheme="minorHAnsi" w:hAnsiTheme="minorHAnsi" w:cstheme="minorHAnsi"/>
          <w:i/>
          <w:iCs/>
          <w:sz w:val="20"/>
          <w:szCs w:val="20"/>
        </w:rPr>
      </w:pPr>
      <w:bookmarkStart w:id="12" w:name="_Toc138453606"/>
      <w:r w:rsidRPr="00A0498F">
        <w:rPr>
          <w:rFonts w:asciiTheme="minorHAnsi" w:hAnsiTheme="minorHAnsi" w:cstheme="minorHAnsi"/>
          <w:i/>
          <w:iCs/>
          <w:sz w:val="20"/>
          <w:szCs w:val="20"/>
        </w:rPr>
        <w:t>Recipient Regions of Cross-Border Philanthropy</w:t>
      </w:r>
      <w:bookmarkEnd w:id="12"/>
    </w:p>
    <w:p w14:paraId="4AF2B5F8" w14:textId="512B982C" w:rsidR="006501F7" w:rsidRPr="00A0498F" w:rsidRDefault="006501F7">
      <w:pPr>
        <w:rPr>
          <w:rFonts w:cstheme="minorHAnsi"/>
          <w:sz w:val="20"/>
          <w:szCs w:val="20"/>
        </w:rPr>
      </w:pPr>
      <w:r w:rsidRPr="00A0498F">
        <w:rPr>
          <w:rFonts w:cstheme="minorHAnsi"/>
          <w:sz w:val="20"/>
          <w:szCs w:val="20"/>
        </w:rPr>
        <w:t xml:space="preserve">Data on cross-border giving to specific beneficiary countries or regions is also limited: 19 of the 47 countries at the global level had available data broken down by recipient regions, of which 9 were European. </w:t>
      </w:r>
    </w:p>
    <w:p w14:paraId="1136E00E" w14:textId="1FFB0B5F" w:rsidR="00BC599F" w:rsidRPr="00A0498F" w:rsidRDefault="00BC599F">
      <w:pPr>
        <w:rPr>
          <w:rFonts w:cstheme="minorHAnsi"/>
          <w:sz w:val="20"/>
          <w:szCs w:val="20"/>
        </w:rPr>
      </w:pPr>
      <w:r w:rsidRPr="00A0498F">
        <w:rPr>
          <w:rFonts w:cstheme="minorHAnsi"/>
          <w:sz w:val="20"/>
          <w:szCs w:val="20"/>
        </w:rPr>
        <w:t>Table 4</w:t>
      </w:r>
      <w:r w:rsidR="006501F7" w:rsidRPr="00A0498F">
        <w:rPr>
          <w:rFonts w:cstheme="minorHAnsi"/>
          <w:sz w:val="20"/>
          <w:szCs w:val="20"/>
        </w:rPr>
        <w:t xml:space="preserve"> shows recipient regions of cross-border philanthropy by the number of European countries that specified it among the top 3 recipients of their cross-border philanthropy. The top regional recipient was Europe (7 countries), followed by Africa (6 countries) and the Middle East and North Africa (3 countries). While Europe and Africa were among the top 3 recipient regions at the global level, Asia was more commonly supported than </w:t>
      </w:r>
      <w:proofErr w:type="gramStart"/>
      <w:r w:rsidRPr="00A0498F">
        <w:rPr>
          <w:rFonts w:cstheme="minorHAnsi"/>
          <w:sz w:val="20"/>
          <w:szCs w:val="20"/>
        </w:rPr>
        <w:t>Middle</w:t>
      </w:r>
      <w:proofErr w:type="gramEnd"/>
      <w:r w:rsidRPr="00A0498F">
        <w:rPr>
          <w:rFonts w:cstheme="minorHAnsi"/>
          <w:sz w:val="20"/>
          <w:szCs w:val="20"/>
        </w:rPr>
        <w:t xml:space="preserve"> East and North Africa</w:t>
      </w:r>
      <w:r w:rsidR="006501F7" w:rsidRPr="00A0498F">
        <w:rPr>
          <w:rFonts w:cstheme="minorHAnsi"/>
          <w:sz w:val="20"/>
          <w:szCs w:val="20"/>
        </w:rPr>
        <w:t xml:space="preserve">. </w:t>
      </w:r>
    </w:p>
    <w:p w14:paraId="4B1B6408" w14:textId="7CEFED1C" w:rsidR="00BC599F" w:rsidRPr="00A0498F" w:rsidRDefault="00BC599F" w:rsidP="00BC599F">
      <w:pPr>
        <w:rPr>
          <w:rFonts w:cstheme="minorHAnsi"/>
          <w:b/>
          <w:bCs/>
          <w:sz w:val="20"/>
          <w:szCs w:val="20"/>
        </w:rPr>
      </w:pPr>
      <w:r w:rsidRPr="00A0498F">
        <w:rPr>
          <w:rFonts w:cstheme="minorHAnsi"/>
          <w:b/>
          <w:bCs/>
          <w:sz w:val="20"/>
          <w:szCs w:val="20"/>
        </w:rPr>
        <w:t>Table 4: DATA ON CROSS-BORDER PHILANTHROPIC OUTFLOWS BY TOP RECIPIENT REGION</w:t>
      </w:r>
    </w:p>
    <w:tbl>
      <w:tblPr>
        <w:tblStyle w:val="TableGrid"/>
        <w:tblW w:w="0" w:type="auto"/>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790"/>
        <w:gridCol w:w="1260"/>
        <w:gridCol w:w="4495"/>
      </w:tblGrid>
      <w:tr w:rsidR="00BC599F" w:rsidRPr="00A0498F" w14:paraId="0AE1B3C9" w14:textId="77777777" w:rsidTr="000A6044">
        <w:trPr>
          <w:jc w:val="center"/>
        </w:trPr>
        <w:tc>
          <w:tcPr>
            <w:tcW w:w="2790" w:type="dxa"/>
          </w:tcPr>
          <w:p w14:paraId="3144F218" w14:textId="5D9E8DE2" w:rsidR="00BC599F" w:rsidRPr="00A0498F" w:rsidRDefault="00BC599F" w:rsidP="00BA5E45">
            <w:pPr>
              <w:rPr>
                <w:rFonts w:cstheme="minorHAnsi"/>
                <w:i/>
                <w:iCs/>
                <w:sz w:val="20"/>
                <w:szCs w:val="20"/>
              </w:rPr>
            </w:pPr>
            <w:r w:rsidRPr="00A0498F">
              <w:rPr>
                <w:rFonts w:cstheme="minorHAnsi"/>
                <w:i/>
                <w:iCs/>
                <w:sz w:val="20"/>
                <w:szCs w:val="20"/>
              </w:rPr>
              <w:t>Recipient Region</w:t>
            </w:r>
          </w:p>
        </w:tc>
        <w:tc>
          <w:tcPr>
            <w:tcW w:w="1260" w:type="dxa"/>
          </w:tcPr>
          <w:p w14:paraId="3D084841" w14:textId="77777777" w:rsidR="00BC599F" w:rsidRPr="00A0498F" w:rsidRDefault="00BC599F" w:rsidP="00BA5E45">
            <w:pPr>
              <w:jc w:val="center"/>
              <w:rPr>
                <w:rFonts w:cstheme="minorHAnsi"/>
                <w:i/>
                <w:iCs/>
                <w:sz w:val="20"/>
                <w:szCs w:val="20"/>
              </w:rPr>
            </w:pPr>
            <w:r w:rsidRPr="00A0498F">
              <w:rPr>
                <w:rFonts w:cstheme="minorHAnsi"/>
                <w:i/>
                <w:iCs/>
                <w:sz w:val="20"/>
                <w:szCs w:val="20"/>
              </w:rPr>
              <w:t>Number of Countries</w:t>
            </w:r>
          </w:p>
        </w:tc>
        <w:tc>
          <w:tcPr>
            <w:tcW w:w="4495" w:type="dxa"/>
          </w:tcPr>
          <w:p w14:paraId="01C8AEAC" w14:textId="77777777" w:rsidR="00BC599F" w:rsidRPr="00A0498F" w:rsidRDefault="00BC599F" w:rsidP="00BA5E45">
            <w:pPr>
              <w:jc w:val="center"/>
              <w:rPr>
                <w:rFonts w:cstheme="minorHAnsi"/>
                <w:i/>
                <w:iCs/>
                <w:sz w:val="20"/>
                <w:szCs w:val="20"/>
              </w:rPr>
            </w:pPr>
            <w:r w:rsidRPr="00A0498F">
              <w:rPr>
                <w:rFonts w:cstheme="minorHAnsi"/>
                <w:i/>
                <w:iCs/>
                <w:sz w:val="20"/>
                <w:szCs w:val="20"/>
              </w:rPr>
              <w:t>Countries</w:t>
            </w:r>
          </w:p>
        </w:tc>
      </w:tr>
      <w:tr w:rsidR="00BC599F" w:rsidRPr="00A0498F" w14:paraId="5CD46388" w14:textId="77777777" w:rsidTr="000A6044">
        <w:trPr>
          <w:jc w:val="center"/>
        </w:trPr>
        <w:tc>
          <w:tcPr>
            <w:tcW w:w="2790" w:type="dxa"/>
          </w:tcPr>
          <w:p w14:paraId="0FBADB73" w14:textId="26E905CC" w:rsidR="00BC599F" w:rsidRPr="00A0498F" w:rsidRDefault="00BC599F" w:rsidP="00BA5E45">
            <w:pPr>
              <w:rPr>
                <w:rFonts w:cstheme="minorHAnsi"/>
                <w:b/>
                <w:bCs/>
                <w:sz w:val="20"/>
                <w:szCs w:val="20"/>
              </w:rPr>
            </w:pPr>
            <w:r w:rsidRPr="00A0498F">
              <w:rPr>
                <w:rFonts w:cstheme="minorHAnsi"/>
                <w:b/>
                <w:bCs/>
                <w:sz w:val="20"/>
                <w:szCs w:val="20"/>
              </w:rPr>
              <w:t>Europe</w:t>
            </w:r>
          </w:p>
        </w:tc>
        <w:tc>
          <w:tcPr>
            <w:tcW w:w="1260" w:type="dxa"/>
          </w:tcPr>
          <w:p w14:paraId="0E818271" w14:textId="6BD58942" w:rsidR="00BC599F" w:rsidRPr="00A0498F" w:rsidRDefault="00BC599F" w:rsidP="00BA5E45">
            <w:pPr>
              <w:jc w:val="center"/>
              <w:rPr>
                <w:rFonts w:cstheme="minorHAnsi"/>
                <w:sz w:val="20"/>
                <w:szCs w:val="20"/>
              </w:rPr>
            </w:pPr>
            <w:r w:rsidRPr="00A0498F">
              <w:rPr>
                <w:rFonts w:cstheme="minorHAnsi"/>
                <w:sz w:val="20"/>
                <w:szCs w:val="20"/>
              </w:rPr>
              <w:t>7</w:t>
            </w:r>
          </w:p>
        </w:tc>
        <w:tc>
          <w:tcPr>
            <w:tcW w:w="4495" w:type="dxa"/>
          </w:tcPr>
          <w:p w14:paraId="1975F212" w14:textId="3FBC4FA8" w:rsidR="00BC599F" w:rsidRPr="00A0498F" w:rsidRDefault="00BC599F" w:rsidP="00BA5E45">
            <w:pPr>
              <w:rPr>
                <w:rFonts w:cstheme="minorHAnsi"/>
                <w:sz w:val="20"/>
                <w:szCs w:val="20"/>
                <w:lang w:val="pt-PT"/>
              </w:rPr>
            </w:pPr>
            <w:r w:rsidRPr="00A0498F">
              <w:rPr>
                <w:rFonts w:cstheme="minorHAnsi"/>
                <w:sz w:val="20"/>
                <w:szCs w:val="20"/>
                <w:lang w:val="pt-PT"/>
              </w:rPr>
              <w:t>Austria, Bosnia &amp; Herzegovina, Croatia, Montenegro, North Macedonia, Serbia, Türkiye</w:t>
            </w:r>
          </w:p>
        </w:tc>
      </w:tr>
      <w:tr w:rsidR="00BC599F" w:rsidRPr="00A0498F" w14:paraId="2E299A9C" w14:textId="77777777" w:rsidTr="000A6044">
        <w:trPr>
          <w:jc w:val="center"/>
        </w:trPr>
        <w:tc>
          <w:tcPr>
            <w:tcW w:w="2790" w:type="dxa"/>
          </w:tcPr>
          <w:p w14:paraId="5AFB496F" w14:textId="5BDC72D6" w:rsidR="00BC599F" w:rsidRPr="00A0498F" w:rsidRDefault="00BC599F" w:rsidP="00BA5E45">
            <w:pPr>
              <w:rPr>
                <w:rFonts w:cstheme="minorHAnsi"/>
                <w:b/>
                <w:bCs/>
                <w:sz w:val="20"/>
                <w:szCs w:val="20"/>
              </w:rPr>
            </w:pPr>
            <w:r w:rsidRPr="00A0498F">
              <w:rPr>
                <w:rFonts w:cstheme="minorHAnsi"/>
                <w:b/>
                <w:bCs/>
                <w:sz w:val="20"/>
                <w:szCs w:val="20"/>
              </w:rPr>
              <w:t>Africa</w:t>
            </w:r>
          </w:p>
        </w:tc>
        <w:tc>
          <w:tcPr>
            <w:tcW w:w="1260" w:type="dxa"/>
          </w:tcPr>
          <w:p w14:paraId="753D1491" w14:textId="5F1B861E" w:rsidR="00BC599F" w:rsidRPr="00A0498F" w:rsidRDefault="00BC599F" w:rsidP="00BA5E45">
            <w:pPr>
              <w:jc w:val="center"/>
              <w:rPr>
                <w:rFonts w:cstheme="minorHAnsi"/>
                <w:sz w:val="20"/>
                <w:szCs w:val="20"/>
              </w:rPr>
            </w:pPr>
            <w:r w:rsidRPr="00A0498F">
              <w:rPr>
                <w:rFonts w:cstheme="minorHAnsi"/>
                <w:sz w:val="20"/>
                <w:szCs w:val="20"/>
              </w:rPr>
              <w:t>6</w:t>
            </w:r>
          </w:p>
        </w:tc>
        <w:tc>
          <w:tcPr>
            <w:tcW w:w="4495" w:type="dxa"/>
          </w:tcPr>
          <w:p w14:paraId="434AF86F" w14:textId="1CC50C12" w:rsidR="00BC599F" w:rsidRPr="00A0498F" w:rsidRDefault="00BC599F" w:rsidP="00BA5E45">
            <w:pPr>
              <w:rPr>
                <w:rFonts w:cstheme="minorHAnsi"/>
                <w:sz w:val="20"/>
                <w:szCs w:val="20"/>
              </w:rPr>
            </w:pPr>
            <w:r w:rsidRPr="00A0498F">
              <w:rPr>
                <w:rFonts w:cstheme="minorHAnsi"/>
                <w:sz w:val="20"/>
                <w:szCs w:val="20"/>
              </w:rPr>
              <w:t>Austria, Bosnia &amp; Herzegovina, Croatia, France, Spain, Türkiye</w:t>
            </w:r>
          </w:p>
        </w:tc>
      </w:tr>
      <w:tr w:rsidR="00BC599F" w:rsidRPr="00A0498F" w14:paraId="4F2B84B8" w14:textId="77777777" w:rsidTr="000A6044">
        <w:trPr>
          <w:jc w:val="center"/>
        </w:trPr>
        <w:tc>
          <w:tcPr>
            <w:tcW w:w="2790" w:type="dxa"/>
          </w:tcPr>
          <w:p w14:paraId="0D1D15D0" w14:textId="7E4E2940" w:rsidR="00BC599F" w:rsidRPr="00A0498F" w:rsidRDefault="00BC599F" w:rsidP="00BA5E45">
            <w:pPr>
              <w:rPr>
                <w:rFonts w:cstheme="minorHAnsi"/>
                <w:b/>
                <w:bCs/>
                <w:sz w:val="20"/>
                <w:szCs w:val="20"/>
              </w:rPr>
            </w:pPr>
            <w:r w:rsidRPr="00A0498F">
              <w:rPr>
                <w:rFonts w:cstheme="minorHAnsi"/>
                <w:b/>
                <w:bCs/>
                <w:sz w:val="20"/>
                <w:szCs w:val="20"/>
              </w:rPr>
              <w:t>Middle East &amp; North Africa</w:t>
            </w:r>
          </w:p>
        </w:tc>
        <w:tc>
          <w:tcPr>
            <w:tcW w:w="1260" w:type="dxa"/>
          </w:tcPr>
          <w:p w14:paraId="2FDA7673" w14:textId="3DF50324" w:rsidR="00BC599F" w:rsidRPr="00A0498F" w:rsidRDefault="00BC599F" w:rsidP="00BA5E45">
            <w:pPr>
              <w:jc w:val="center"/>
              <w:rPr>
                <w:rFonts w:cstheme="minorHAnsi"/>
                <w:sz w:val="20"/>
                <w:szCs w:val="20"/>
              </w:rPr>
            </w:pPr>
            <w:r w:rsidRPr="00A0498F">
              <w:rPr>
                <w:rFonts w:cstheme="minorHAnsi"/>
                <w:sz w:val="20"/>
                <w:szCs w:val="20"/>
              </w:rPr>
              <w:t>3</w:t>
            </w:r>
          </w:p>
        </w:tc>
        <w:tc>
          <w:tcPr>
            <w:tcW w:w="4495" w:type="dxa"/>
          </w:tcPr>
          <w:p w14:paraId="6AFEE1DB" w14:textId="154B3121" w:rsidR="00BC599F" w:rsidRPr="00A0498F" w:rsidRDefault="00BC599F" w:rsidP="00BA5E45">
            <w:pPr>
              <w:rPr>
                <w:rFonts w:cstheme="minorHAnsi"/>
                <w:sz w:val="20"/>
                <w:szCs w:val="20"/>
              </w:rPr>
            </w:pPr>
            <w:r w:rsidRPr="00A0498F">
              <w:rPr>
                <w:rFonts w:cstheme="minorHAnsi"/>
                <w:sz w:val="20"/>
                <w:szCs w:val="20"/>
              </w:rPr>
              <w:t>France, Spain, Türkiye</w:t>
            </w:r>
          </w:p>
        </w:tc>
      </w:tr>
      <w:tr w:rsidR="00BC599F" w:rsidRPr="00A0498F" w14:paraId="564FE5A7" w14:textId="77777777" w:rsidTr="000A6044">
        <w:trPr>
          <w:jc w:val="center"/>
        </w:trPr>
        <w:tc>
          <w:tcPr>
            <w:tcW w:w="2790" w:type="dxa"/>
          </w:tcPr>
          <w:p w14:paraId="538F71EA" w14:textId="6938FD20" w:rsidR="00BC599F" w:rsidRPr="00A0498F" w:rsidRDefault="00BC599F" w:rsidP="00BA5E45">
            <w:pPr>
              <w:rPr>
                <w:rFonts w:cstheme="minorHAnsi"/>
                <w:b/>
                <w:bCs/>
                <w:sz w:val="20"/>
                <w:szCs w:val="20"/>
              </w:rPr>
            </w:pPr>
            <w:r w:rsidRPr="00A0498F">
              <w:rPr>
                <w:rFonts w:cstheme="minorHAnsi"/>
                <w:b/>
                <w:bCs/>
                <w:sz w:val="20"/>
                <w:szCs w:val="20"/>
              </w:rPr>
              <w:t>North America</w:t>
            </w:r>
          </w:p>
        </w:tc>
        <w:tc>
          <w:tcPr>
            <w:tcW w:w="1260" w:type="dxa"/>
          </w:tcPr>
          <w:p w14:paraId="41120D80" w14:textId="4DD01131" w:rsidR="00BC599F" w:rsidRPr="00A0498F" w:rsidRDefault="00BC599F" w:rsidP="00BA5E45">
            <w:pPr>
              <w:jc w:val="center"/>
              <w:rPr>
                <w:rFonts w:cstheme="minorHAnsi"/>
                <w:sz w:val="20"/>
                <w:szCs w:val="20"/>
              </w:rPr>
            </w:pPr>
            <w:r w:rsidRPr="00A0498F">
              <w:rPr>
                <w:rFonts w:cstheme="minorHAnsi"/>
                <w:sz w:val="20"/>
                <w:szCs w:val="20"/>
              </w:rPr>
              <w:t>2</w:t>
            </w:r>
          </w:p>
        </w:tc>
        <w:tc>
          <w:tcPr>
            <w:tcW w:w="4495" w:type="dxa"/>
          </w:tcPr>
          <w:p w14:paraId="6C9CCC20" w14:textId="39D2C136" w:rsidR="00BC599F" w:rsidRPr="00A0498F" w:rsidRDefault="00BC599F" w:rsidP="00BA5E45">
            <w:pPr>
              <w:rPr>
                <w:rFonts w:cstheme="minorHAnsi"/>
                <w:sz w:val="20"/>
                <w:szCs w:val="20"/>
              </w:rPr>
            </w:pPr>
            <w:r w:rsidRPr="00A0498F">
              <w:rPr>
                <w:rFonts w:cstheme="minorHAnsi"/>
                <w:sz w:val="20"/>
                <w:szCs w:val="20"/>
              </w:rPr>
              <w:t>France, Spain</w:t>
            </w:r>
          </w:p>
        </w:tc>
      </w:tr>
      <w:tr w:rsidR="00BC599F" w:rsidRPr="00A0498F" w14:paraId="48B7197B" w14:textId="77777777" w:rsidTr="000A6044">
        <w:trPr>
          <w:trHeight w:val="58"/>
          <w:jc w:val="center"/>
        </w:trPr>
        <w:tc>
          <w:tcPr>
            <w:tcW w:w="2790" w:type="dxa"/>
          </w:tcPr>
          <w:p w14:paraId="522A2596" w14:textId="49A17E4C" w:rsidR="00BC599F" w:rsidRPr="00A0498F" w:rsidRDefault="00BC599F" w:rsidP="00BA5E45">
            <w:pPr>
              <w:rPr>
                <w:rFonts w:cstheme="minorHAnsi"/>
                <w:b/>
                <w:bCs/>
                <w:sz w:val="20"/>
                <w:szCs w:val="20"/>
              </w:rPr>
            </w:pPr>
            <w:r w:rsidRPr="00A0498F">
              <w:rPr>
                <w:rFonts w:cstheme="minorHAnsi"/>
                <w:b/>
                <w:bCs/>
                <w:sz w:val="20"/>
                <w:szCs w:val="20"/>
              </w:rPr>
              <w:t>Asia</w:t>
            </w:r>
          </w:p>
        </w:tc>
        <w:tc>
          <w:tcPr>
            <w:tcW w:w="1260" w:type="dxa"/>
          </w:tcPr>
          <w:p w14:paraId="35F0D73D" w14:textId="77777777" w:rsidR="00BC599F" w:rsidRPr="00A0498F" w:rsidRDefault="00BC599F" w:rsidP="00BA5E45">
            <w:pPr>
              <w:jc w:val="center"/>
              <w:rPr>
                <w:rFonts w:cstheme="minorHAnsi"/>
                <w:sz w:val="20"/>
                <w:szCs w:val="20"/>
              </w:rPr>
            </w:pPr>
            <w:r w:rsidRPr="00A0498F">
              <w:rPr>
                <w:rFonts w:cstheme="minorHAnsi"/>
                <w:sz w:val="20"/>
                <w:szCs w:val="20"/>
              </w:rPr>
              <w:t>1</w:t>
            </w:r>
          </w:p>
        </w:tc>
        <w:tc>
          <w:tcPr>
            <w:tcW w:w="4495" w:type="dxa"/>
          </w:tcPr>
          <w:p w14:paraId="737E20A4" w14:textId="2C36871D" w:rsidR="00BC599F" w:rsidRPr="00A0498F" w:rsidRDefault="00BC599F" w:rsidP="00BA5E45">
            <w:pPr>
              <w:rPr>
                <w:rFonts w:cstheme="minorHAnsi"/>
                <w:sz w:val="20"/>
                <w:szCs w:val="20"/>
              </w:rPr>
            </w:pPr>
            <w:r w:rsidRPr="00A0498F">
              <w:rPr>
                <w:rFonts w:cstheme="minorHAnsi"/>
                <w:sz w:val="20"/>
                <w:szCs w:val="20"/>
              </w:rPr>
              <w:t>Austria</w:t>
            </w:r>
          </w:p>
        </w:tc>
      </w:tr>
      <w:tr w:rsidR="00BC599F" w:rsidRPr="00A0498F" w14:paraId="752B896E" w14:textId="77777777" w:rsidTr="000A6044">
        <w:trPr>
          <w:trHeight w:val="58"/>
          <w:jc w:val="center"/>
        </w:trPr>
        <w:tc>
          <w:tcPr>
            <w:tcW w:w="2790" w:type="dxa"/>
          </w:tcPr>
          <w:p w14:paraId="701F354C" w14:textId="29487E5B" w:rsidR="00BC599F" w:rsidRPr="00A0498F" w:rsidRDefault="00BC599F" w:rsidP="00BA5E45">
            <w:pPr>
              <w:rPr>
                <w:rFonts w:cstheme="minorHAnsi"/>
                <w:b/>
                <w:bCs/>
                <w:sz w:val="20"/>
                <w:szCs w:val="20"/>
              </w:rPr>
            </w:pPr>
            <w:r w:rsidRPr="00A0498F">
              <w:rPr>
                <w:rFonts w:cstheme="minorHAnsi"/>
                <w:b/>
                <w:bCs/>
                <w:sz w:val="20"/>
                <w:szCs w:val="20"/>
              </w:rPr>
              <w:t>Latin America &amp; Caribbean</w:t>
            </w:r>
          </w:p>
        </w:tc>
        <w:tc>
          <w:tcPr>
            <w:tcW w:w="1260" w:type="dxa"/>
          </w:tcPr>
          <w:p w14:paraId="784C90BA" w14:textId="5D243C3A" w:rsidR="00BC599F" w:rsidRPr="00A0498F" w:rsidRDefault="00BC599F" w:rsidP="00BA5E45">
            <w:pPr>
              <w:jc w:val="center"/>
              <w:rPr>
                <w:rFonts w:cstheme="minorHAnsi"/>
                <w:sz w:val="20"/>
                <w:szCs w:val="20"/>
              </w:rPr>
            </w:pPr>
            <w:r w:rsidRPr="00A0498F">
              <w:rPr>
                <w:rFonts w:cstheme="minorHAnsi"/>
                <w:sz w:val="20"/>
                <w:szCs w:val="20"/>
              </w:rPr>
              <w:t>1</w:t>
            </w:r>
          </w:p>
        </w:tc>
        <w:tc>
          <w:tcPr>
            <w:tcW w:w="4495" w:type="dxa"/>
          </w:tcPr>
          <w:p w14:paraId="2C5933F8" w14:textId="16B8BC3B" w:rsidR="00BC599F" w:rsidRPr="00A0498F" w:rsidRDefault="00BC599F" w:rsidP="00BA5E45">
            <w:pPr>
              <w:rPr>
                <w:rFonts w:cstheme="minorHAnsi"/>
                <w:sz w:val="20"/>
                <w:szCs w:val="20"/>
              </w:rPr>
            </w:pPr>
            <w:r w:rsidRPr="00A0498F">
              <w:rPr>
                <w:rFonts w:cstheme="minorHAnsi"/>
                <w:sz w:val="20"/>
                <w:szCs w:val="20"/>
              </w:rPr>
              <w:t>Spain</w:t>
            </w:r>
          </w:p>
        </w:tc>
      </w:tr>
    </w:tbl>
    <w:p w14:paraId="4E3D62DC" w14:textId="77777777" w:rsidR="00BC599F" w:rsidRPr="00A0498F" w:rsidRDefault="00BC599F" w:rsidP="00BC599F">
      <w:pPr>
        <w:rPr>
          <w:rFonts w:cstheme="minorHAnsi"/>
          <w:sz w:val="20"/>
          <w:szCs w:val="20"/>
        </w:rPr>
      </w:pPr>
    </w:p>
    <w:p w14:paraId="752F2B2E" w14:textId="2D987E98" w:rsidR="00BC599F" w:rsidRPr="00A0498F" w:rsidRDefault="00BC599F" w:rsidP="00BC599F">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6E7AE852" w14:textId="49DFED77" w:rsidR="007F04A6" w:rsidRPr="00A0498F" w:rsidRDefault="00C552EC" w:rsidP="00A0498F">
      <w:pPr>
        <w:pStyle w:val="Heading1"/>
        <w:numPr>
          <w:ilvl w:val="0"/>
          <w:numId w:val="4"/>
        </w:numPr>
        <w:rPr>
          <w:rFonts w:asciiTheme="minorHAnsi" w:hAnsiTheme="minorHAnsi" w:cstheme="minorHAnsi"/>
          <w:sz w:val="20"/>
          <w:szCs w:val="20"/>
        </w:rPr>
      </w:pPr>
      <w:bookmarkStart w:id="13" w:name="_Toc138453607"/>
      <w:r w:rsidRPr="00A0498F">
        <w:rPr>
          <w:rFonts w:asciiTheme="minorHAnsi" w:hAnsiTheme="minorHAnsi" w:cstheme="minorHAnsi"/>
          <w:sz w:val="20"/>
          <w:szCs w:val="20"/>
        </w:rPr>
        <w:t>Conclusion</w:t>
      </w:r>
      <w:r w:rsidR="00721AFD" w:rsidRPr="00A0498F">
        <w:rPr>
          <w:rFonts w:asciiTheme="minorHAnsi" w:hAnsiTheme="minorHAnsi" w:cstheme="minorHAnsi"/>
          <w:sz w:val="20"/>
          <w:szCs w:val="20"/>
        </w:rPr>
        <w:t>s</w:t>
      </w:r>
      <w:bookmarkEnd w:id="13"/>
    </w:p>
    <w:p w14:paraId="78CEF1B9" w14:textId="43981E2F" w:rsidR="00605E08" w:rsidRPr="00A0498F" w:rsidRDefault="00605E08" w:rsidP="00605E08">
      <w:pPr>
        <w:rPr>
          <w:rFonts w:cstheme="minorHAnsi"/>
          <w:sz w:val="20"/>
          <w:szCs w:val="20"/>
        </w:rPr>
      </w:pPr>
      <w:r w:rsidRPr="00A0498F">
        <w:rPr>
          <w:rFonts w:cstheme="minorHAnsi"/>
          <w:sz w:val="20"/>
          <w:szCs w:val="20"/>
        </w:rPr>
        <w:t xml:space="preserve">The 27 European countries included in this research contributed a total of USD 366 billion across four resource flows in 2020: USD 201 billion through remittances (55% of the total), USD 107 billion through ODA (29%), followed by USD 42 billion through </w:t>
      </w:r>
      <w:r w:rsidR="00111D36" w:rsidRPr="00A0498F">
        <w:rPr>
          <w:rFonts w:cstheme="minorHAnsi"/>
          <w:sz w:val="20"/>
          <w:szCs w:val="20"/>
        </w:rPr>
        <w:t>private capital investment</w:t>
      </w:r>
      <w:r w:rsidRPr="00A0498F">
        <w:rPr>
          <w:rFonts w:cstheme="minorHAnsi"/>
          <w:sz w:val="20"/>
          <w:szCs w:val="20"/>
        </w:rPr>
        <w:t xml:space="preserve"> (12%), and USD 16 billion through cross-border philanthropic outflows (4%). Despite the COVID-19 pandemic and the global economic turbulence, most resource flows remained stable compared to 2018. In fact, the total amount of philanthropic outflows from the 27 European countries increased by 5 percent between 2018 and 2020.</w:t>
      </w:r>
    </w:p>
    <w:p w14:paraId="57CF04F6" w14:textId="7C765677" w:rsidR="00DC7C37" w:rsidRPr="00A0498F" w:rsidRDefault="00DC7C37" w:rsidP="00C552EC">
      <w:pPr>
        <w:rPr>
          <w:rFonts w:cstheme="minorHAnsi"/>
          <w:sz w:val="20"/>
          <w:szCs w:val="20"/>
        </w:rPr>
      </w:pPr>
      <w:r w:rsidRPr="00A0498F">
        <w:rPr>
          <w:rFonts w:cstheme="minorHAnsi"/>
          <w:sz w:val="20"/>
          <w:szCs w:val="20"/>
        </w:rPr>
        <w:t xml:space="preserve">Sixteen of the 27 European countries saw an increase in philanthropic outflows between 2018 and 2020. An additional country, Norway, had philanthropic outflows increase as a share of GNI despite a decrease in absolute terms. Five countries had a greater than 100 percent increase in philanthropic outflows, most of which were Balkans countries: Serbia, Croatia, Bosnia and Herzegovina, North Macedonia, and Portugal. These five countries </w:t>
      </w:r>
      <w:r w:rsidRPr="00A0498F">
        <w:rPr>
          <w:rFonts w:cstheme="minorHAnsi"/>
          <w:sz w:val="20"/>
          <w:szCs w:val="20"/>
        </w:rPr>
        <w:lastRenderedPageBreak/>
        <w:t>were also the top countries when considering the percent increase in philanthropic outflows as a share of GNI. In absolute terms, the largest increases were observed in the United Kingdom (an increase of USD 990 million), France (USD 433 million), and Germany (USD 415 million). The 11 countries which experienced a decrease in philanthropic outflows between 2018 and 2020 ranged from a 7 percent decline (the Netherlands) to a 72 percent decline (Ireland). In eight countries, the percent change of philanthropic outflows as a share of GNI was greater than the percent increase of philanthropic outflows in absolute terms,</w:t>
      </w:r>
      <w:r w:rsidR="00062D77" w:rsidRPr="00A0498F">
        <w:rPr>
          <w:rFonts w:cstheme="minorHAnsi"/>
          <w:sz w:val="20"/>
          <w:szCs w:val="20"/>
        </w:rPr>
        <w:t xml:space="preserve"> which might</w:t>
      </w:r>
      <w:r w:rsidRPr="00A0498F">
        <w:rPr>
          <w:rFonts w:cstheme="minorHAnsi"/>
          <w:sz w:val="20"/>
          <w:szCs w:val="20"/>
        </w:rPr>
        <w:t xml:space="preserve"> suggest that outflows were able to increase despite a reduction in GNI.</w:t>
      </w:r>
    </w:p>
    <w:p w14:paraId="70F8881A" w14:textId="660E389B" w:rsidR="007F04A6" w:rsidRPr="00A0498F" w:rsidRDefault="00605E08" w:rsidP="007F04A6">
      <w:pPr>
        <w:rPr>
          <w:rFonts w:cstheme="minorHAnsi"/>
          <w:sz w:val="20"/>
          <w:szCs w:val="20"/>
        </w:rPr>
      </w:pPr>
      <w:r w:rsidRPr="00A0498F">
        <w:rPr>
          <w:rFonts w:cstheme="minorHAnsi"/>
          <w:sz w:val="20"/>
          <w:szCs w:val="20"/>
        </w:rPr>
        <w:t>In both absolute terms and as a share of GNI, the United Kingdom contributed the most philanthropic outflows in 2020</w:t>
      </w:r>
      <w:r w:rsidR="00721AFD" w:rsidRPr="00A0498F">
        <w:rPr>
          <w:rFonts w:cstheme="minorHAnsi"/>
          <w:sz w:val="20"/>
          <w:szCs w:val="20"/>
        </w:rPr>
        <w:t>,</w:t>
      </w:r>
      <w:r w:rsidRPr="00A0498F">
        <w:rPr>
          <w:rFonts w:cstheme="minorHAnsi"/>
          <w:sz w:val="20"/>
          <w:szCs w:val="20"/>
        </w:rPr>
        <w:t xml:space="preserve"> contributing nearly USD 6 billion to cross-border philanthropy,</w:t>
      </w:r>
      <w:r w:rsidR="00721AFD" w:rsidRPr="00A0498F">
        <w:rPr>
          <w:rFonts w:cstheme="minorHAnsi"/>
          <w:sz w:val="20"/>
          <w:szCs w:val="20"/>
        </w:rPr>
        <w:t xml:space="preserve"> or</w:t>
      </w:r>
      <w:r w:rsidRPr="00A0498F">
        <w:rPr>
          <w:rFonts w:cstheme="minorHAnsi"/>
          <w:sz w:val="20"/>
          <w:szCs w:val="20"/>
        </w:rPr>
        <w:t xml:space="preserve"> more than 0.20 percent of the country’s GNI. Focusing on the most supported charitable causes, countries where data were available supported health and education, which aligns with the global findings. Interestingly, the most frequently supported region w</w:t>
      </w:r>
      <w:r w:rsidR="00721AFD" w:rsidRPr="00A0498F">
        <w:rPr>
          <w:rFonts w:cstheme="minorHAnsi"/>
          <w:sz w:val="20"/>
          <w:szCs w:val="20"/>
        </w:rPr>
        <w:t>as</w:t>
      </w:r>
      <w:r w:rsidRPr="00A0498F">
        <w:rPr>
          <w:rFonts w:cstheme="minorHAnsi"/>
          <w:sz w:val="20"/>
          <w:szCs w:val="20"/>
        </w:rPr>
        <w:t xml:space="preserve"> Europe, followed by Africa. This is likely </w:t>
      </w:r>
      <w:proofErr w:type="gramStart"/>
      <w:r w:rsidRPr="00A0498F">
        <w:rPr>
          <w:rFonts w:cstheme="minorHAnsi"/>
          <w:sz w:val="20"/>
          <w:szCs w:val="20"/>
        </w:rPr>
        <w:t>due to the fact that</w:t>
      </w:r>
      <w:proofErr w:type="gramEnd"/>
      <w:r w:rsidRPr="00A0498F">
        <w:rPr>
          <w:rFonts w:cstheme="minorHAnsi"/>
          <w:sz w:val="20"/>
          <w:szCs w:val="20"/>
        </w:rPr>
        <w:t xml:space="preserve"> </w:t>
      </w:r>
      <w:r w:rsidR="00062D77" w:rsidRPr="00A0498F">
        <w:rPr>
          <w:rFonts w:cstheme="minorHAnsi"/>
          <w:sz w:val="20"/>
          <w:szCs w:val="20"/>
        </w:rPr>
        <w:t>within Europe</w:t>
      </w:r>
      <w:r w:rsidRPr="00A0498F">
        <w:rPr>
          <w:rFonts w:cstheme="minorHAnsi"/>
          <w:sz w:val="20"/>
          <w:szCs w:val="20"/>
        </w:rPr>
        <w:t xml:space="preserve"> there</w:t>
      </w:r>
      <w:r w:rsidR="003F309F" w:rsidRPr="00A0498F">
        <w:rPr>
          <w:rFonts w:cstheme="minorHAnsi"/>
          <w:sz w:val="20"/>
          <w:szCs w:val="20"/>
        </w:rPr>
        <w:t xml:space="preserve"> is a high level of immigration and </w:t>
      </w:r>
      <w:r w:rsidR="00721AFD" w:rsidRPr="00A0498F">
        <w:rPr>
          <w:rFonts w:cstheme="minorHAnsi"/>
          <w:sz w:val="20"/>
          <w:szCs w:val="20"/>
        </w:rPr>
        <w:t>are</w:t>
      </w:r>
      <w:r w:rsidRPr="00A0498F">
        <w:rPr>
          <w:rFonts w:cstheme="minorHAnsi"/>
          <w:sz w:val="20"/>
          <w:szCs w:val="20"/>
        </w:rPr>
        <w:t xml:space="preserve"> several mechanisms that facilitate cross-border giving (Indiana University Lilly Family School of Philanthropy, 2022).</w:t>
      </w:r>
    </w:p>
    <w:p w14:paraId="61876F81" w14:textId="43B90770" w:rsidR="00DC7C37" w:rsidRPr="00A0498F" w:rsidRDefault="00DC7C37" w:rsidP="00A0498F">
      <w:pPr>
        <w:pStyle w:val="Heading1"/>
        <w:numPr>
          <w:ilvl w:val="0"/>
          <w:numId w:val="4"/>
        </w:numPr>
        <w:rPr>
          <w:rFonts w:asciiTheme="minorHAnsi" w:hAnsiTheme="minorHAnsi" w:cstheme="minorHAnsi"/>
          <w:sz w:val="20"/>
          <w:szCs w:val="20"/>
        </w:rPr>
      </w:pPr>
      <w:bookmarkStart w:id="14" w:name="_Toc138453608"/>
      <w:r w:rsidRPr="00A0498F">
        <w:rPr>
          <w:rFonts w:asciiTheme="minorHAnsi" w:hAnsiTheme="minorHAnsi" w:cstheme="minorHAnsi"/>
          <w:sz w:val="20"/>
          <w:szCs w:val="20"/>
        </w:rPr>
        <w:t>Limitations and Future Research</w:t>
      </w:r>
      <w:bookmarkEnd w:id="14"/>
    </w:p>
    <w:p w14:paraId="1E11EFC4" w14:textId="79F3EBFF" w:rsidR="00356896" w:rsidRPr="00A0498F" w:rsidRDefault="00685D93" w:rsidP="007F04A6">
      <w:pPr>
        <w:rPr>
          <w:rFonts w:cstheme="minorHAnsi"/>
          <w:sz w:val="20"/>
          <w:szCs w:val="20"/>
        </w:rPr>
      </w:pPr>
      <w:r w:rsidRPr="00A0498F">
        <w:rPr>
          <w:rFonts w:cstheme="minorHAnsi"/>
          <w:sz w:val="20"/>
          <w:szCs w:val="20"/>
        </w:rPr>
        <w:t>While this paper includes data on cross-border philanthropy from 27 European countries</w:t>
      </w:r>
      <w:r w:rsidR="00356896" w:rsidRPr="00A0498F">
        <w:rPr>
          <w:rFonts w:cstheme="minorHAnsi"/>
          <w:sz w:val="20"/>
          <w:szCs w:val="20"/>
        </w:rPr>
        <w:t xml:space="preserve">, the data quality varied and the different methodologies used by the data providers also made data comparison challenging (Table 5).  </w:t>
      </w:r>
    </w:p>
    <w:p w14:paraId="21AB4D80" w14:textId="77777777" w:rsidR="00356896" w:rsidRPr="00A0498F" w:rsidRDefault="00356896" w:rsidP="00356896">
      <w:pPr>
        <w:rPr>
          <w:rFonts w:cstheme="minorHAnsi"/>
          <w:b/>
          <w:bCs/>
          <w:sz w:val="20"/>
          <w:szCs w:val="20"/>
        </w:rPr>
      </w:pPr>
      <w:r w:rsidRPr="00A0498F">
        <w:rPr>
          <w:rFonts w:cstheme="minorHAnsi"/>
          <w:b/>
          <w:bCs/>
          <w:sz w:val="20"/>
          <w:szCs w:val="20"/>
        </w:rPr>
        <w:t>Table 5: DATA QUALITY BY COUNTRY</w:t>
      </w:r>
    </w:p>
    <w:tbl>
      <w:tblPr>
        <w:tblStyle w:val="TableGrid"/>
        <w:tblW w:w="0" w:type="auto"/>
        <w:tblInd w:w="2065"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610"/>
        <w:gridCol w:w="1800"/>
      </w:tblGrid>
      <w:tr w:rsidR="00356896" w:rsidRPr="00A0498F" w14:paraId="107BEA35" w14:textId="77777777" w:rsidTr="000A6044">
        <w:tc>
          <w:tcPr>
            <w:tcW w:w="2610" w:type="dxa"/>
          </w:tcPr>
          <w:p w14:paraId="43C8EAB6" w14:textId="77777777" w:rsidR="00356896" w:rsidRPr="00A0498F" w:rsidRDefault="00356896" w:rsidP="00356896">
            <w:pPr>
              <w:rPr>
                <w:rFonts w:cstheme="minorHAnsi"/>
                <w:i/>
                <w:iCs/>
                <w:sz w:val="20"/>
                <w:szCs w:val="20"/>
              </w:rPr>
            </w:pPr>
            <w:r w:rsidRPr="00A0498F">
              <w:rPr>
                <w:rFonts w:cstheme="minorHAnsi"/>
                <w:i/>
                <w:iCs/>
                <w:sz w:val="20"/>
                <w:szCs w:val="20"/>
              </w:rPr>
              <w:t>Country</w:t>
            </w:r>
          </w:p>
        </w:tc>
        <w:tc>
          <w:tcPr>
            <w:tcW w:w="1800" w:type="dxa"/>
          </w:tcPr>
          <w:p w14:paraId="0DE11F56" w14:textId="77777777" w:rsidR="00356896" w:rsidRPr="00A0498F" w:rsidRDefault="00356896" w:rsidP="00BA5E45">
            <w:pPr>
              <w:jc w:val="center"/>
              <w:rPr>
                <w:rFonts w:cstheme="minorHAnsi"/>
                <w:i/>
                <w:iCs/>
                <w:sz w:val="20"/>
                <w:szCs w:val="20"/>
              </w:rPr>
            </w:pPr>
            <w:r w:rsidRPr="00A0498F">
              <w:rPr>
                <w:rFonts w:cstheme="minorHAnsi"/>
                <w:i/>
                <w:iCs/>
                <w:sz w:val="20"/>
                <w:szCs w:val="20"/>
              </w:rPr>
              <w:t>Data Quality</w:t>
            </w:r>
          </w:p>
        </w:tc>
      </w:tr>
      <w:tr w:rsidR="00356896" w:rsidRPr="00A0498F" w14:paraId="52ED28E0" w14:textId="77777777" w:rsidTr="000A6044">
        <w:tc>
          <w:tcPr>
            <w:tcW w:w="2610" w:type="dxa"/>
          </w:tcPr>
          <w:p w14:paraId="7CD49D0F" w14:textId="77777777" w:rsidR="00356896" w:rsidRPr="00A0498F" w:rsidRDefault="00356896" w:rsidP="00356896">
            <w:pPr>
              <w:rPr>
                <w:rFonts w:cstheme="minorHAnsi"/>
                <w:b/>
                <w:bCs/>
                <w:sz w:val="20"/>
                <w:szCs w:val="20"/>
              </w:rPr>
            </w:pPr>
            <w:r w:rsidRPr="00A0498F">
              <w:rPr>
                <w:rFonts w:cstheme="minorHAnsi"/>
                <w:b/>
                <w:bCs/>
                <w:sz w:val="20"/>
                <w:szCs w:val="20"/>
              </w:rPr>
              <w:t>Albania</w:t>
            </w:r>
          </w:p>
        </w:tc>
        <w:tc>
          <w:tcPr>
            <w:tcW w:w="1800" w:type="dxa"/>
          </w:tcPr>
          <w:p w14:paraId="039A564B"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6E8A3D78" w14:textId="77777777" w:rsidTr="000A6044">
        <w:tc>
          <w:tcPr>
            <w:tcW w:w="2610" w:type="dxa"/>
          </w:tcPr>
          <w:p w14:paraId="6F460AF7" w14:textId="77777777" w:rsidR="00356896" w:rsidRPr="00A0498F" w:rsidRDefault="00356896" w:rsidP="00356896">
            <w:pPr>
              <w:rPr>
                <w:rFonts w:cstheme="minorHAnsi"/>
                <w:b/>
                <w:bCs/>
                <w:sz w:val="20"/>
                <w:szCs w:val="20"/>
              </w:rPr>
            </w:pPr>
            <w:r w:rsidRPr="00A0498F">
              <w:rPr>
                <w:rFonts w:cstheme="minorHAnsi"/>
                <w:b/>
                <w:bCs/>
                <w:sz w:val="20"/>
                <w:szCs w:val="20"/>
              </w:rPr>
              <w:t>Austria</w:t>
            </w:r>
          </w:p>
        </w:tc>
        <w:tc>
          <w:tcPr>
            <w:tcW w:w="1800" w:type="dxa"/>
          </w:tcPr>
          <w:p w14:paraId="6D1F8DA7"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1E52F63B" w14:textId="77777777" w:rsidTr="000A6044">
        <w:tc>
          <w:tcPr>
            <w:tcW w:w="2610" w:type="dxa"/>
          </w:tcPr>
          <w:p w14:paraId="486523E6" w14:textId="77777777" w:rsidR="00356896" w:rsidRPr="00A0498F" w:rsidRDefault="00356896" w:rsidP="00356896">
            <w:pPr>
              <w:rPr>
                <w:rFonts w:cstheme="minorHAnsi"/>
                <w:b/>
                <w:bCs/>
                <w:sz w:val="20"/>
                <w:szCs w:val="20"/>
              </w:rPr>
            </w:pPr>
            <w:r w:rsidRPr="00A0498F">
              <w:rPr>
                <w:rFonts w:cstheme="minorHAnsi"/>
                <w:b/>
                <w:bCs/>
                <w:sz w:val="20"/>
                <w:szCs w:val="20"/>
              </w:rPr>
              <w:t>Belgium</w:t>
            </w:r>
          </w:p>
        </w:tc>
        <w:tc>
          <w:tcPr>
            <w:tcW w:w="1800" w:type="dxa"/>
          </w:tcPr>
          <w:p w14:paraId="6B1EF968"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770F5E49" w14:textId="77777777" w:rsidTr="000A6044">
        <w:tc>
          <w:tcPr>
            <w:tcW w:w="2610" w:type="dxa"/>
          </w:tcPr>
          <w:p w14:paraId="6FBCFB30" w14:textId="77777777" w:rsidR="00356896" w:rsidRPr="00A0498F" w:rsidRDefault="00356896" w:rsidP="00356896">
            <w:pPr>
              <w:rPr>
                <w:rFonts w:cstheme="minorHAnsi"/>
                <w:b/>
                <w:bCs/>
                <w:sz w:val="20"/>
                <w:szCs w:val="20"/>
              </w:rPr>
            </w:pPr>
            <w:r w:rsidRPr="00A0498F">
              <w:rPr>
                <w:rFonts w:cstheme="minorHAnsi"/>
                <w:b/>
                <w:bCs/>
                <w:sz w:val="20"/>
                <w:szCs w:val="20"/>
              </w:rPr>
              <w:t>Bosnia and Herzegovina</w:t>
            </w:r>
          </w:p>
        </w:tc>
        <w:tc>
          <w:tcPr>
            <w:tcW w:w="1800" w:type="dxa"/>
          </w:tcPr>
          <w:p w14:paraId="3FFD64C3"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09BED609" w14:textId="77777777" w:rsidTr="000A6044">
        <w:tc>
          <w:tcPr>
            <w:tcW w:w="2610" w:type="dxa"/>
          </w:tcPr>
          <w:p w14:paraId="23A1015F" w14:textId="77777777" w:rsidR="00356896" w:rsidRPr="00A0498F" w:rsidRDefault="00356896" w:rsidP="00356896">
            <w:pPr>
              <w:rPr>
                <w:rFonts w:cstheme="minorHAnsi"/>
                <w:b/>
                <w:bCs/>
                <w:sz w:val="20"/>
                <w:szCs w:val="20"/>
              </w:rPr>
            </w:pPr>
            <w:r w:rsidRPr="00A0498F">
              <w:rPr>
                <w:rFonts w:cstheme="minorHAnsi"/>
                <w:b/>
                <w:bCs/>
                <w:sz w:val="20"/>
                <w:szCs w:val="20"/>
              </w:rPr>
              <w:t>Croatia</w:t>
            </w:r>
          </w:p>
        </w:tc>
        <w:tc>
          <w:tcPr>
            <w:tcW w:w="1800" w:type="dxa"/>
          </w:tcPr>
          <w:p w14:paraId="72BE4DE2"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60E1E09B" w14:textId="77777777" w:rsidTr="000A6044">
        <w:tc>
          <w:tcPr>
            <w:tcW w:w="2610" w:type="dxa"/>
          </w:tcPr>
          <w:p w14:paraId="7925BF5A" w14:textId="77777777" w:rsidR="00356896" w:rsidRPr="00A0498F" w:rsidRDefault="00356896" w:rsidP="00356896">
            <w:pPr>
              <w:rPr>
                <w:rFonts w:cstheme="minorHAnsi"/>
                <w:b/>
                <w:bCs/>
                <w:sz w:val="20"/>
                <w:szCs w:val="20"/>
              </w:rPr>
            </w:pPr>
            <w:r w:rsidRPr="00A0498F">
              <w:rPr>
                <w:rFonts w:cstheme="minorHAnsi"/>
                <w:b/>
                <w:bCs/>
                <w:sz w:val="20"/>
                <w:szCs w:val="20"/>
              </w:rPr>
              <w:t>Czech Republic</w:t>
            </w:r>
          </w:p>
        </w:tc>
        <w:tc>
          <w:tcPr>
            <w:tcW w:w="1800" w:type="dxa"/>
          </w:tcPr>
          <w:p w14:paraId="382AE6B8"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1CEFD275" w14:textId="77777777" w:rsidTr="000A6044">
        <w:tc>
          <w:tcPr>
            <w:tcW w:w="2610" w:type="dxa"/>
          </w:tcPr>
          <w:p w14:paraId="54728A40" w14:textId="77777777" w:rsidR="00356896" w:rsidRPr="00A0498F" w:rsidRDefault="00356896" w:rsidP="00356896">
            <w:pPr>
              <w:rPr>
                <w:rFonts w:cstheme="minorHAnsi"/>
                <w:b/>
                <w:bCs/>
                <w:sz w:val="20"/>
                <w:szCs w:val="20"/>
              </w:rPr>
            </w:pPr>
            <w:r w:rsidRPr="00A0498F">
              <w:rPr>
                <w:rFonts w:cstheme="minorHAnsi"/>
                <w:b/>
                <w:bCs/>
                <w:sz w:val="20"/>
                <w:szCs w:val="20"/>
              </w:rPr>
              <w:t>Denmark</w:t>
            </w:r>
          </w:p>
        </w:tc>
        <w:tc>
          <w:tcPr>
            <w:tcW w:w="1800" w:type="dxa"/>
          </w:tcPr>
          <w:p w14:paraId="492EA153"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1E487D96" w14:textId="77777777" w:rsidTr="000A6044">
        <w:tc>
          <w:tcPr>
            <w:tcW w:w="2610" w:type="dxa"/>
          </w:tcPr>
          <w:p w14:paraId="37699C29" w14:textId="77777777" w:rsidR="00356896" w:rsidRPr="00A0498F" w:rsidRDefault="00356896" w:rsidP="00356896">
            <w:pPr>
              <w:rPr>
                <w:rFonts w:cstheme="minorHAnsi"/>
                <w:b/>
                <w:bCs/>
                <w:sz w:val="20"/>
                <w:szCs w:val="20"/>
              </w:rPr>
            </w:pPr>
            <w:r w:rsidRPr="00A0498F">
              <w:rPr>
                <w:rFonts w:cstheme="minorHAnsi"/>
                <w:b/>
                <w:bCs/>
                <w:sz w:val="20"/>
                <w:szCs w:val="20"/>
              </w:rPr>
              <w:t>Finland</w:t>
            </w:r>
          </w:p>
        </w:tc>
        <w:tc>
          <w:tcPr>
            <w:tcW w:w="1800" w:type="dxa"/>
          </w:tcPr>
          <w:p w14:paraId="69989993"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2A48AEAF" w14:textId="77777777" w:rsidTr="000A6044">
        <w:tc>
          <w:tcPr>
            <w:tcW w:w="2610" w:type="dxa"/>
          </w:tcPr>
          <w:p w14:paraId="5E06AD85" w14:textId="77777777" w:rsidR="00356896" w:rsidRPr="00A0498F" w:rsidRDefault="00356896" w:rsidP="00356896">
            <w:pPr>
              <w:rPr>
                <w:rFonts w:cstheme="minorHAnsi"/>
                <w:b/>
                <w:bCs/>
                <w:sz w:val="20"/>
                <w:szCs w:val="20"/>
              </w:rPr>
            </w:pPr>
            <w:r w:rsidRPr="00A0498F">
              <w:rPr>
                <w:rFonts w:cstheme="minorHAnsi"/>
                <w:b/>
                <w:bCs/>
                <w:sz w:val="20"/>
                <w:szCs w:val="20"/>
              </w:rPr>
              <w:t>France</w:t>
            </w:r>
          </w:p>
        </w:tc>
        <w:tc>
          <w:tcPr>
            <w:tcW w:w="1800" w:type="dxa"/>
          </w:tcPr>
          <w:p w14:paraId="413BB2D7"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7520836F" w14:textId="77777777" w:rsidTr="000A6044">
        <w:tc>
          <w:tcPr>
            <w:tcW w:w="2610" w:type="dxa"/>
          </w:tcPr>
          <w:p w14:paraId="41623B7A" w14:textId="77777777" w:rsidR="00356896" w:rsidRPr="00A0498F" w:rsidRDefault="00356896" w:rsidP="00356896">
            <w:pPr>
              <w:rPr>
                <w:rFonts w:cstheme="minorHAnsi"/>
                <w:b/>
                <w:bCs/>
                <w:sz w:val="20"/>
                <w:szCs w:val="20"/>
              </w:rPr>
            </w:pPr>
            <w:r w:rsidRPr="00A0498F">
              <w:rPr>
                <w:rFonts w:cstheme="minorHAnsi"/>
                <w:b/>
                <w:bCs/>
                <w:sz w:val="20"/>
                <w:szCs w:val="20"/>
              </w:rPr>
              <w:t>Germany</w:t>
            </w:r>
          </w:p>
        </w:tc>
        <w:tc>
          <w:tcPr>
            <w:tcW w:w="1800" w:type="dxa"/>
          </w:tcPr>
          <w:p w14:paraId="7090913B"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374C7160" w14:textId="77777777" w:rsidTr="000A6044">
        <w:tc>
          <w:tcPr>
            <w:tcW w:w="2610" w:type="dxa"/>
          </w:tcPr>
          <w:p w14:paraId="7B5F3507" w14:textId="77777777" w:rsidR="00356896" w:rsidRPr="00A0498F" w:rsidRDefault="00356896" w:rsidP="00356896">
            <w:pPr>
              <w:rPr>
                <w:rFonts w:cstheme="minorHAnsi"/>
                <w:b/>
                <w:bCs/>
                <w:sz w:val="20"/>
                <w:szCs w:val="20"/>
              </w:rPr>
            </w:pPr>
            <w:r w:rsidRPr="00A0498F">
              <w:rPr>
                <w:rFonts w:cstheme="minorHAnsi"/>
                <w:b/>
                <w:bCs/>
                <w:sz w:val="20"/>
                <w:szCs w:val="20"/>
              </w:rPr>
              <w:t>Greece</w:t>
            </w:r>
          </w:p>
        </w:tc>
        <w:tc>
          <w:tcPr>
            <w:tcW w:w="1800" w:type="dxa"/>
          </w:tcPr>
          <w:p w14:paraId="0E82498D" w14:textId="77777777" w:rsidR="00356896" w:rsidRPr="00A0498F" w:rsidRDefault="00356896" w:rsidP="00BA5E45">
            <w:pPr>
              <w:jc w:val="center"/>
              <w:rPr>
                <w:rFonts w:cstheme="minorHAnsi"/>
                <w:sz w:val="20"/>
                <w:szCs w:val="20"/>
              </w:rPr>
            </w:pPr>
            <w:r w:rsidRPr="00A0498F">
              <w:rPr>
                <w:rFonts w:cstheme="minorHAnsi"/>
                <w:sz w:val="20"/>
                <w:szCs w:val="20"/>
              </w:rPr>
              <w:t>N/A</w:t>
            </w:r>
          </w:p>
        </w:tc>
      </w:tr>
      <w:tr w:rsidR="00356896" w:rsidRPr="00A0498F" w14:paraId="757AD42B" w14:textId="77777777" w:rsidTr="000A6044">
        <w:tc>
          <w:tcPr>
            <w:tcW w:w="2610" w:type="dxa"/>
          </w:tcPr>
          <w:p w14:paraId="0AA650D6" w14:textId="77777777" w:rsidR="00356896" w:rsidRPr="00A0498F" w:rsidRDefault="00356896" w:rsidP="00356896">
            <w:pPr>
              <w:rPr>
                <w:rFonts w:cstheme="minorHAnsi"/>
                <w:b/>
                <w:bCs/>
                <w:sz w:val="20"/>
                <w:szCs w:val="20"/>
              </w:rPr>
            </w:pPr>
            <w:r w:rsidRPr="00A0498F">
              <w:rPr>
                <w:rFonts w:cstheme="minorHAnsi"/>
                <w:b/>
                <w:bCs/>
                <w:sz w:val="20"/>
                <w:szCs w:val="20"/>
              </w:rPr>
              <w:t>Hungary</w:t>
            </w:r>
          </w:p>
        </w:tc>
        <w:tc>
          <w:tcPr>
            <w:tcW w:w="1800" w:type="dxa"/>
          </w:tcPr>
          <w:p w14:paraId="2977D6DE"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46C84B68" w14:textId="77777777" w:rsidTr="000A6044">
        <w:tc>
          <w:tcPr>
            <w:tcW w:w="2610" w:type="dxa"/>
          </w:tcPr>
          <w:p w14:paraId="042A6771" w14:textId="77777777" w:rsidR="00356896" w:rsidRPr="00A0498F" w:rsidRDefault="00356896" w:rsidP="00356896">
            <w:pPr>
              <w:rPr>
                <w:rFonts w:cstheme="minorHAnsi"/>
                <w:b/>
                <w:bCs/>
                <w:sz w:val="20"/>
                <w:szCs w:val="20"/>
              </w:rPr>
            </w:pPr>
            <w:r w:rsidRPr="00A0498F">
              <w:rPr>
                <w:rFonts w:cstheme="minorHAnsi"/>
                <w:b/>
                <w:bCs/>
                <w:sz w:val="20"/>
                <w:szCs w:val="20"/>
              </w:rPr>
              <w:t>Ireland</w:t>
            </w:r>
          </w:p>
        </w:tc>
        <w:tc>
          <w:tcPr>
            <w:tcW w:w="1800" w:type="dxa"/>
          </w:tcPr>
          <w:p w14:paraId="69CF0A3A"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498AA6AD" w14:textId="77777777" w:rsidTr="000A6044">
        <w:tc>
          <w:tcPr>
            <w:tcW w:w="2610" w:type="dxa"/>
          </w:tcPr>
          <w:p w14:paraId="0D01A3AF" w14:textId="77777777" w:rsidR="00356896" w:rsidRPr="00A0498F" w:rsidRDefault="00356896" w:rsidP="00356896">
            <w:pPr>
              <w:rPr>
                <w:rFonts w:cstheme="minorHAnsi"/>
                <w:b/>
                <w:bCs/>
                <w:sz w:val="20"/>
                <w:szCs w:val="20"/>
              </w:rPr>
            </w:pPr>
            <w:r w:rsidRPr="00A0498F">
              <w:rPr>
                <w:rFonts w:cstheme="minorHAnsi"/>
                <w:b/>
                <w:bCs/>
                <w:sz w:val="20"/>
                <w:szCs w:val="20"/>
              </w:rPr>
              <w:t>Italy</w:t>
            </w:r>
          </w:p>
        </w:tc>
        <w:tc>
          <w:tcPr>
            <w:tcW w:w="1800" w:type="dxa"/>
          </w:tcPr>
          <w:p w14:paraId="12F12E51"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68E739DD" w14:textId="77777777" w:rsidTr="000A6044">
        <w:tc>
          <w:tcPr>
            <w:tcW w:w="2610" w:type="dxa"/>
          </w:tcPr>
          <w:p w14:paraId="67291F1A" w14:textId="77777777" w:rsidR="00356896" w:rsidRPr="00A0498F" w:rsidRDefault="00356896" w:rsidP="00356896">
            <w:pPr>
              <w:rPr>
                <w:rFonts w:cstheme="minorHAnsi"/>
                <w:b/>
                <w:bCs/>
                <w:sz w:val="20"/>
                <w:szCs w:val="20"/>
              </w:rPr>
            </w:pPr>
            <w:r w:rsidRPr="00A0498F">
              <w:rPr>
                <w:rFonts w:cstheme="minorHAnsi"/>
                <w:b/>
                <w:bCs/>
                <w:sz w:val="20"/>
                <w:szCs w:val="20"/>
              </w:rPr>
              <w:t>Luxembourg</w:t>
            </w:r>
          </w:p>
        </w:tc>
        <w:tc>
          <w:tcPr>
            <w:tcW w:w="1800" w:type="dxa"/>
          </w:tcPr>
          <w:p w14:paraId="2F9B03A2"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18BBAFF1" w14:textId="77777777" w:rsidTr="000A6044">
        <w:tc>
          <w:tcPr>
            <w:tcW w:w="2610" w:type="dxa"/>
          </w:tcPr>
          <w:p w14:paraId="09A3AF3A" w14:textId="77777777" w:rsidR="00356896" w:rsidRPr="00A0498F" w:rsidRDefault="00356896" w:rsidP="00356896">
            <w:pPr>
              <w:rPr>
                <w:rFonts w:cstheme="minorHAnsi"/>
                <w:b/>
                <w:bCs/>
                <w:sz w:val="20"/>
                <w:szCs w:val="20"/>
              </w:rPr>
            </w:pPr>
            <w:r w:rsidRPr="00A0498F">
              <w:rPr>
                <w:rFonts w:cstheme="minorHAnsi"/>
                <w:b/>
                <w:bCs/>
                <w:sz w:val="20"/>
                <w:szCs w:val="20"/>
              </w:rPr>
              <w:t>Montenegro</w:t>
            </w:r>
          </w:p>
        </w:tc>
        <w:tc>
          <w:tcPr>
            <w:tcW w:w="1800" w:type="dxa"/>
          </w:tcPr>
          <w:p w14:paraId="6785F2AC"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33F60D16" w14:textId="77777777" w:rsidTr="000A6044">
        <w:tc>
          <w:tcPr>
            <w:tcW w:w="2610" w:type="dxa"/>
          </w:tcPr>
          <w:p w14:paraId="735962E6" w14:textId="77777777" w:rsidR="00356896" w:rsidRPr="00A0498F" w:rsidRDefault="00356896" w:rsidP="00356896">
            <w:pPr>
              <w:rPr>
                <w:rFonts w:cstheme="minorHAnsi"/>
                <w:b/>
                <w:bCs/>
                <w:sz w:val="20"/>
                <w:szCs w:val="20"/>
              </w:rPr>
            </w:pPr>
            <w:r w:rsidRPr="00A0498F">
              <w:rPr>
                <w:rFonts w:cstheme="minorHAnsi"/>
                <w:b/>
                <w:bCs/>
                <w:sz w:val="20"/>
                <w:szCs w:val="20"/>
              </w:rPr>
              <w:t>The Netherlands</w:t>
            </w:r>
          </w:p>
        </w:tc>
        <w:tc>
          <w:tcPr>
            <w:tcW w:w="1800" w:type="dxa"/>
          </w:tcPr>
          <w:p w14:paraId="47341428"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55A31817" w14:textId="77777777" w:rsidTr="000A6044">
        <w:tc>
          <w:tcPr>
            <w:tcW w:w="2610" w:type="dxa"/>
          </w:tcPr>
          <w:p w14:paraId="0160D492" w14:textId="77777777" w:rsidR="00356896" w:rsidRPr="00A0498F" w:rsidRDefault="00356896" w:rsidP="00356896">
            <w:pPr>
              <w:rPr>
                <w:rFonts w:cstheme="minorHAnsi"/>
                <w:b/>
                <w:bCs/>
                <w:sz w:val="20"/>
                <w:szCs w:val="20"/>
              </w:rPr>
            </w:pPr>
            <w:r w:rsidRPr="00A0498F">
              <w:rPr>
                <w:rFonts w:cstheme="minorHAnsi"/>
                <w:b/>
                <w:bCs/>
                <w:sz w:val="20"/>
                <w:szCs w:val="20"/>
              </w:rPr>
              <w:t>North Macedonia</w:t>
            </w:r>
          </w:p>
        </w:tc>
        <w:tc>
          <w:tcPr>
            <w:tcW w:w="1800" w:type="dxa"/>
          </w:tcPr>
          <w:p w14:paraId="7AC794C4"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6916912C" w14:textId="77777777" w:rsidTr="000A6044">
        <w:tc>
          <w:tcPr>
            <w:tcW w:w="2610" w:type="dxa"/>
          </w:tcPr>
          <w:p w14:paraId="6CE01D85" w14:textId="77777777" w:rsidR="00356896" w:rsidRPr="00A0498F" w:rsidRDefault="00356896" w:rsidP="00356896">
            <w:pPr>
              <w:rPr>
                <w:rFonts w:cstheme="minorHAnsi"/>
                <w:b/>
                <w:bCs/>
                <w:sz w:val="20"/>
                <w:szCs w:val="20"/>
              </w:rPr>
            </w:pPr>
            <w:r w:rsidRPr="00A0498F">
              <w:rPr>
                <w:rFonts w:cstheme="minorHAnsi"/>
                <w:b/>
                <w:bCs/>
                <w:sz w:val="20"/>
                <w:szCs w:val="20"/>
              </w:rPr>
              <w:t>Norway</w:t>
            </w:r>
          </w:p>
        </w:tc>
        <w:tc>
          <w:tcPr>
            <w:tcW w:w="1800" w:type="dxa"/>
          </w:tcPr>
          <w:p w14:paraId="6CD9581F"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3D1B4F90" w14:textId="77777777" w:rsidTr="000A6044">
        <w:tc>
          <w:tcPr>
            <w:tcW w:w="2610" w:type="dxa"/>
          </w:tcPr>
          <w:p w14:paraId="21CC4530" w14:textId="77777777" w:rsidR="00356896" w:rsidRPr="00A0498F" w:rsidRDefault="00356896" w:rsidP="00356896">
            <w:pPr>
              <w:rPr>
                <w:rFonts w:cstheme="minorHAnsi"/>
                <w:b/>
                <w:bCs/>
                <w:sz w:val="20"/>
                <w:szCs w:val="20"/>
              </w:rPr>
            </w:pPr>
            <w:r w:rsidRPr="00A0498F">
              <w:rPr>
                <w:rFonts w:cstheme="minorHAnsi"/>
                <w:b/>
                <w:bCs/>
                <w:sz w:val="20"/>
                <w:szCs w:val="20"/>
              </w:rPr>
              <w:t>Portugal</w:t>
            </w:r>
          </w:p>
        </w:tc>
        <w:tc>
          <w:tcPr>
            <w:tcW w:w="1800" w:type="dxa"/>
          </w:tcPr>
          <w:p w14:paraId="3487141C" w14:textId="77777777" w:rsidR="00356896" w:rsidRPr="00A0498F" w:rsidRDefault="00356896" w:rsidP="00BA5E45">
            <w:pPr>
              <w:jc w:val="center"/>
              <w:rPr>
                <w:rFonts w:cstheme="minorHAnsi"/>
                <w:sz w:val="20"/>
                <w:szCs w:val="20"/>
              </w:rPr>
            </w:pPr>
            <w:r w:rsidRPr="00A0498F">
              <w:rPr>
                <w:rFonts w:cstheme="minorHAnsi"/>
                <w:sz w:val="20"/>
                <w:szCs w:val="20"/>
              </w:rPr>
              <w:t>N/A</w:t>
            </w:r>
          </w:p>
        </w:tc>
      </w:tr>
      <w:tr w:rsidR="00356896" w:rsidRPr="00A0498F" w14:paraId="60E74271" w14:textId="77777777" w:rsidTr="000A6044">
        <w:tc>
          <w:tcPr>
            <w:tcW w:w="2610" w:type="dxa"/>
          </w:tcPr>
          <w:p w14:paraId="5BC81589" w14:textId="77777777" w:rsidR="00356896" w:rsidRPr="00A0498F" w:rsidRDefault="00356896" w:rsidP="00356896">
            <w:pPr>
              <w:rPr>
                <w:rFonts w:cstheme="minorHAnsi"/>
                <w:b/>
                <w:bCs/>
                <w:sz w:val="20"/>
                <w:szCs w:val="20"/>
              </w:rPr>
            </w:pPr>
            <w:r w:rsidRPr="00A0498F">
              <w:rPr>
                <w:rFonts w:cstheme="minorHAnsi"/>
                <w:b/>
                <w:bCs/>
                <w:sz w:val="20"/>
                <w:szCs w:val="20"/>
              </w:rPr>
              <w:t>Serbia</w:t>
            </w:r>
          </w:p>
        </w:tc>
        <w:tc>
          <w:tcPr>
            <w:tcW w:w="1800" w:type="dxa"/>
          </w:tcPr>
          <w:p w14:paraId="25EF1AE3"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6792C79C" w14:textId="77777777" w:rsidTr="000A6044">
        <w:tc>
          <w:tcPr>
            <w:tcW w:w="2610" w:type="dxa"/>
          </w:tcPr>
          <w:p w14:paraId="22ECC9EF" w14:textId="77777777" w:rsidR="00356896" w:rsidRPr="00A0498F" w:rsidRDefault="00356896" w:rsidP="00356896">
            <w:pPr>
              <w:rPr>
                <w:rFonts w:cstheme="minorHAnsi"/>
                <w:b/>
                <w:bCs/>
                <w:sz w:val="20"/>
                <w:szCs w:val="20"/>
              </w:rPr>
            </w:pPr>
            <w:r w:rsidRPr="00A0498F">
              <w:rPr>
                <w:rFonts w:cstheme="minorHAnsi"/>
                <w:b/>
                <w:bCs/>
                <w:sz w:val="20"/>
                <w:szCs w:val="20"/>
              </w:rPr>
              <w:t>Slovak Republic</w:t>
            </w:r>
          </w:p>
        </w:tc>
        <w:tc>
          <w:tcPr>
            <w:tcW w:w="1800" w:type="dxa"/>
          </w:tcPr>
          <w:p w14:paraId="710BAA57"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7076CD2D" w14:textId="77777777" w:rsidTr="000A6044">
        <w:tc>
          <w:tcPr>
            <w:tcW w:w="2610" w:type="dxa"/>
          </w:tcPr>
          <w:p w14:paraId="05009D31" w14:textId="77777777" w:rsidR="00356896" w:rsidRPr="00A0498F" w:rsidRDefault="00356896" w:rsidP="00356896">
            <w:pPr>
              <w:rPr>
                <w:rFonts w:cstheme="minorHAnsi"/>
                <w:b/>
                <w:bCs/>
                <w:sz w:val="20"/>
                <w:szCs w:val="20"/>
              </w:rPr>
            </w:pPr>
            <w:r w:rsidRPr="00A0498F">
              <w:rPr>
                <w:rFonts w:cstheme="minorHAnsi"/>
                <w:b/>
                <w:bCs/>
                <w:sz w:val="20"/>
                <w:szCs w:val="20"/>
              </w:rPr>
              <w:t>Spain</w:t>
            </w:r>
          </w:p>
        </w:tc>
        <w:tc>
          <w:tcPr>
            <w:tcW w:w="1800" w:type="dxa"/>
          </w:tcPr>
          <w:p w14:paraId="039B1B66"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412859B8" w14:textId="77777777" w:rsidTr="000A6044">
        <w:tc>
          <w:tcPr>
            <w:tcW w:w="2610" w:type="dxa"/>
          </w:tcPr>
          <w:p w14:paraId="18AA2F3C" w14:textId="77777777" w:rsidR="00356896" w:rsidRPr="00A0498F" w:rsidRDefault="00356896" w:rsidP="00356896">
            <w:pPr>
              <w:rPr>
                <w:rFonts w:cstheme="minorHAnsi"/>
                <w:b/>
                <w:bCs/>
                <w:sz w:val="20"/>
                <w:szCs w:val="20"/>
              </w:rPr>
            </w:pPr>
            <w:r w:rsidRPr="00A0498F">
              <w:rPr>
                <w:rFonts w:cstheme="minorHAnsi"/>
                <w:b/>
                <w:bCs/>
                <w:sz w:val="20"/>
                <w:szCs w:val="20"/>
              </w:rPr>
              <w:t>Sweden</w:t>
            </w:r>
          </w:p>
        </w:tc>
        <w:tc>
          <w:tcPr>
            <w:tcW w:w="1800" w:type="dxa"/>
          </w:tcPr>
          <w:p w14:paraId="53E2DC40"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5E3BEBEC" w14:textId="77777777" w:rsidTr="000A6044">
        <w:tc>
          <w:tcPr>
            <w:tcW w:w="2610" w:type="dxa"/>
          </w:tcPr>
          <w:p w14:paraId="4406B2D9" w14:textId="77777777" w:rsidR="00356896" w:rsidRPr="00A0498F" w:rsidRDefault="00356896" w:rsidP="00356896">
            <w:pPr>
              <w:rPr>
                <w:rFonts w:cstheme="minorHAnsi"/>
                <w:b/>
                <w:bCs/>
                <w:sz w:val="20"/>
                <w:szCs w:val="20"/>
              </w:rPr>
            </w:pPr>
            <w:r w:rsidRPr="00A0498F">
              <w:rPr>
                <w:rFonts w:cstheme="minorHAnsi"/>
                <w:b/>
                <w:bCs/>
                <w:sz w:val="20"/>
                <w:szCs w:val="20"/>
              </w:rPr>
              <w:t>Switzerland</w:t>
            </w:r>
          </w:p>
        </w:tc>
        <w:tc>
          <w:tcPr>
            <w:tcW w:w="1800" w:type="dxa"/>
          </w:tcPr>
          <w:p w14:paraId="500801DA"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62B4088A" w14:textId="77777777" w:rsidTr="000A6044">
        <w:tc>
          <w:tcPr>
            <w:tcW w:w="2610" w:type="dxa"/>
          </w:tcPr>
          <w:p w14:paraId="3BD6B3DF" w14:textId="77777777" w:rsidR="00356896" w:rsidRPr="00A0498F" w:rsidRDefault="00356896" w:rsidP="00356896">
            <w:pPr>
              <w:rPr>
                <w:rFonts w:cstheme="minorHAnsi"/>
                <w:b/>
                <w:bCs/>
                <w:sz w:val="20"/>
                <w:szCs w:val="20"/>
              </w:rPr>
            </w:pPr>
            <w:r w:rsidRPr="00A0498F">
              <w:rPr>
                <w:rFonts w:cstheme="minorHAnsi"/>
                <w:b/>
                <w:bCs/>
                <w:sz w:val="20"/>
                <w:szCs w:val="20"/>
              </w:rPr>
              <w:t>Türkiye</w:t>
            </w:r>
          </w:p>
        </w:tc>
        <w:tc>
          <w:tcPr>
            <w:tcW w:w="1800" w:type="dxa"/>
          </w:tcPr>
          <w:p w14:paraId="36BF4482" w14:textId="77777777" w:rsidR="00356896" w:rsidRPr="00A0498F" w:rsidRDefault="00356896" w:rsidP="00BA5E45">
            <w:pPr>
              <w:jc w:val="center"/>
              <w:rPr>
                <w:rFonts w:cstheme="minorHAnsi"/>
                <w:sz w:val="20"/>
                <w:szCs w:val="20"/>
              </w:rPr>
            </w:pPr>
            <w:r w:rsidRPr="00A0498F">
              <w:rPr>
                <w:rFonts w:cstheme="minorHAnsi"/>
                <w:sz w:val="20"/>
                <w:szCs w:val="20"/>
              </w:rPr>
              <w:t>++++</w:t>
            </w:r>
          </w:p>
        </w:tc>
      </w:tr>
      <w:tr w:rsidR="00356896" w:rsidRPr="00A0498F" w14:paraId="18B37F84" w14:textId="77777777" w:rsidTr="000A6044">
        <w:tc>
          <w:tcPr>
            <w:tcW w:w="2610" w:type="dxa"/>
          </w:tcPr>
          <w:p w14:paraId="2FB883C1" w14:textId="77777777" w:rsidR="00356896" w:rsidRPr="00A0498F" w:rsidRDefault="00356896" w:rsidP="00356896">
            <w:pPr>
              <w:rPr>
                <w:rFonts w:cstheme="minorHAnsi"/>
                <w:b/>
                <w:bCs/>
                <w:sz w:val="20"/>
                <w:szCs w:val="20"/>
              </w:rPr>
            </w:pPr>
            <w:r w:rsidRPr="00A0498F">
              <w:rPr>
                <w:rFonts w:cstheme="minorHAnsi"/>
                <w:b/>
                <w:bCs/>
                <w:sz w:val="20"/>
                <w:szCs w:val="20"/>
              </w:rPr>
              <w:t>United Kingdom</w:t>
            </w:r>
          </w:p>
        </w:tc>
        <w:tc>
          <w:tcPr>
            <w:tcW w:w="1800" w:type="dxa"/>
          </w:tcPr>
          <w:p w14:paraId="54A352FC" w14:textId="77777777" w:rsidR="00356896" w:rsidRPr="00A0498F" w:rsidRDefault="00356896" w:rsidP="00BA5E45">
            <w:pPr>
              <w:jc w:val="center"/>
              <w:rPr>
                <w:rFonts w:cstheme="minorHAnsi"/>
                <w:sz w:val="20"/>
                <w:szCs w:val="20"/>
              </w:rPr>
            </w:pPr>
            <w:r w:rsidRPr="00A0498F">
              <w:rPr>
                <w:rFonts w:cstheme="minorHAnsi"/>
                <w:sz w:val="20"/>
                <w:szCs w:val="20"/>
              </w:rPr>
              <w:t>++++</w:t>
            </w:r>
          </w:p>
        </w:tc>
      </w:tr>
    </w:tbl>
    <w:p w14:paraId="6286572D" w14:textId="34983A12" w:rsidR="00356896" w:rsidRPr="00A0498F" w:rsidRDefault="00356896" w:rsidP="007F04A6">
      <w:pPr>
        <w:rPr>
          <w:rFonts w:cstheme="minorHAnsi"/>
          <w:i/>
          <w:iCs/>
          <w:sz w:val="20"/>
          <w:szCs w:val="20"/>
        </w:rPr>
      </w:pPr>
      <w:r w:rsidRPr="00A0498F">
        <w:rPr>
          <w:rFonts w:cstheme="minorHAnsi"/>
          <w:sz w:val="20"/>
          <w:szCs w:val="20"/>
        </w:rPr>
        <w:t xml:space="preserve">Source: Indiana University Lilly Family School of Philanthropy, </w:t>
      </w:r>
      <w:r w:rsidRPr="00A0498F">
        <w:rPr>
          <w:rFonts w:cstheme="minorHAnsi"/>
          <w:i/>
          <w:iCs/>
          <w:sz w:val="20"/>
          <w:szCs w:val="20"/>
        </w:rPr>
        <w:t>2023 Global Philanthropy Tracker</w:t>
      </w:r>
    </w:p>
    <w:p w14:paraId="5886150B" w14:textId="1078CC9B" w:rsidR="00685D93" w:rsidRPr="00A0498F" w:rsidRDefault="00356896" w:rsidP="007F04A6">
      <w:pPr>
        <w:rPr>
          <w:rFonts w:cstheme="minorHAnsi"/>
          <w:sz w:val="20"/>
          <w:szCs w:val="20"/>
        </w:rPr>
      </w:pPr>
      <w:r w:rsidRPr="00A0498F">
        <w:rPr>
          <w:rFonts w:cstheme="minorHAnsi"/>
          <w:sz w:val="20"/>
          <w:szCs w:val="20"/>
        </w:rPr>
        <w:lastRenderedPageBreak/>
        <w:t>I</w:t>
      </w:r>
      <w:r w:rsidR="00685D93" w:rsidRPr="00A0498F">
        <w:rPr>
          <w:rFonts w:cstheme="minorHAnsi"/>
          <w:sz w:val="20"/>
          <w:szCs w:val="20"/>
        </w:rPr>
        <w:t>t is</w:t>
      </w:r>
      <w:r w:rsidRPr="00A0498F">
        <w:rPr>
          <w:rFonts w:cstheme="minorHAnsi"/>
          <w:sz w:val="20"/>
          <w:szCs w:val="20"/>
        </w:rPr>
        <w:t xml:space="preserve"> also</w:t>
      </w:r>
      <w:r w:rsidR="00685D93" w:rsidRPr="00A0498F">
        <w:rPr>
          <w:rFonts w:cstheme="minorHAnsi"/>
          <w:sz w:val="20"/>
          <w:szCs w:val="20"/>
        </w:rPr>
        <w:t xml:space="preserve"> clea</w:t>
      </w:r>
      <w:r w:rsidRPr="00A0498F">
        <w:rPr>
          <w:rFonts w:cstheme="minorHAnsi"/>
          <w:sz w:val="20"/>
          <w:szCs w:val="20"/>
        </w:rPr>
        <w:t>r</w:t>
      </w:r>
      <w:r w:rsidR="00685D93" w:rsidRPr="00A0498F">
        <w:rPr>
          <w:rFonts w:cstheme="minorHAnsi"/>
          <w:sz w:val="20"/>
          <w:szCs w:val="20"/>
        </w:rPr>
        <w:t xml:space="preserve"> that there is a dearth of data on cross-border giving to charitable causes and recipient regions in general. Out of the 27 countries, only four countries had data on charitable causes</w:t>
      </w:r>
      <w:r w:rsidR="00342219" w:rsidRPr="00A0498F">
        <w:rPr>
          <w:rFonts w:cstheme="minorHAnsi"/>
          <w:sz w:val="20"/>
          <w:szCs w:val="20"/>
        </w:rPr>
        <w:t>—</w:t>
      </w:r>
      <w:r w:rsidR="00685D93" w:rsidRPr="00A0498F">
        <w:rPr>
          <w:rFonts w:cstheme="minorHAnsi"/>
          <w:sz w:val="20"/>
          <w:szCs w:val="20"/>
        </w:rPr>
        <w:t xml:space="preserve">and none of them had data specific to the </w:t>
      </w:r>
      <w:r w:rsidR="002858F2" w:rsidRPr="00A0498F">
        <w:rPr>
          <w:rFonts w:cstheme="minorHAnsi"/>
          <w:sz w:val="20"/>
          <w:szCs w:val="20"/>
        </w:rPr>
        <w:t>SDGs</w:t>
      </w:r>
      <w:r w:rsidR="00342219" w:rsidRPr="00A0498F">
        <w:rPr>
          <w:rFonts w:cstheme="minorHAnsi"/>
          <w:sz w:val="20"/>
          <w:szCs w:val="20"/>
        </w:rPr>
        <w:t>—</w:t>
      </w:r>
      <w:r w:rsidR="00685D93" w:rsidRPr="00A0498F">
        <w:rPr>
          <w:rFonts w:cstheme="minorHAnsi"/>
          <w:sz w:val="20"/>
          <w:szCs w:val="20"/>
        </w:rPr>
        <w:t xml:space="preserve">and only nine had data on recipient countries or regions. Additionally, while specific causes such as climate </w:t>
      </w:r>
      <w:r w:rsidRPr="00A0498F">
        <w:rPr>
          <w:rFonts w:cstheme="minorHAnsi"/>
          <w:sz w:val="20"/>
          <w:szCs w:val="20"/>
        </w:rPr>
        <w:t>change and</w:t>
      </w:r>
      <w:r w:rsidR="00685D93" w:rsidRPr="00A0498F">
        <w:rPr>
          <w:rFonts w:cstheme="minorHAnsi"/>
          <w:sz w:val="20"/>
          <w:szCs w:val="20"/>
        </w:rPr>
        <w:t xml:space="preserve"> racial justice have become increasingly relevant in the field of philanthropy, data is extremely limited</w:t>
      </w:r>
      <w:r w:rsidR="00342219" w:rsidRPr="00A0498F">
        <w:rPr>
          <w:rFonts w:cstheme="minorHAnsi"/>
          <w:sz w:val="20"/>
          <w:szCs w:val="20"/>
        </w:rPr>
        <w:t xml:space="preserve"> for</w:t>
      </w:r>
      <w:r w:rsidR="00685D93" w:rsidRPr="00A0498F">
        <w:rPr>
          <w:rFonts w:cstheme="minorHAnsi"/>
          <w:sz w:val="20"/>
          <w:szCs w:val="20"/>
        </w:rPr>
        <w:t xml:space="preserve"> such causes. </w:t>
      </w:r>
      <w:r w:rsidRPr="00A0498F">
        <w:rPr>
          <w:rFonts w:cstheme="minorHAnsi"/>
          <w:sz w:val="20"/>
          <w:szCs w:val="20"/>
        </w:rPr>
        <w:t>Thus, capturing the magnitude of giving to new and emerging causes is challenging even in Europe.</w:t>
      </w:r>
    </w:p>
    <w:p w14:paraId="44E54133" w14:textId="37E0C91E" w:rsidR="00685D93" w:rsidRPr="00A0498F" w:rsidRDefault="00356896" w:rsidP="00685D93">
      <w:pPr>
        <w:rPr>
          <w:rFonts w:cstheme="minorHAnsi"/>
          <w:sz w:val="20"/>
          <w:szCs w:val="20"/>
        </w:rPr>
      </w:pPr>
      <w:r w:rsidRPr="00A0498F">
        <w:rPr>
          <w:rFonts w:cstheme="minorHAnsi"/>
          <w:sz w:val="20"/>
          <w:szCs w:val="20"/>
        </w:rPr>
        <w:t>S</w:t>
      </w:r>
      <w:r w:rsidR="00685D93" w:rsidRPr="00A0498F">
        <w:rPr>
          <w:rFonts w:cstheme="minorHAnsi"/>
          <w:sz w:val="20"/>
          <w:szCs w:val="20"/>
        </w:rPr>
        <w:t>everal research centers and data providers have already</w:t>
      </w:r>
      <w:r w:rsidRPr="00A0498F">
        <w:rPr>
          <w:rFonts w:cstheme="minorHAnsi"/>
          <w:sz w:val="20"/>
          <w:szCs w:val="20"/>
        </w:rPr>
        <w:t xml:space="preserve"> </w:t>
      </w:r>
      <w:r w:rsidR="00685D93" w:rsidRPr="00A0498F">
        <w:rPr>
          <w:rFonts w:cstheme="minorHAnsi"/>
          <w:sz w:val="20"/>
          <w:szCs w:val="20"/>
        </w:rPr>
        <w:t xml:space="preserve">started revising their methodologies to focus on collecting and providing data </w:t>
      </w:r>
      <w:r w:rsidRPr="00A0498F">
        <w:rPr>
          <w:rFonts w:cstheme="minorHAnsi"/>
          <w:sz w:val="20"/>
          <w:szCs w:val="20"/>
        </w:rPr>
        <w:t xml:space="preserve">on new charitable causes </w:t>
      </w:r>
      <w:r w:rsidR="00685D93" w:rsidRPr="00A0498F">
        <w:rPr>
          <w:rFonts w:cstheme="minorHAnsi"/>
          <w:sz w:val="20"/>
          <w:szCs w:val="20"/>
        </w:rPr>
        <w:t>to the public (Candid, n.d.; ClimateWorks Foundation, 2022; Philanthropic Initiative for Racial Equity, 2019).</w:t>
      </w:r>
      <w:r w:rsidRPr="00A0498F">
        <w:rPr>
          <w:rFonts w:cstheme="minorHAnsi"/>
          <w:sz w:val="20"/>
          <w:szCs w:val="20"/>
        </w:rPr>
        <w:t xml:space="preserve"> Furthermore, t</w:t>
      </w:r>
      <w:r w:rsidR="00685D93" w:rsidRPr="00A0498F">
        <w:rPr>
          <w:rFonts w:cstheme="minorHAnsi"/>
          <w:sz w:val="20"/>
          <w:szCs w:val="20"/>
        </w:rPr>
        <w:t>o facilitate the usage of the SDG language and encourage SDG data collection and reporting, the SDG Philanthropy Platform created the</w:t>
      </w:r>
      <w:r w:rsidRPr="00A0498F">
        <w:rPr>
          <w:rFonts w:cstheme="minorHAnsi"/>
          <w:sz w:val="20"/>
          <w:szCs w:val="20"/>
        </w:rPr>
        <w:t xml:space="preserve"> </w:t>
      </w:r>
      <w:r w:rsidR="00685D93" w:rsidRPr="00A0498F">
        <w:rPr>
          <w:rFonts w:cstheme="minorHAnsi"/>
          <w:sz w:val="20"/>
          <w:szCs w:val="20"/>
        </w:rPr>
        <w:t>“SDG Indicator Wizard” to translate and align an organization’s achievements and goals into the language of the SDGs. Recently, several international organizations and data providers have aimed to provide better information on giving to the SDGs at the regional and global levels</w:t>
      </w:r>
      <w:r w:rsidRPr="00A0498F">
        <w:rPr>
          <w:rFonts w:cstheme="minorHAnsi"/>
          <w:sz w:val="20"/>
          <w:szCs w:val="20"/>
        </w:rPr>
        <w:t xml:space="preserve"> as well </w:t>
      </w:r>
      <w:r w:rsidR="00685D93" w:rsidRPr="00A0498F">
        <w:rPr>
          <w:rFonts w:cstheme="minorHAnsi"/>
          <w:sz w:val="20"/>
          <w:szCs w:val="20"/>
        </w:rPr>
        <w:t>(SDG Funders, n.d.; Arab Foundations Forum, 2023;</w:t>
      </w:r>
      <w:r w:rsidRPr="00A0498F">
        <w:rPr>
          <w:rFonts w:cstheme="minorHAnsi"/>
          <w:sz w:val="20"/>
          <w:szCs w:val="20"/>
        </w:rPr>
        <w:t xml:space="preserve"> </w:t>
      </w:r>
      <w:r w:rsidR="00685D93" w:rsidRPr="00A0498F">
        <w:rPr>
          <w:rFonts w:cstheme="minorHAnsi"/>
          <w:sz w:val="20"/>
          <w:szCs w:val="20"/>
        </w:rPr>
        <w:t>East Africa Philanthropy Network, 2022).</w:t>
      </w:r>
    </w:p>
    <w:p w14:paraId="19497540" w14:textId="64B9FA3E" w:rsidR="00685D93" w:rsidRPr="00A0498F" w:rsidRDefault="00685D93" w:rsidP="00685D93">
      <w:pPr>
        <w:rPr>
          <w:rFonts w:cstheme="minorHAnsi"/>
          <w:sz w:val="20"/>
          <w:szCs w:val="20"/>
        </w:rPr>
      </w:pPr>
      <w:r w:rsidRPr="00A0498F">
        <w:rPr>
          <w:rFonts w:cstheme="minorHAnsi"/>
          <w:sz w:val="20"/>
          <w:szCs w:val="20"/>
        </w:rPr>
        <w:t xml:space="preserve">This significant lack of public data </w:t>
      </w:r>
      <w:r w:rsidR="00356896" w:rsidRPr="00A0498F">
        <w:rPr>
          <w:rFonts w:cstheme="minorHAnsi"/>
          <w:sz w:val="20"/>
          <w:szCs w:val="20"/>
        </w:rPr>
        <w:t xml:space="preserve">on cross-border giving </w:t>
      </w:r>
      <w:r w:rsidRPr="00A0498F">
        <w:rPr>
          <w:rFonts w:cstheme="minorHAnsi"/>
          <w:sz w:val="20"/>
          <w:szCs w:val="20"/>
        </w:rPr>
        <w:t xml:space="preserve">presents an ongoing challenge to fully understanding the </w:t>
      </w:r>
      <w:r w:rsidR="00356896" w:rsidRPr="00A0498F">
        <w:rPr>
          <w:rFonts w:cstheme="minorHAnsi"/>
          <w:sz w:val="20"/>
          <w:szCs w:val="20"/>
        </w:rPr>
        <w:t xml:space="preserve">scale and scope of </w:t>
      </w:r>
      <w:r w:rsidRPr="00A0498F">
        <w:rPr>
          <w:rFonts w:cstheme="minorHAnsi"/>
          <w:sz w:val="20"/>
          <w:szCs w:val="20"/>
        </w:rPr>
        <w:t xml:space="preserve">cross-border </w:t>
      </w:r>
      <w:r w:rsidR="00356896" w:rsidRPr="00A0498F">
        <w:rPr>
          <w:rFonts w:cstheme="minorHAnsi"/>
          <w:sz w:val="20"/>
          <w:szCs w:val="20"/>
        </w:rPr>
        <w:t>giving</w:t>
      </w:r>
      <w:r w:rsidRPr="00A0498F">
        <w:rPr>
          <w:rFonts w:cstheme="minorHAnsi"/>
          <w:sz w:val="20"/>
          <w:szCs w:val="20"/>
        </w:rPr>
        <w:t xml:space="preserve">. </w:t>
      </w:r>
      <w:r w:rsidR="00342219" w:rsidRPr="00A0498F">
        <w:rPr>
          <w:rFonts w:cstheme="minorHAnsi"/>
          <w:sz w:val="20"/>
          <w:szCs w:val="20"/>
        </w:rPr>
        <w:t>Thus,</w:t>
      </w:r>
      <w:r w:rsidR="00356896" w:rsidRPr="00A0498F">
        <w:rPr>
          <w:rFonts w:cstheme="minorHAnsi"/>
          <w:sz w:val="20"/>
          <w:szCs w:val="20"/>
        </w:rPr>
        <w:t xml:space="preserve"> the authors aim to p</w:t>
      </w:r>
      <w:r w:rsidRPr="00A0498F">
        <w:rPr>
          <w:rFonts w:cstheme="minorHAnsi"/>
          <w:sz w:val="20"/>
          <w:szCs w:val="20"/>
        </w:rPr>
        <w:t>romot</w:t>
      </w:r>
      <w:r w:rsidR="00356896" w:rsidRPr="00A0498F">
        <w:rPr>
          <w:rFonts w:cstheme="minorHAnsi"/>
          <w:sz w:val="20"/>
          <w:szCs w:val="20"/>
        </w:rPr>
        <w:t>e</w:t>
      </w:r>
      <w:r w:rsidRPr="00A0498F">
        <w:rPr>
          <w:rFonts w:cstheme="minorHAnsi"/>
          <w:sz w:val="20"/>
          <w:szCs w:val="20"/>
        </w:rPr>
        <w:t xml:space="preserve"> data sharing</w:t>
      </w:r>
      <w:r w:rsidR="00356896" w:rsidRPr="00A0498F">
        <w:rPr>
          <w:rFonts w:cstheme="minorHAnsi"/>
          <w:sz w:val="20"/>
          <w:szCs w:val="20"/>
        </w:rPr>
        <w:t xml:space="preserve"> </w:t>
      </w:r>
      <w:r w:rsidRPr="00A0498F">
        <w:rPr>
          <w:rFonts w:cstheme="minorHAnsi"/>
          <w:sz w:val="20"/>
          <w:szCs w:val="20"/>
        </w:rPr>
        <w:t xml:space="preserve">and transparency </w:t>
      </w:r>
      <w:r w:rsidR="00356896" w:rsidRPr="00A0498F">
        <w:rPr>
          <w:rFonts w:cstheme="minorHAnsi"/>
          <w:sz w:val="20"/>
          <w:szCs w:val="20"/>
        </w:rPr>
        <w:t>and</w:t>
      </w:r>
      <w:r w:rsidR="00342219" w:rsidRPr="00A0498F">
        <w:rPr>
          <w:rFonts w:cstheme="minorHAnsi"/>
          <w:sz w:val="20"/>
          <w:szCs w:val="20"/>
        </w:rPr>
        <w:t xml:space="preserve"> to</w:t>
      </w:r>
      <w:r w:rsidR="00356896" w:rsidRPr="00A0498F">
        <w:rPr>
          <w:rFonts w:cstheme="minorHAnsi"/>
          <w:sz w:val="20"/>
          <w:szCs w:val="20"/>
        </w:rPr>
        <w:t xml:space="preserve"> initiate conversation about building</w:t>
      </w:r>
      <w:r w:rsidRPr="00A0498F">
        <w:rPr>
          <w:rFonts w:cstheme="minorHAnsi"/>
          <w:sz w:val="20"/>
          <w:szCs w:val="20"/>
        </w:rPr>
        <w:t xml:space="preserve"> infrastructure for systematic data collection and establishing international standards for</w:t>
      </w:r>
      <w:r w:rsidR="00356896" w:rsidRPr="00A0498F">
        <w:rPr>
          <w:rFonts w:cstheme="minorHAnsi"/>
          <w:sz w:val="20"/>
          <w:szCs w:val="20"/>
        </w:rPr>
        <w:t xml:space="preserve"> </w:t>
      </w:r>
      <w:r w:rsidRPr="00A0498F">
        <w:rPr>
          <w:rFonts w:cstheme="minorHAnsi"/>
          <w:sz w:val="20"/>
          <w:szCs w:val="20"/>
        </w:rPr>
        <w:t xml:space="preserve">data reporting </w:t>
      </w:r>
      <w:r w:rsidR="00356896" w:rsidRPr="00A0498F">
        <w:rPr>
          <w:rFonts w:cstheme="minorHAnsi"/>
          <w:sz w:val="20"/>
          <w:szCs w:val="20"/>
        </w:rPr>
        <w:t>across Europe and around the world. I</w:t>
      </w:r>
      <w:r w:rsidRPr="00A0498F">
        <w:rPr>
          <w:rFonts w:cstheme="minorHAnsi"/>
          <w:sz w:val="20"/>
          <w:szCs w:val="20"/>
        </w:rPr>
        <w:t>mprov</w:t>
      </w:r>
      <w:r w:rsidR="00356896" w:rsidRPr="00A0498F">
        <w:rPr>
          <w:rFonts w:cstheme="minorHAnsi"/>
          <w:sz w:val="20"/>
          <w:szCs w:val="20"/>
        </w:rPr>
        <w:t>ing</w:t>
      </w:r>
      <w:r w:rsidRPr="00A0498F">
        <w:rPr>
          <w:rFonts w:cstheme="minorHAnsi"/>
          <w:sz w:val="20"/>
          <w:szCs w:val="20"/>
        </w:rPr>
        <w:t xml:space="preserve"> data availability and quality in the long term</w:t>
      </w:r>
      <w:r w:rsidR="00356896" w:rsidRPr="00A0498F">
        <w:rPr>
          <w:rFonts w:cstheme="minorHAnsi"/>
          <w:sz w:val="20"/>
          <w:szCs w:val="20"/>
        </w:rPr>
        <w:t xml:space="preserve"> could lead to more accurate research on cross-border giving and </w:t>
      </w:r>
      <w:r w:rsidRPr="00A0498F">
        <w:rPr>
          <w:rFonts w:cstheme="minorHAnsi"/>
          <w:sz w:val="20"/>
          <w:szCs w:val="20"/>
        </w:rPr>
        <w:t xml:space="preserve">support </w:t>
      </w:r>
      <w:r w:rsidR="00356896" w:rsidRPr="00A0498F">
        <w:rPr>
          <w:rFonts w:cstheme="minorHAnsi"/>
          <w:sz w:val="20"/>
          <w:szCs w:val="20"/>
        </w:rPr>
        <w:t xml:space="preserve">the international </w:t>
      </w:r>
      <w:r w:rsidRPr="00A0498F">
        <w:rPr>
          <w:rFonts w:cstheme="minorHAnsi"/>
          <w:sz w:val="20"/>
          <w:szCs w:val="20"/>
        </w:rPr>
        <w:t>donor</w:t>
      </w:r>
      <w:r w:rsidR="00356896" w:rsidRPr="00A0498F">
        <w:rPr>
          <w:rFonts w:cstheme="minorHAnsi"/>
          <w:sz w:val="20"/>
          <w:szCs w:val="20"/>
        </w:rPr>
        <w:t xml:space="preserve"> community</w:t>
      </w:r>
      <w:r w:rsidRPr="00A0498F">
        <w:rPr>
          <w:rFonts w:cstheme="minorHAnsi"/>
          <w:sz w:val="20"/>
          <w:szCs w:val="20"/>
        </w:rPr>
        <w:t xml:space="preserve"> to make informed, data-driven decisions.</w:t>
      </w:r>
    </w:p>
    <w:p w14:paraId="585C3A9B" w14:textId="77777777" w:rsidR="00A0498F" w:rsidRPr="00A0498F" w:rsidRDefault="00A0498F" w:rsidP="00A0498F">
      <w:pPr>
        <w:pStyle w:val="NoSpacing"/>
        <w:rPr>
          <w:rFonts w:cstheme="minorHAnsi"/>
          <w:b/>
          <w:bCs/>
          <w:sz w:val="20"/>
          <w:szCs w:val="20"/>
        </w:rPr>
      </w:pPr>
    </w:p>
    <w:p w14:paraId="3BAD3EF5" w14:textId="6BF316DF" w:rsidR="00A0498F" w:rsidRPr="00A0498F" w:rsidRDefault="00A0498F" w:rsidP="000A6044">
      <w:pPr>
        <w:pStyle w:val="Heading1"/>
        <w:rPr>
          <w:rFonts w:asciiTheme="minorHAnsi" w:hAnsiTheme="minorHAnsi" w:cstheme="minorHAnsi"/>
          <w:sz w:val="20"/>
          <w:szCs w:val="20"/>
        </w:rPr>
      </w:pPr>
      <w:bookmarkStart w:id="15" w:name="_Toc138453609"/>
      <w:r w:rsidRPr="00A0498F">
        <w:rPr>
          <w:rFonts w:asciiTheme="minorHAnsi" w:hAnsiTheme="minorHAnsi" w:cstheme="minorHAnsi"/>
          <w:sz w:val="20"/>
          <w:szCs w:val="20"/>
        </w:rPr>
        <w:t>Acknowledgments</w:t>
      </w:r>
      <w:bookmarkEnd w:id="15"/>
    </w:p>
    <w:p w14:paraId="0055217D" w14:textId="77777777" w:rsidR="00A0498F" w:rsidRPr="00A0498F" w:rsidRDefault="00A0498F" w:rsidP="00A0498F">
      <w:pPr>
        <w:pStyle w:val="NoSpacing"/>
        <w:rPr>
          <w:rFonts w:cstheme="minorHAnsi"/>
          <w:sz w:val="20"/>
          <w:szCs w:val="20"/>
        </w:rPr>
      </w:pPr>
      <w:r w:rsidRPr="00A0498F">
        <w:rPr>
          <w:rFonts w:cstheme="minorHAnsi"/>
          <w:sz w:val="20"/>
          <w:szCs w:val="20"/>
        </w:rPr>
        <w:t xml:space="preserve">This paper was developed based on the data collected as part of the 2023 </w:t>
      </w:r>
      <w:r w:rsidRPr="00A0498F">
        <w:rPr>
          <w:rFonts w:cstheme="minorHAnsi"/>
          <w:i/>
          <w:sz w:val="20"/>
          <w:szCs w:val="20"/>
        </w:rPr>
        <w:t>Global Philanthropy Tracker</w:t>
      </w:r>
      <w:r w:rsidRPr="00A0498F">
        <w:rPr>
          <w:rFonts w:cstheme="minorHAnsi"/>
          <w:sz w:val="20"/>
          <w:szCs w:val="20"/>
        </w:rPr>
        <w:t xml:space="preserve"> report researched and published by the Indiana University Lilly Family School of Philanthropy. For more information about the global study, please visit </w:t>
      </w:r>
      <w:hyperlink r:id="rId21" w:history="1">
        <w:r w:rsidRPr="00A0498F">
          <w:rPr>
            <w:rStyle w:val="Hyperlink"/>
            <w:rFonts w:cstheme="minorHAnsi"/>
            <w:sz w:val="20"/>
            <w:szCs w:val="20"/>
          </w:rPr>
          <w:t>https://globalindices.iupui.edu/tracker/index.html</w:t>
        </w:r>
      </w:hyperlink>
      <w:r w:rsidRPr="00A0498F">
        <w:rPr>
          <w:rFonts w:cstheme="minorHAnsi"/>
          <w:sz w:val="20"/>
          <w:szCs w:val="20"/>
        </w:rPr>
        <w:t xml:space="preserve">. </w:t>
      </w:r>
    </w:p>
    <w:p w14:paraId="5CF25BC6" w14:textId="77777777" w:rsidR="00A0498F" w:rsidRPr="00A0498F" w:rsidRDefault="00A0498F" w:rsidP="00A0498F">
      <w:pPr>
        <w:pStyle w:val="NoSpacing"/>
        <w:rPr>
          <w:rFonts w:cstheme="minorHAnsi"/>
          <w:sz w:val="20"/>
          <w:szCs w:val="20"/>
        </w:rPr>
      </w:pPr>
      <w:r w:rsidRPr="00A0498F">
        <w:rPr>
          <w:rFonts w:cstheme="minorHAnsi"/>
          <w:sz w:val="20"/>
          <w:szCs w:val="20"/>
        </w:rPr>
        <w:t xml:space="preserve">The authors of this paper would like to thank the </w:t>
      </w:r>
      <w:r w:rsidRPr="00A0498F">
        <w:rPr>
          <w:rFonts w:cstheme="minorHAnsi"/>
          <w:i/>
          <w:sz w:val="20"/>
          <w:szCs w:val="20"/>
        </w:rPr>
        <w:t>Global Philanthropy Tracker</w:t>
      </w:r>
      <w:r w:rsidRPr="00A0498F">
        <w:rPr>
          <w:rFonts w:cstheme="minorHAnsi"/>
          <w:sz w:val="20"/>
          <w:szCs w:val="20"/>
        </w:rPr>
        <w:t xml:space="preserve"> project team for their contribution to this paper. </w:t>
      </w:r>
    </w:p>
    <w:p w14:paraId="58B7B0F1" w14:textId="77777777" w:rsidR="00A0498F" w:rsidRPr="00A0498F" w:rsidRDefault="00A0498F" w:rsidP="00A0498F">
      <w:pPr>
        <w:pStyle w:val="NoSpacing"/>
        <w:rPr>
          <w:rFonts w:cstheme="minorHAnsi"/>
          <w:color w:val="242424"/>
          <w:sz w:val="20"/>
          <w:szCs w:val="20"/>
        </w:rPr>
      </w:pPr>
      <w:r w:rsidRPr="00A0498F">
        <w:rPr>
          <w:rFonts w:cstheme="minorHAnsi"/>
          <w:sz w:val="20"/>
          <w:szCs w:val="20"/>
        </w:rPr>
        <w:t xml:space="preserve">The </w:t>
      </w:r>
      <w:r w:rsidRPr="00A0498F">
        <w:rPr>
          <w:rFonts w:cstheme="minorHAnsi"/>
          <w:i/>
          <w:sz w:val="20"/>
          <w:szCs w:val="20"/>
        </w:rPr>
        <w:t>Global Philanthropy Tracker</w:t>
      </w:r>
      <w:r w:rsidRPr="00A0498F">
        <w:rPr>
          <w:rFonts w:cstheme="minorHAnsi"/>
          <w:sz w:val="20"/>
          <w:szCs w:val="20"/>
        </w:rPr>
        <w:t xml:space="preserve"> was funded by the Bill &amp; Melinda Gates Foundation and the John Templeton Foundation. The opinions expressed in this paper are those of the authors and do not necessarily reflect the official positions or policies of these foundations.</w:t>
      </w:r>
    </w:p>
    <w:p w14:paraId="4448E606" w14:textId="77777777" w:rsidR="00A0498F" w:rsidRPr="00A0498F" w:rsidRDefault="00A0498F" w:rsidP="004D1183">
      <w:pPr>
        <w:pStyle w:val="Heading1"/>
        <w:rPr>
          <w:rFonts w:asciiTheme="minorHAnsi" w:hAnsiTheme="minorHAnsi" w:cstheme="minorHAnsi"/>
          <w:sz w:val="20"/>
          <w:szCs w:val="20"/>
        </w:rPr>
      </w:pPr>
    </w:p>
    <w:p w14:paraId="1826A5B2" w14:textId="6B651E2D" w:rsidR="00685D93" w:rsidRPr="00A0498F" w:rsidRDefault="000A6044" w:rsidP="000A6044">
      <w:pPr>
        <w:pStyle w:val="Heading1"/>
        <w:rPr>
          <w:rFonts w:asciiTheme="minorHAnsi" w:hAnsiTheme="minorHAnsi" w:cstheme="minorHAnsi"/>
          <w:sz w:val="20"/>
          <w:szCs w:val="20"/>
        </w:rPr>
      </w:pPr>
      <w:bookmarkStart w:id="16" w:name="_Toc138453610"/>
      <w:r>
        <w:rPr>
          <w:rFonts w:asciiTheme="minorHAnsi" w:hAnsiTheme="minorHAnsi" w:cstheme="minorHAnsi"/>
          <w:sz w:val="20"/>
          <w:szCs w:val="20"/>
        </w:rPr>
        <w:t>References</w:t>
      </w:r>
      <w:bookmarkEnd w:id="16"/>
    </w:p>
    <w:p w14:paraId="402360D4" w14:textId="004035E9" w:rsidR="004B37CB" w:rsidRPr="00A0498F" w:rsidRDefault="004B37CB" w:rsidP="004B37CB">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Arab Foundations Forum. (2023). Sustainable Development Goals. </w:t>
      </w:r>
      <w:hyperlink r:id="rId22" w:history="1">
        <w:r w:rsidRPr="00A0498F">
          <w:rPr>
            <w:rStyle w:val="Hyperlink"/>
            <w:rFonts w:asciiTheme="minorHAnsi" w:hAnsiTheme="minorHAnsi" w:cstheme="minorHAnsi"/>
            <w:noProof w:val="0"/>
            <w:sz w:val="20"/>
            <w:szCs w:val="20"/>
          </w:rPr>
          <w:t>https://arabfoundationsforum.org/sustainable-development-goals/</w:t>
        </w:r>
      </w:hyperlink>
    </w:p>
    <w:p w14:paraId="72607DED" w14:textId="77777777" w:rsidR="004B37CB" w:rsidRPr="00A0498F" w:rsidRDefault="004B37CB" w:rsidP="004B37CB">
      <w:pPr>
        <w:pStyle w:val="EndNoteBibliography"/>
        <w:ind w:left="720" w:hanging="720"/>
        <w:rPr>
          <w:rFonts w:asciiTheme="minorHAnsi" w:hAnsiTheme="minorHAnsi" w:cstheme="minorHAnsi"/>
          <w:noProof w:val="0"/>
          <w:sz w:val="20"/>
          <w:szCs w:val="20"/>
        </w:rPr>
      </w:pPr>
    </w:p>
    <w:p w14:paraId="7B6F2654" w14:textId="19B5E6B5" w:rsidR="004B37CB" w:rsidRPr="00A0498F" w:rsidRDefault="004B37CB" w:rsidP="004B37CB">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Candid. (2023). SDGFunders [Data set]. </w:t>
      </w:r>
      <w:hyperlink r:id="rId23" w:history="1">
        <w:r w:rsidRPr="00A0498F">
          <w:rPr>
            <w:rStyle w:val="Hyperlink"/>
            <w:rFonts w:asciiTheme="minorHAnsi" w:hAnsiTheme="minorHAnsi" w:cstheme="minorHAnsi"/>
            <w:noProof w:val="0"/>
            <w:sz w:val="20"/>
            <w:szCs w:val="20"/>
          </w:rPr>
          <w:t>https://sdgfunders.org/sdgs/</w:t>
        </w:r>
      </w:hyperlink>
      <w:r w:rsidRPr="00A0498F">
        <w:rPr>
          <w:rFonts w:asciiTheme="minorHAnsi" w:hAnsiTheme="minorHAnsi" w:cstheme="minorHAnsi"/>
          <w:noProof w:val="0"/>
          <w:sz w:val="20"/>
          <w:szCs w:val="20"/>
        </w:rPr>
        <w:t xml:space="preserve"> </w:t>
      </w:r>
    </w:p>
    <w:p w14:paraId="2A590875" w14:textId="77777777" w:rsidR="004B37CB" w:rsidRPr="00A0498F" w:rsidRDefault="004B37CB" w:rsidP="004B37CB">
      <w:pPr>
        <w:pStyle w:val="EndNoteBibliography"/>
        <w:ind w:left="720" w:hanging="720"/>
        <w:rPr>
          <w:rFonts w:asciiTheme="minorHAnsi" w:hAnsiTheme="minorHAnsi" w:cstheme="minorHAnsi"/>
          <w:noProof w:val="0"/>
          <w:sz w:val="20"/>
          <w:szCs w:val="20"/>
        </w:rPr>
      </w:pPr>
    </w:p>
    <w:p w14:paraId="5D54F9E0" w14:textId="15467A5F" w:rsidR="004B37CB" w:rsidRPr="00A0498F" w:rsidRDefault="004B37CB" w:rsidP="004B37CB">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Candid. (2023). FAQ for Candid’s racial equity data. </w:t>
      </w:r>
      <w:hyperlink r:id="rId24" w:history="1">
        <w:r w:rsidRPr="00A0498F">
          <w:rPr>
            <w:rStyle w:val="Hyperlink"/>
            <w:rFonts w:asciiTheme="minorHAnsi" w:hAnsiTheme="minorHAnsi" w:cstheme="minorHAnsi"/>
            <w:noProof w:val="0"/>
            <w:sz w:val="20"/>
            <w:szCs w:val="20"/>
          </w:rPr>
          <w:t>https://candid.org/explore-issues/racial-equity/faq</w:t>
        </w:r>
      </w:hyperlink>
    </w:p>
    <w:p w14:paraId="0C89E3FD" w14:textId="77777777" w:rsidR="004B37CB" w:rsidRPr="00A0498F" w:rsidRDefault="004B37CB" w:rsidP="004B37CB">
      <w:pPr>
        <w:pStyle w:val="EndNoteBibliography"/>
        <w:ind w:left="720" w:hanging="720"/>
        <w:rPr>
          <w:rFonts w:asciiTheme="minorHAnsi" w:hAnsiTheme="minorHAnsi" w:cstheme="minorHAnsi"/>
          <w:noProof w:val="0"/>
          <w:sz w:val="20"/>
          <w:szCs w:val="20"/>
        </w:rPr>
      </w:pPr>
    </w:p>
    <w:p w14:paraId="0E844AF0" w14:textId="2BACC5C7" w:rsidR="004B37CB" w:rsidRPr="00A0498F" w:rsidRDefault="004B37CB" w:rsidP="004B37CB">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ClimateWorks. (2022). Funding trends 2022: Climate change mitigation philanthropy. </w:t>
      </w:r>
      <w:hyperlink r:id="rId25" w:history="1">
        <w:r w:rsidRPr="00A0498F">
          <w:rPr>
            <w:rStyle w:val="Hyperlink"/>
            <w:rFonts w:asciiTheme="minorHAnsi" w:hAnsiTheme="minorHAnsi" w:cstheme="minorHAnsi"/>
            <w:noProof w:val="0"/>
            <w:sz w:val="20"/>
            <w:szCs w:val="20"/>
          </w:rPr>
          <w:t>https://www.climateworks.org/report/funding-trends-2022/</w:t>
        </w:r>
      </w:hyperlink>
    </w:p>
    <w:p w14:paraId="1DFAB5E0" w14:textId="77777777" w:rsidR="004B37CB" w:rsidRPr="00A0498F" w:rsidRDefault="004B37CB" w:rsidP="004B37CB">
      <w:pPr>
        <w:pStyle w:val="EndNoteBibliography"/>
        <w:ind w:left="720" w:hanging="720"/>
        <w:rPr>
          <w:rFonts w:asciiTheme="minorHAnsi" w:hAnsiTheme="minorHAnsi" w:cstheme="minorHAnsi"/>
          <w:noProof w:val="0"/>
          <w:sz w:val="20"/>
          <w:szCs w:val="20"/>
        </w:rPr>
      </w:pPr>
    </w:p>
    <w:p w14:paraId="65CE703A" w14:textId="6280D027" w:rsidR="004B37CB" w:rsidRPr="00A0498F" w:rsidRDefault="004B37CB" w:rsidP="004B37CB">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Cyril, M.D., Kan, L.M., Maulbeck, B.F., &amp; Villarosa, L. (2021). Mismatched: Philanthropy’s Response to the Call for Racial Justice. Philanthropic Initiative for Racial Equity. </w:t>
      </w:r>
      <w:hyperlink r:id="rId26" w:history="1">
        <w:r w:rsidRPr="00A0498F">
          <w:rPr>
            <w:rStyle w:val="Hyperlink"/>
            <w:rFonts w:asciiTheme="minorHAnsi" w:hAnsiTheme="minorHAnsi" w:cstheme="minorHAnsi"/>
            <w:noProof w:val="0"/>
            <w:sz w:val="20"/>
            <w:szCs w:val="20"/>
          </w:rPr>
          <w:t>https://racialequity.org/mismatched/</w:t>
        </w:r>
      </w:hyperlink>
    </w:p>
    <w:p w14:paraId="46CC374D" w14:textId="77777777" w:rsidR="004B37CB" w:rsidRPr="00A0498F" w:rsidRDefault="004B37CB" w:rsidP="004B37CB">
      <w:pPr>
        <w:pStyle w:val="EndNoteBibliography"/>
        <w:ind w:left="720" w:hanging="720"/>
        <w:rPr>
          <w:rFonts w:asciiTheme="minorHAnsi" w:hAnsiTheme="minorHAnsi" w:cstheme="minorHAnsi"/>
          <w:noProof w:val="0"/>
          <w:sz w:val="20"/>
          <w:szCs w:val="20"/>
        </w:rPr>
      </w:pPr>
    </w:p>
    <w:p w14:paraId="3868D9F3" w14:textId="2D8ADBD7" w:rsidR="004B37CB" w:rsidRPr="00A0498F" w:rsidRDefault="004B37CB" w:rsidP="004B37CB">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lastRenderedPageBreak/>
        <w:t xml:space="preserve">East Africa Philanthropy Network (EAPN). (2022). The State of Institutional Philanthropy in East Africa – 2021. chrome-extension://efaidnbmnnnibpcajpcglclefindmkaj/https://uploads-ssl.webflow.com/60127f811818950bd9033f7b/6245be61f602dec85aaa1175_Giving%20Research%2031-3-2022%20with%20list%20of%20Figures.pdf  </w:t>
      </w:r>
    </w:p>
    <w:p w14:paraId="3B0E4571" w14:textId="77777777" w:rsidR="004B37CB" w:rsidRPr="00A0498F" w:rsidRDefault="004B37CB" w:rsidP="004B37CB">
      <w:pPr>
        <w:pStyle w:val="EndNoteBibliography"/>
        <w:ind w:left="720" w:hanging="720"/>
        <w:rPr>
          <w:rFonts w:asciiTheme="minorHAnsi" w:hAnsiTheme="minorHAnsi" w:cstheme="minorHAnsi"/>
          <w:noProof w:val="0"/>
          <w:sz w:val="20"/>
          <w:szCs w:val="20"/>
        </w:rPr>
      </w:pPr>
    </w:p>
    <w:p w14:paraId="44B80A16" w14:textId="35B9EA93" w:rsidR="00356896" w:rsidRPr="00A0498F" w:rsidRDefault="00356896" w:rsidP="004B37CB">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Indiana University Lilly Family School of Philanthropy. (2020). </w:t>
      </w:r>
      <w:r w:rsidRPr="00A0498F">
        <w:rPr>
          <w:rFonts w:asciiTheme="minorHAnsi" w:hAnsiTheme="minorHAnsi" w:cstheme="minorHAnsi"/>
          <w:i/>
          <w:iCs/>
          <w:noProof w:val="0"/>
          <w:sz w:val="20"/>
          <w:szCs w:val="20"/>
        </w:rPr>
        <w:t xml:space="preserve">2020 Global Philanthropy Tracker. </w:t>
      </w:r>
      <w:r w:rsidRPr="00A0498F">
        <w:rPr>
          <w:rFonts w:asciiTheme="minorHAnsi" w:hAnsiTheme="minorHAnsi" w:cstheme="minorHAnsi"/>
          <w:noProof w:val="0"/>
          <w:sz w:val="20"/>
          <w:szCs w:val="20"/>
        </w:rPr>
        <w:t xml:space="preserve"> </w:t>
      </w:r>
      <w:hyperlink r:id="rId27" w:history="1">
        <w:r w:rsidR="004B37CB" w:rsidRPr="00A0498F">
          <w:rPr>
            <w:rStyle w:val="Hyperlink"/>
            <w:rFonts w:asciiTheme="minorHAnsi" w:hAnsiTheme="minorHAnsi" w:cstheme="minorHAnsi"/>
            <w:noProof w:val="0"/>
            <w:sz w:val="20"/>
            <w:szCs w:val="20"/>
          </w:rPr>
          <w:t>https://scholarworks.iupui.edu/handle/1805/24144</w:t>
        </w:r>
      </w:hyperlink>
      <w:r w:rsidR="004B37CB" w:rsidRPr="00A0498F">
        <w:rPr>
          <w:rFonts w:asciiTheme="minorHAnsi" w:hAnsiTheme="minorHAnsi" w:cstheme="minorHAnsi"/>
          <w:noProof w:val="0"/>
          <w:sz w:val="20"/>
          <w:szCs w:val="20"/>
        </w:rPr>
        <w:t xml:space="preserve"> </w:t>
      </w:r>
    </w:p>
    <w:p w14:paraId="216BBF2F" w14:textId="77777777" w:rsidR="00356896" w:rsidRPr="00A0498F" w:rsidRDefault="00356896" w:rsidP="00356896">
      <w:pPr>
        <w:pStyle w:val="EndNoteBibliography"/>
        <w:ind w:left="720" w:hanging="720"/>
        <w:rPr>
          <w:rFonts w:asciiTheme="minorHAnsi" w:hAnsiTheme="minorHAnsi" w:cstheme="minorHAnsi"/>
          <w:noProof w:val="0"/>
          <w:sz w:val="20"/>
          <w:szCs w:val="20"/>
        </w:rPr>
      </w:pPr>
    </w:p>
    <w:p w14:paraId="1CBEF8DA" w14:textId="1A5A8186" w:rsidR="00356896" w:rsidRPr="00A0498F" w:rsidRDefault="00356896"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Indiana University Lilly Family School of Philanthropy. (2023). </w:t>
      </w:r>
      <w:r w:rsidRPr="00A0498F">
        <w:rPr>
          <w:rFonts w:asciiTheme="minorHAnsi" w:hAnsiTheme="minorHAnsi" w:cstheme="minorHAnsi"/>
          <w:i/>
          <w:iCs/>
          <w:noProof w:val="0"/>
          <w:sz w:val="20"/>
          <w:szCs w:val="20"/>
        </w:rPr>
        <w:t xml:space="preserve">2023 Global Philanthropy Tracker. </w:t>
      </w:r>
      <w:r w:rsidRPr="00A0498F">
        <w:rPr>
          <w:rFonts w:asciiTheme="minorHAnsi" w:hAnsiTheme="minorHAnsi" w:cstheme="minorHAnsi"/>
          <w:noProof w:val="0"/>
          <w:sz w:val="20"/>
          <w:szCs w:val="20"/>
        </w:rPr>
        <w:t xml:space="preserve"> </w:t>
      </w:r>
      <w:hyperlink r:id="rId28" w:history="1">
        <w:r w:rsidR="004B37CB" w:rsidRPr="00A0498F">
          <w:rPr>
            <w:rStyle w:val="Hyperlink"/>
            <w:rFonts w:asciiTheme="minorHAnsi" w:hAnsiTheme="minorHAnsi" w:cstheme="minorHAnsi"/>
            <w:noProof w:val="0"/>
            <w:sz w:val="20"/>
            <w:szCs w:val="20"/>
          </w:rPr>
          <w:t>https://scholarworks.iupui.edu/handle/1805/32365</w:t>
        </w:r>
      </w:hyperlink>
      <w:r w:rsidR="004B37CB" w:rsidRPr="00A0498F">
        <w:rPr>
          <w:rFonts w:asciiTheme="minorHAnsi" w:hAnsiTheme="minorHAnsi" w:cstheme="minorHAnsi"/>
          <w:noProof w:val="0"/>
          <w:sz w:val="20"/>
          <w:szCs w:val="20"/>
        </w:rPr>
        <w:t xml:space="preserve"> </w:t>
      </w:r>
    </w:p>
    <w:p w14:paraId="6367B4CC" w14:textId="77777777" w:rsidR="00356896" w:rsidRPr="00A0498F" w:rsidRDefault="00356896" w:rsidP="00356896">
      <w:pPr>
        <w:pStyle w:val="EndNoteBibliography"/>
        <w:ind w:left="720" w:hanging="720"/>
        <w:rPr>
          <w:rFonts w:asciiTheme="minorHAnsi" w:hAnsiTheme="minorHAnsi" w:cstheme="minorHAnsi"/>
          <w:noProof w:val="0"/>
          <w:sz w:val="20"/>
          <w:szCs w:val="20"/>
        </w:rPr>
      </w:pPr>
    </w:p>
    <w:p w14:paraId="1C8FE8E7" w14:textId="72453A67" w:rsidR="00356896" w:rsidRPr="00A0498F" w:rsidRDefault="00356896"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Indiana University Lilly Family School of Philanthropy. (2022). </w:t>
      </w:r>
      <w:r w:rsidRPr="00A0498F">
        <w:rPr>
          <w:rFonts w:asciiTheme="minorHAnsi" w:hAnsiTheme="minorHAnsi" w:cstheme="minorHAnsi"/>
          <w:i/>
          <w:iCs/>
          <w:noProof w:val="0"/>
          <w:sz w:val="20"/>
          <w:szCs w:val="20"/>
        </w:rPr>
        <w:t xml:space="preserve">2022 Global Philanthropy Environment Index. </w:t>
      </w:r>
      <w:hyperlink r:id="rId29" w:history="1">
        <w:r w:rsidR="004B37CB" w:rsidRPr="00A0498F">
          <w:rPr>
            <w:rStyle w:val="Hyperlink"/>
            <w:rFonts w:asciiTheme="minorHAnsi" w:hAnsiTheme="minorHAnsi" w:cstheme="minorHAnsi"/>
            <w:noProof w:val="0"/>
            <w:sz w:val="20"/>
            <w:szCs w:val="20"/>
          </w:rPr>
          <w:t>https://scholarworks.iupui.edu/handle/1805/28098</w:t>
        </w:r>
      </w:hyperlink>
      <w:r w:rsidR="004B37CB" w:rsidRPr="00A0498F">
        <w:rPr>
          <w:rFonts w:asciiTheme="minorHAnsi" w:hAnsiTheme="minorHAnsi" w:cstheme="minorHAnsi"/>
          <w:noProof w:val="0"/>
          <w:sz w:val="20"/>
          <w:szCs w:val="20"/>
        </w:rPr>
        <w:t xml:space="preserve"> </w:t>
      </w:r>
      <w:r w:rsidRPr="00A0498F">
        <w:rPr>
          <w:rFonts w:asciiTheme="minorHAnsi" w:hAnsiTheme="minorHAnsi" w:cstheme="minorHAnsi"/>
          <w:noProof w:val="0"/>
          <w:sz w:val="20"/>
          <w:szCs w:val="20"/>
        </w:rPr>
        <w:t xml:space="preserve"> </w:t>
      </w:r>
    </w:p>
    <w:p w14:paraId="7B74BDD9" w14:textId="77777777" w:rsidR="009A7048" w:rsidRPr="00A0498F" w:rsidRDefault="009A7048" w:rsidP="009A7048">
      <w:pPr>
        <w:pStyle w:val="EndNoteBibliography"/>
        <w:ind w:left="720" w:hanging="720"/>
        <w:rPr>
          <w:rFonts w:asciiTheme="minorHAnsi" w:hAnsiTheme="minorHAnsi" w:cstheme="minorHAnsi"/>
          <w:noProof w:val="0"/>
          <w:sz w:val="20"/>
          <w:szCs w:val="20"/>
        </w:rPr>
      </w:pPr>
    </w:p>
    <w:p w14:paraId="705A57C0" w14:textId="14BAF141" w:rsidR="009A7048" w:rsidRPr="00A0498F" w:rsidRDefault="009A7048" w:rsidP="009A7048">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Koçak, S., &amp; Barış-Tüzemen, Ö. (2022, July 28). Impact of the COVID-19 on foreign direct investment inflows in emerging economies: evidence from panel quantile regression. </w:t>
      </w:r>
      <w:r w:rsidRPr="00A0498F">
        <w:rPr>
          <w:rFonts w:asciiTheme="minorHAnsi" w:hAnsiTheme="minorHAnsi" w:cstheme="minorHAnsi"/>
          <w:i/>
          <w:iCs/>
          <w:noProof w:val="0"/>
          <w:sz w:val="20"/>
          <w:szCs w:val="20"/>
        </w:rPr>
        <w:t>Future Business Journal</w:t>
      </w:r>
      <w:r w:rsidRPr="00A0498F">
        <w:rPr>
          <w:rFonts w:asciiTheme="minorHAnsi" w:hAnsiTheme="minorHAnsi" w:cstheme="minorHAnsi"/>
          <w:noProof w:val="0"/>
          <w:sz w:val="20"/>
          <w:szCs w:val="20"/>
        </w:rPr>
        <w:t xml:space="preserve">, 8(1). </w:t>
      </w:r>
      <w:hyperlink r:id="rId30" w:history="1">
        <w:r w:rsidRPr="00A0498F">
          <w:rPr>
            <w:rStyle w:val="Hyperlink"/>
            <w:rFonts w:asciiTheme="minorHAnsi" w:hAnsiTheme="minorHAnsi" w:cstheme="minorHAnsi"/>
            <w:noProof w:val="0"/>
            <w:sz w:val="20"/>
            <w:szCs w:val="20"/>
          </w:rPr>
          <w:t>https://doi.org/10.1186/s43093-022-00133-9</w:t>
        </w:r>
      </w:hyperlink>
      <w:r w:rsidRPr="00A0498F">
        <w:rPr>
          <w:rFonts w:asciiTheme="minorHAnsi" w:hAnsiTheme="minorHAnsi" w:cstheme="minorHAnsi"/>
          <w:noProof w:val="0"/>
          <w:sz w:val="20"/>
          <w:szCs w:val="20"/>
        </w:rPr>
        <w:t xml:space="preserve"> </w:t>
      </w:r>
    </w:p>
    <w:p w14:paraId="57E6A3E2" w14:textId="77777777" w:rsidR="00356896" w:rsidRPr="00A0498F" w:rsidRDefault="00356896" w:rsidP="00356896">
      <w:pPr>
        <w:pStyle w:val="EndNoteBibliography"/>
        <w:ind w:left="720" w:hanging="720"/>
        <w:rPr>
          <w:rFonts w:asciiTheme="minorHAnsi" w:hAnsiTheme="minorHAnsi" w:cstheme="minorHAnsi"/>
          <w:noProof w:val="0"/>
          <w:sz w:val="20"/>
          <w:szCs w:val="20"/>
        </w:rPr>
      </w:pPr>
    </w:p>
    <w:p w14:paraId="46519E39" w14:textId="436D96DD" w:rsidR="00F36E36" w:rsidRPr="00A0498F" w:rsidRDefault="00F36E36"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Koenig, A-N., &amp; Jackson, E.T. (2016, February). </w:t>
      </w:r>
      <w:r w:rsidRPr="00A0498F">
        <w:rPr>
          <w:rFonts w:asciiTheme="minorHAnsi" w:hAnsiTheme="minorHAnsi" w:cstheme="minorHAnsi"/>
          <w:i/>
          <w:iCs/>
          <w:noProof w:val="0"/>
          <w:sz w:val="20"/>
          <w:szCs w:val="20"/>
        </w:rPr>
        <w:t xml:space="preserve">Private capital for sustainable development: Concepts, </w:t>
      </w:r>
      <w:proofErr w:type="gramStart"/>
      <w:r w:rsidRPr="00A0498F">
        <w:rPr>
          <w:rFonts w:asciiTheme="minorHAnsi" w:hAnsiTheme="minorHAnsi" w:cstheme="minorHAnsi"/>
          <w:i/>
          <w:iCs/>
          <w:noProof w:val="0"/>
          <w:sz w:val="20"/>
          <w:szCs w:val="20"/>
        </w:rPr>
        <w:t>issues</w:t>
      </w:r>
      <w:proofErr w:type="gramEnd"/>
      <w:r w:rsidRPr="00A0498F">
        <w:rPr>
          <w:rFonts w:asciiTheme="minorHAnsi" w:hAnsiTheme="minorHAnsi" w:cstheme="minorHAnsi"/>
          <w:i/>
          <w:iCs/>
          <w:noProof w:val="0"/>
          <w:sz w:val="20"/>
          <w:szCs w:val="20"/>
        </w:rPr>
        <w:t xml:space="preserve"> and options for engagement in impact investing and innovative finance.</w:t>
      </w:r>
      <w:r w:rsidRPr="00A0498F">
        <w:rPr>
          <w:rFonts w:asciiTheme="minorHAnsi" w:hAnsiTheme="minorHAnsi" w:cstheme="minorHAnsi"/>
          <w:noProof w:val="0"/>
          <w:sz w:val="20"/>
          <w:szCs w:val="20"/>
        </w:rPr>
        <w:t xml:space="preserve"> Ministry of Foreign Affairs of Denmark. </w:t>
      </w:r>
      <w:hyperlink r:id="rId31" w:history="1">
        <w:r w:rsidRPr="00A0498F">
          <w:rPr>
            <w:rStyle w:val="Hyperlink"/>
            <w:rFonts w:asciiTheme="minorHAnsi" w:hAnsiTheme="minorHAnsi" w:cstheme="minorHAnsi"/>
            <w:noProof w:val="0"/>
            <w:sz w:val="20"/>
            <w:szCs w:val="20"/>
          </w:rPr>
          <w:t>https://um.dk/en/danida/results/eval/eval_reports/private-capital-20160321t102322</w:t>
        </w:r>
      </w:hyperlink>
    </w:p>
    <w:p w14:paraId="617853FA" w14:textId="77777777" w:rsidR="00F36E36" w:rsidRPr="00A0498F" w:rsidRDefault="00F36E36" w:rsidP="00356896">
      <w:pPr>
        <w:pStyle w:val="EndNoteBibliography"/>
        <w:ind w:left="720" w:hanging="720"/>
        <w:rPr>
          <w:rFonts w:asciiTheme="minorHAnsi" w:hAnsiTheme="minorHAnsi" w:cstheme="minorHAnsi"/>
          <w:noProof w:val="0"/>
          <w:sz w:val="20"/>
          <w:szCs w:val="20"/>
        </w:rPr>
      </w:pPr>
    </w:p>
    <w:p w14:paraId="0AC49889" w14:textId="70F6C788" w:rsidR="00F36E36" w:rsidRPr="00A0498F" w:rsidRDefault="00F36E36"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Kretchmer, H. (2020, July 6). </w:t>
      </w:r>
      <w:r w:rsidRPr="00A0498F">
        <w:rPr>
          <w:rFonts w:asciiTheme="minorHAnsi" w:hAnsiTheme="minorHAnsi" w:cstheme="minorHAnsi"/>
          <w:i/>
          <w:iCs/>
          <w:noProof w:val="0"/>
          <w:sz w:val="20"/>
          <w:szCs w:val="20"/>
        </w:rPr>
        <w:t>Remittances could fall by $100 billion because of COVID-19: Here's why that matters</w:t>
      </w:r>
      <w:r w:rsidRPr="00A0498F">
        <w:rPr>
          <w:rFonts w:asciiTheme="minorHAnsi" w:hAnsiTheme="minorHAnsi" w:cstheme="minorHAnsi"/>
          <w:noProof w:val="0"/>
          <w:sz w:val="20"/>
          <w:szCs w:val="20"/>
        </w:rPr>
        <w:t xml:space="preserve">. World Economic Forum. </w:t>
      </w:r>
      <w:hyperlink r:id="rId32" w:history="1">
        <w:r w:rsidRPr="00A0498F">
          <w:rPr>
            <w:rStyle w:val="Hyperlink"/>
            <w:rFonts w:asciiTheme="minorHAnsi" w:hAnsiTheme="minorHAnsi" w:cstheme="minorHAnsi"/>
            <w:noProof w:val="0"/>
            <w:sz w:val="20"/>
            <w:szCs w:val="20"/>
          </w:rPr>
          <w:t>https://www.weforum.org/agenda/2020/07/remittances-decline-covid-19-migrants-low-income-economies/</w:t>
        </w:r>
      </w:hyperlink>
    </w:p>
    <w:p w14:paraId="3673D9A7" w14:textId="77777777" w:rsidR="00F36E36" w:rsidRPr="00A0498F" w:rsidRDefault="00F36E36" w:rsidP="00356896">
      <w:pPr>
        <w:pStyle w:val="EndNoteBibliography"/>
        <w:ind w:left="720" w:hanging="720"/>
        <w:rPr>
          <w:rFonts w:asciiTheme="minorHAnsi" w:hAnsiTheme="minorHAnsi" w:cstheme="minorHAnsi"/>
          <w:noProof w:val="0"/>
          <w:sz w:val="20"/>
          <w:szCs w:val="20"/>
        </w:rPr>
      </w:pPr>
    </w:p>
    <w:p w14:paraId="4629F742" w14:textId="4DC20A71" w:rsidR="00356896" w:rsidRPr="00A0498F" w:rsidRDefault="009A7048"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Organisation for Economic Co-operation and Development</w:t>
      </w:r>
      <w:r w:rsidR="00356896" w:rsidRPr="00A0498F">
        <w:rPr>
          <w:rFonts w:asciiTheme="minorHAnsi" w:hAnsiTheme="minorHAnsi" w:cstheme="minorHAnsi"/>
          <w:noProof w:val="0"/>
          <w:sz w:val="20"/>
          <w:szCs w:val="20"/>
        </w:rPr>
        <w:t xml:space="preserve">. (2021). </w:t>
      </w:r>
      <w:r w:rsidR="00356896" w:rsidRPr="00A0498F">
        <w:rPr>
          <w:rFonts w:asciiTheme="minorHAnsi" w:hAnsiTheme="minorHAnsi" w:cstheme="minorHAnsi"/>
          <w:i/>
          <w:iCs/>
          <w:noProof w:val="0"/>
          <w:sz w:val="20"/>
          <w:szCs w:val="20"/>
        </w:rPr>
        <w:t>Private philanthropy for development – Second Edition</w:t>
      </w:r>
      <w:r w:rsidR="00356896" w:rsidRPr="00A0498F">
        <w:rPr>
          <w:rFonts w:asciiTheme="minorHAnsi" w:hAnsiTheme="minorHAnsi" w:cstheme="minorHAnsi"/>
          <w:i/>
          <w:iCs/>
          <w:sz w:val="20"/>
          <w:szCs w:val="20"/>
        </w:rPr>
        <w:t xml:space="preserve"> </w:t>
      </w:r>
      <w:r w:rsidR="00356896" w:rsidRPr="00A0498F">
        <w:rPr>
          <w:rFonts w:asciiTheme="minorHAnsi" w:hAnsiTheme="minorHAnsi" w:cstheme="minorHAnsi"/>
          <w:i/>
          <w:iCs/>
          <w:noProof w:val="0"/>
          <w:sz w:val="20"/>
          <w:szCs w:val="20"/>
        </w:rPr>
        <w:t>Data for Action</w:t>
      </w:r>
      <w:r w:rsidR="00356896" w:rsidRPr="00A0498F">
        <w:rPr>
          <w:rFonts w:asciiTheme="minorHAnsi" w:hAnsiTheme="minorHAnsi" w:cstheme="minorHAnsi"/>
          <w:noProof w:val="0"/>
          <w:sz w:val="20"/>
          <w:szCs w:val="20"/>
        </w:rPr>
        <w:t xml:space="preserve">. The Development Dimension, OECD Publishing, Paris. </w:t>
      </w:r>
      <w:hyperlink r:id="rId33" w:history="1">
        <w:r w:rsidR="004B37CB" w:rsidRPr="00A0498F">
          <w:rPr>
            <w:rStyle w:val="Hyperlink"/>
            <w:rFonts w:asciiTheme="minorHAnsi" w:hAnsiTheme="minorHAnsi" w:cstheme="minorHAnsi"/>
            <w:noProof w:val="0"/>
            <w:sz w:val="20"/>
            <w:szCs w:val="20"/>
          </w:rPr>
          <w:t>https://doi.org/10.1787/cdf37f1e-en</w:t>
        </w:r>
      </w:hyperlink>
      <w:r w:rsidR="004B37CB" w:rsidRPr="00A0498F">
        <w:rPr>
          <w:rFonts w:asciiTheme="minorHAnsi" w:hAnsiTheme="minorHAnsi" w:cstheme="minorHAnsi"/>
          <w:noProof w:val="0"/>
          <w:sz w:val="20"/>
          <w:szCs w:val="20"/>
        </w:rPr>
        <w:t xml:space="preserve"> </w:t>
      </w:r>
    </w:p>
    <w:p w14:paraId="0A6F4D1B" w14:textId="77777777" w:rsidR="00F36E36" w:rsidRPr="00A0498F" w:rsidRDefault="00F36E36" w:rsidP="00356896">
      <w:pPr>
        <w:pStyle w:val="EndNoteBibliography"/>
        <w:ind w:left="720" w:hanging="720"/>
        <w:rPr>
          <w:rFonts w:asciiTheme="minorHAnsi" w:hAnsiTheme="minorHAnsi" w:cstheme="minorHAnsi"/>
          <w:noProof w:val="0"/>
          <w:sz w:val="20"/>
          <w:szCs w:val="20"/>
        </w:rPr>
      </w:pPr>
    </w:p>
    <w:p w14:paraId="306D520D" w14:textId="28177CCD" w:rsidR="00F36E36" w:rsidRPr="00A0498F" w:rsidRDefault="009A7048"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Organisation for Economic Co-operation and Development</w:t>
      </w:r>
      <w:r w:rsidR="00F36E36" w:rsidRPr="00A0498F">
        <w:rPr>
          <w:rFonts w:asciiTheme="minorHAnsi" w:hAnsiTheme="minorHAnsi" w:cstheme="minorHAnsi"/>
          <w:noProof w:val="0"/>
          <w:sz w:val="20"/>
          <w:szCs w:val="20"/>
        </w:rPr>
        <w:t xml:space="preserve">. (2023a). </w:t>
      </w:r>
      <w:r w:rsidR="00F36E36" w:rsidRPr="00A0498F">
        <w:rPr>
          <w:rFonts w:asciiTheme="minorHAnsi" w:hAnsiTheme="minorHAnsi" w:cstheme="minorHAnsi"/>
          <w:i/>
          <w:iCs/>
          <w:noProof w:val="0"/>
          <w:sz w:val="20"/>
          <w:szCs w:val="20"/>
        </w:rPr>
        <w:t>Official development assistance (ODA).</w:t>
      </w:r>
      <w:r w:rsidR="00F36E36" w:rsidRPr="00A0498F">
        <w:rPr>
          <w:rFonts w:asciiTheme="minorHAnsi" w:hAnsiTheme="minorHAnsi" w:cstheme="minorHAnsi"/>
          <w:noProof w:val="0"/>
          <w:sz w:val="20"/>
          <w:szCs w:val="20"/>
        </w:rPr>
        <w:t xml:space="preserve"> </w:t>
      </w:r>
      <w:hyperlink r:id="rId34" w:history="1">
        <w:r w:rsidR="00F36E36" w:rsidRPr="00A0498F">
          <w:rPr>
            <w:rStyle w:val="Hyperlink"/>
            <w:rFonts w:asciiTheme="minorHAnsi" w:hAnsiTheme="minorHAnsi" w:cstheme="minorHAnsi"/>
            <w:noProof w:val="0"/>
            <w:sz w:val="20"/>
            <w:szCs w:val="20"/>
          </w:rPr>
          <w:t>https://www.oecd.org/dac/financing-sustainable-development/development-finance-standards/official-development-assistance.htm</w:t>
        </w:r>
      </w:hyperlink>
      <w:r w:rsidR="00F36E36" w:rsidRPr="00A0498F">
        <w:rPr>
          <w:rFonts w:asciiTheme="minorHAnsi" w:hAnsiTheme="minorHAnsi" w:cstheme="minorHAnsi"/>
          <w:noProof w:val="0"/>
          <w:sz w:val="20"/>
          <w:szCs w:val="20"/>
        </w:rPr>
        <w:t xml:space="preserve"> </w:t>
      </w:r>
    </w:p>
    <w:p w14:paraId="29CD4E23" w14:textId="77777777" w:rsidR="00F36E36" w:rsidRPr="00A0498F" w:rsidRDefault="00F36E36" w:rsidP="00356896">
      <w:pPr>
        <w:pStyle w:val="EndNoteBibliography"/>
        <w:ind w:left="720" w:hanging="720"/>
        <w:rPr>
          <w:rFonts w:asciiTheme="minorHAnsi" w:hAnsiTheme="minorHAnsi" w:cstheme="minorHAnsi"/>
          <w:noProof w:val="0"/>
          <w:sz w:val="20"/>
          <w:szCs w:val="20"/>
        </w:rPr>
      </w:pPr>
    </w:p>
    <w:p w14:paraId="438E4DD7" w14:textId="281B7F98" w:rsidR="00F36E36" w:rsidRPr="00A0498F" w:rsidRDefault="009A7048"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Organisation for Economic Co-operation and Development</w:t>
      </w:r>
      <w:r w:rsidR="00F36E36" w:rsidRPr="00A0498F">
        <w:rPr>
          <w:rFonts w:asciiTheme="minorHAnsi" w:hAnsiTheme="minorHAnsi" w:cstheme="minorHAnsi"/>
          <w:noProof w:val="0"/>
          <w:sz w:val="20"/>
          <w:szCs w:val="20"/>
        </w:rPr>
        <w:t xml:space="preserve"> (2023b). </w:t>
      </w:r>
      <w:r w:rsidR="00F36E36" w:rsidRPr="00A0498F">
        <w:rPr>
          <w:rFonts w:asciiTheme="minorHAnsi" w:hAnsiTheme="minorHAnsi" w:cstheme="minorHAnsi"/>
          <w:i/>
          <w:iCs/>
          <w:noProof w:val="0"/>
          <w:sz w:val="20"/>
          <w:szCs w:val="20"/>
        </w:rPr>
        <w:t>OECD data: Private flows</w:t>
      </w:r>
      <w:r w:rsidR="00F36E36" w:rsidRPr="00A0498F">
        <w:rPr>
          <w:rFonts w:asciiTheme="minorHAnsi" w:hAnsiTheme="minorHAnsi" w:cstheme="minorHAnsi"/>
          <w:noProof w:val="0"/>
          <w:sz w:val="20"/>
          <w:szCs w:val="20"/>
        </w:rPr>
        <w:t xml:space="preserve"> [Data set]. </w:t>
      </w:r>
      <w:hyperlink r:id="rId35" w:history="1">
        <w:r w:rsidR="00F36E36" w:rsidRPr="00A0498F">
          <w:rPr>
            <w:rStyle w:val="Hyperlink"/>
            <w:rFonts w:asciiTheme="minorHAnsi" w:hAnsiTheme="minorHAnsi" w:cstheme="minorHAnsi"/>
            <w:noProof w:val="0"/>
            <w:sz w:val="20"/>
            <w:szCs w:val="20"/>
          </w:rPr>
          <w:t>https://data.oecd.org/drf/private-flows.htm</w:t>
        </w:r>
      </w:hyperlink>
      <w:r w:rsidR="00F36E36" w:rsidRPr="00A0498F">
        <w:rPr>
          <w:rFonts w:asciiTheme="minorHAnsi" w:hAnsiTheme="minorHAnsi" w:cstheme="minorHAnsi"/>
          <w:noProof w:val="0"/>
          <w:sz w:val="20"/>
          <w:szCs w:val="20"/>
        </w:rPr>
        <w:t xml:space="preserve"> </w:t>
      </w:r>
    </w:p>
    <w:p w14:paraId="52FF76DE" w14:textId="77777777" w:rsidR="00356896" w:rsidRPr="00A0498F" w:rsidRDefault="00356896" w:rsidP="00356896">
      <w:pPr>
        <w:pStyle w:val="EndNoteBibliography"/>
        <w:ind w:left="720" w:hanging="720"/>
        <w:rPr>
          <w:rFonts w:asciiTheme="minorHAnsi" w:hAnsiTheme="minorHAnsi" w:cstheme="minorHAnsi"/>
          <w:noProof w:val="0"/>
          <w:sz w:val="20"/>
          <w:szCs w:val="20"/>
        </w:rPr>
      </w:pPr>
    </w:p>
    <w:p w14:paraId="66CB1CFC" w14:textId="77777777" w:rsidR="009A7048" w:rsidRPr="00A0498F" w:rsidRDefault="00356896" w:rsidP="009A7048">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Ross, N. &amp; Spruill, V. (2018). Local leadership, global impact: Community foundations and the Sustainable Development Goals. Arlington, VA: Council on Foundations</w:t>
      </w:r>
      <w:r w:rsidR="004B37CB" w:rsidRPr="00A0498F">
        <w:rPr>
          <w:rFonts w:asciiTheme="minorHAnsi" w:hAnsiTheme="minorHAnsi" w:cstheme="minorHAnsi"/>
          <w:noProof w:val="0"/>
          <w:sz w:val="20"/>
          <w:szCs w:val="20"/>
        </w:rPr>
        <w:t>.</w:t>
      </w:r>
      <w:r w:rsidR="009A7048" w:rsidRPr="00A0498F">
        <w:rPr>
          <w:rFonts w:asciiTheme="minorHAnsi" w:hAnsiTheme="minorHAnsi" w:cstheme="minorHAnsi"/>
          <w:noProof w:val="0"/>
          <w:sz w:val="20"/>
          <w:szCs w:val="20"/>
        </w:rPr>
        <w:t xml:space="preserve"> </w:t>
      </w:r>
    </w:p>
    <w:p w14:paraId="0377E785" w14:textId="77777777" w:rsidR="009A7048" w:rsidRPr="00A0498F" w:rsidRDefault="009A7048" w:rsidP="009A7048">
      <w:pPr>
        <w:pStyle w:val="EndNoteBibliography"/>
        <w:ind w:left="720" w:hanging="720"/>
        <w:rPr>
          <w:rFonts w:asciiTheme="minorHAnsi" w:hAnsiTheme="minorHAnsi" w:cstheme="minorHAnsi"/>
          <w:noProof w:val="0"/>
          <w:sz w:val="20"/>
          <w:szCs w:val="20"/>
        </w:rPr>
      </w:pPr>
    </w:p>
    <w:p w14:paraId="2D7FFEF6" w14:textId="338CDF52" w:rsidR="00356896" w:rsidRPr="00A0498F" w:rsidRDefault="009A7048" w:rsidP="009A7048">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 xml:space="preserve">United Nations Conference on Trade and Development (UNCTAD). (2021). </w:t>
      </w:r>
      <w:r w:rsidRPr="00A0498F">
        <w:rPr>
          <w:rFonts w:asciiTheme="minorHAnsi" w:hAnsiTheme="minorHAnsi" w:cstheme="minorHAnsi"/>
          <w:i/>
          <w:iCs/>
          <w:noProof w:val="0"/>
          <w:sz w:val="20"/>
          <w:szCs w:val="20"/>
        </w:rPr>
        <w:t>World Investment Report 2021: Investing in Sustainable Recovery.</w:t>
      </w:r>
      <w:r w:rsidRPr="00A0498F">
        <w:rPr>
          <w:rFonts w:asciiTheme="minorHAnsi" w:hAnsiTheme="minorHAnsi" w:cstheme="minorHAnsi"/>
          <w:noProof w:val="0"/>
          <w:sz w:val="20"/>
          <w:szCs w:val="20"/>
        </w:rPr>
        <w:t xml:space="preserve"> United Nations. </w:t>
      </w:r>
      <w:hyperlink r:id="rId36" w:history="1">
        <w:r w:rsidRPr="00A0498F">
          <w:rPr>
            <w:rStyle w:val="Hyperlink"/>
            <w:rFonts w:asciiTheme="minorHAnsi" w:hAnsiTheme="minorHAnsi" w:cstheme="minorHAnsi"/>
            <w:noProof w:val="0"/>
            <w:sz w:val="20"/>
            <w:szCs w:val="20"/>
          </w:rPr>
          <w:t>https://unctad.org/system/files/official-document/wir2021_en.pdf</w:t>
        </w:r>
      </w:hyperlink>
      <w:r w:rsidRPr="00A0498F">
        <w:rPr>
          <w:rFonts w:asciiTheme="minorHAnsi" w:hAnsiTheme="minorHAnsi" w:cstheme="minorHAnsi"/>
          <w:noProof w:val="0"/>
          <w:sz w:val="20"/>
          <w:szCs w:val="20"/>
        </w:rPr>
        <w:t xml:space="preserve"> </w:t>
      </w:r>
      <w:r w:rsidR="004B37CB" w:rsidRPr="00A0498F">
        <w:rPr>
          <w:rFonts w:asciiTheme="minorHAnsi" w:hAnsiTheme="minorHAnsi" w:cstheme="minorHAnsi"/>
          <w:noProof w:val="0"/>
          <w:sz w:val="20"/>
          <w:szCs w:val="20"/>
        </w:rPr>
        <w:t xml:space="preserve"> </w:t>
      </w:r>
    </w:p>
    <w:p w14:paraId="2264F4D1" w14:textId="77777777" w:rsidR="00356896" w:rsidRPr="00A0498F" w:rsidRDefault="00356896" w:rsidP="00356896">
      <w:pPr>
        <w:pStyle w:val="EndNoteBibliography"/>
        <w:ind w:left="720" w:hanging="720"/>
        <w:rPr>
          <w:rFonts w:asciiTheme="minorHAnsi" w:hAnsiTheme="minorHAnsi" w:cstheme="minorHAnsi"/>
          <w:noProof w:val="0"/>
          <w:sz w:val="20"/>
          <w:szCs w:val="20"/>
        </w:rPr>
      </w:pPr>
    </w:p>
    <w:p w14:paraId="1610BA6A" w14:textId="77777777" w:rsidR="00356896" w:rsidRPr="00A0498F" w:rsidRDefault="00356896" w:rsidP="00356896">
      <w:pPr>
        <w:pStyle w:val="EndNoteBibliography"/>
        <w:ind w:left="720" w:hanging="720"/>
        <w:rPr>
          <w:rFonts w:asciiTheme="minorHAnsi" w:hAnsiTheme="minorHAnsi" w:cstheme="minorHAnsi"/>
          <w:noProof w:val="0"/>
          <w:sz w:val="20"/>
          <w:szCs w:val="20"/>
        </w:rPr>
      </w:pPr>
      <w:r w:rsidRPr="00A0498F">
        <w:rPr>
          <w:rFonts w:asciiTheme="minorHAnsi" w:hAnsiTheme="minorHAnsi" w:cstheme="minorHAnsi"/>
          <w:noProof w:val="0"/>
          <w:sz w:val="20"/>
          <w:szCs w:val="20"/>
        </w:rPr>
        <w:t>Wiepking, P., &amp; Handy, F. (Eds.) (2015). The Palgrave Handbook of Global Philanthropy. Houndmills, Basingstoke, Hampshire: Palgrave Macmillan.</w:t>
      </w:r>
    </w:p>
    <w:p w14:paraId="1E4E22CF" w14:textId="77777777" w:rsidR="00356896" w:rsidRPr="00A0498F" w:rsidRDefault="00356896" w:rsidP="00685D93">
      <w:pPr>
        <w:rPr>
          <w:rFonts w:cstheme="minorHAnsi"/>
          <w:sz w:val="20"/>
          <w:szCs w:val="20"/>
        </w:rPr>
      </w:pPr>
    </w:p>
    <w:sectPr w:rsidR="00356896" w:rsidRPr="00A0498F" w:rsidSect="004D3E17">
      <w:footerReference w:type="default" r:id="rId37"/>
      <w:headerReference w:type="first" r:id="rId3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09925" w14:textId="77777777" w:rsidR="00D616F6" w:rsidRDefault="00D616F6" w:rsidP="001B165E">
      <w:pPr>
        <w:spacing w:after="0" w:line="240" w:lineRule="auto"/>
      </w:pPr>
      <w:r>
        <w:separator/>
      </w:r>
    </w:p>
  </w:endnote>
  <w:endnote w:type="continuationSeparator" w:id="0">
    <w:p w14:paraId="716AA4C6" w14:textId="77777777" w:rsidR="00D616F6" w:rsidRDefault="00D616F6" w:rsidP="001B16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BentonSans Book">
    <w:panose1 w:val="02000503000000020004"/>
    <w:charset w:val="00"/>
    <w:family w:val="modern"/>
    <w:notTrueType/>
    <w:pitch w:val="variable"/>
    <w:sig w:usb0="00000087" w:usb1="00000000" w:usb2="00000000" w:usb3="00000000" w:csb0="00000093" w:csb1="00000000"/>
  </w:font>
  <w:font w:name="BentonSans">
    <w:altName w:val="Cambria"/>
    <w:charset w:val="00"/>
    <w:family w:val="auto"/>
    <w:pitch w:val="variable"/>
    <w:sig w:usb0="00000007" w:usb1="00000001" w:usb2="00000000" w:usb3="00000000" w:csb0="00000093" w:csb1="00000000"/>
  </w:font>
  <w:font w:name="BentonSans Regular">
    <w:panose1 w:val="02000503000000020004"/>
    <w:charset w:val="00"/>
    <w:family w:val="modern"/>
    <w:notTrueType/>
    <w:pitch w:val="variable"/>
    <w:sig w:usb0="00000087" w:usb1="00000000" w:usb2="00000000" w:usb3="00000000" w:csb0="00000093" w:csb1="00000000"/>
  </w:font>
  <w:font w:name="BentonSans Medium">
    <w:altName w:val="BentonSans Medium"/>
    <w:panose1 w:val="02000603000000020004"/>
    <w:charset w:val="00"/>
    <w:family w:val="modern"/>
    <w:notTrueType/>
    <w:pitch w:val="variable"/>
    <w:sig w:usb0="0000008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7897763"/>
      <w:docPartObj>
        <w:docPartGallery w:val="Page Numbers (Bottom of Page)"/>
        <w:docPartUnique/>
      </w:docPartObj>
    </w:sdtPr>
    <w:sdtEndPr>
      <w:rPr>
        <w:noProof/>
      </w:rPr>
    </w:sdtEndPr>
    <w:sdtContent>
      <w:p w14:paraId="2072CA86" w14:textId="723898BD" w:rsidR="004D3E17" w:rsidRDefault="004D3E1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2A0330A" w14:textId="77777777" w:rsidR="004D3E17" w:rsidRDefault="004D3E17">
    <w:pPr>
      <w:pStyle w:val="Footer"/>
    </w:pPr>
  </w:p>
  <w:p w14:paraId="4989E451" w14:textId="77777777" w:rsidR="00067505" w:rsidRDefault="0006750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CF78C2" w14:textId="77777777" w:rsidR="00D616F6" w:rsidRDefault="00D616F6" w:rsidP="001B165E">
      <w:pPr>
        <w:spacing w:after="0" w:line="240" w:lineRule="auto"/>
      </w:pPr>
      <w:r>
        <w:separator/>
      </w:r>
    </w:p>
  </w:footnote>
  <w:footnote w:type="continuationSeparator" w:id="0">
    <w:p w14:paraId="4D12BD88" w14:textId="77777777" w:rsidR="00D616F6" w:rsidRDefault="00D616F6" w:rsidP="001B165E">
      <w:pPr>
        <w:spacing w:after="0" w:line="240" w:lineRule="auto"/>
      </w:pPr>
      <w:r>
        <w:continuationSeparator/>
      </w:r>
    </w:p>
  </w:footnote>
  <w:footnote w:id="1">
    <w:p w14:paraId="5526129F" w14:textId="1E056533" w:rsidR="001B165E" w:rsidRPr="00C64710" w:rsidRDefault="001B165E">
      <w:pPr>
        <w:pStyle w:val="FootnoteText"/>
        <w:rPr>
          <w:sz w:val="16"/>
          <w:szCs w:val="16"/>
        </w:rPr>
      </w:pPr>
      <w:r w:rsidRPr="00C64710">
        <w:rPr>
          <w:rStyle w:val="FootnoteReference"/>
          <w:sz w:val="16"/>
          <w:szCs w:val="16"/>
        </w:rPr>
        <w:footnoteRef/>
      </w:r>
      <w:r w:rsidRPr="00C64710">
        <w:rPr>
          <w:sz w:val="16"/>
          <w:szCs w:val="16"/>
        </w:rPr>
        <w:t xml:space="preserve"> </w:t>
      </w:r>
      <w:r w:rsidRPr="00C64710">
        <w:rPr>
          <w:rFonts w:cstheme="minorHAnsi"/>
          <w:sz w:val="16"/>
          <w:szCs w:val="16"/>
        </w:rPr>
        <w:t>For detailed definition and methodologies, visit: https://www.oecd.org/dac/financing-sustainable-development/development-finance-standards/official-development-assistance.htm.</w:t>
      </w:r>
    </w:p>
  </w:footnote>
  <w:footnote w:id="2">
    <w:p w14:paraId="57FE250E" w14:textId="37DA429A" w:rsidR="001B165E" w:rsidRPr="00C64710" w:rsidRDefault="001B165E">
      <w:pPr>
        <w:pStyle w:val="FootnoteText"/>
        <w:rPr>
          <w:sz w:val="16"/>
          <w:szCs w:val="16"/>
        </w:rPr>
      </w:pPr>
      <w:r w:rsidRPr="00C64710">
        <w:rPr>
          <w:rStyle w:val="FootnoteReference"/>
          <w:sz w:val="16"/>
          <w:szCs w:val="16"/>
        </w:rPr>
        <w:footnoteRef/>
      </w:r>
      <w:r w:rsidRPr="00C64710">
        <w:rPr>
          <w:rFonts w:cstheme="minorHAnsi"/>
          <w:sz w:val="16"/>
          <w:szCs w:val="16"/>
        </w:rPr>
        <w:t xml:space="preserve"> For detailed definition and methodologies, visit: https://www.knomad.org/publication/migration-and-remittances-factbook-2016</w:t>
      </w:r>
    </w:p>
  </w:footnote>
  <w:footnote w:id="3">
    <w:p w14:paraId="24F2C428" w14:textId="77777777" w:rsidR="00F34756" w:rsidRDefault="00F34756" w:rsidP="00F34756">
      <w:pPr>
        <w:pStyle w:val="FootnoteText"/>
      </w:pPr>
      <w:r w:rsidRPr="00C64710">
        <w:rPr>
          <w:rStyle w:val="FootnoteReference"/>
          <w:sz w:val="16"/>
          <w:szCs w:val="16"/>
        </w:rPr>
        <w:footnoteRef/>
      </w:r>
      <w:r w:rsidRPr="00C64710">
        <w:rPr>
          <w:sz w:val="16"/>
          <w:szCs w:val="16"/>
        </w:rPr>
        <w:t xml:space="preserve"> For detailed definition and methodologies, visit: https://www.oecd-ilibrary.org/economics/oecd-glossary-of-statistical-terms_9789264055087-en</w:t>
      </w:r>
    </w:p>
  </w:footnote>
  <w:footnote w:id="4">
    <w:p w14:paraId="1147DD3F" w14:textId="3F68607D" w:rsidR="009A7048" w:rsidRDefault="009A7048">
      <w:pPr>
        <w:pStyle w:val="FootnoteText"/>
      </w:pPr>
      <w:r>
        <w:rPr>
          <w:rStyle w:val="FootnoteReference"/>
        </w:rPr>
        <w:footnoteRef/>
      </w:r>
      <w:r>
        <w:t xml:space="preserve"> </w:t>
      </w:r>
      <w:r w:rsidRPr="009A7048">
        <w:t xml:space="preserve">The history of the 0.70 percent target is available at: </w:t>
      </w:r>
      <w:r w:rsidRPr="009A7048">
        <w:t>http://www.oecd.org/development/financing-sustainable-development/development-finance-standards/the07odagnitarget-ahistory.htm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0FF3" w14:textId="6E74A78F" w:rsidR="00A0498F" w:rsidRDefault="00A0498F" w:rsidP="00A0498F">
    <w:pPr>
      <w:pBdr>
        <w:between w:val="single" w:sz="4" w:space="1" w:color="4F81BD"/>
      </w:pBdr>
      <w:tabs>
        <w:tab w:val="center" w:pos="4706"/>
        <w:tab w:val="right" w:pos="9356"/>
      </w:tabs>
      <w:spacing w:after="240" w:line="276" w:lineRule="auto"/>
      <w:jc w:val="center"/>
    </w:pPr>
    <w:r>
      <w:rPr>
        <w:rFonts w:ascii="Cambria" w:eastAsia="Cambria" w:hAnsi="Cambria" w:cs="Cambria"/>
        <w:noProof/>
        <w:color w:val="000000"/>
        <w:sz w:val="24"/>
        <w:szCs w:val="24"/>
      </w:rPr>
      <mc:AlternateContent>
        <mc:Choice Requires="wps">
          <w:drawing>
            <wp:anchor distT="0" distB="0" distL="114300" distR="114300" simplePos="0" relativeHeight="251659264" behindDoc="0" locked="0" layoutInCell="1" allowOverlap="1" wp14:anchorId="66B24213" wp14:editId="30A691EA">
              <wp:simplePos x="0" y="0"/>
              <wp:positionH relativeFrom="column">
                <wp:posOffset>7620</wp:posOffset>
              </wp:positionH>
              <wp:positionV relativeFrom="paragraph">
                <wp:posOffset>487680</wp:posOffset>
              </wp:positionV>
              <wp:extent cx="5928360" cy="30480"/>
              <wp:effectExtent l="0" t="0" r="34290" b="26670"/>
              <wp:wrapNone/>
              <wp:docPr id="766181003" name="Straight Connector 1"/>
              <wp:cNvGraphicFramePr/>
              <a:graphic xmlns:a="http://schemas.openxmlformats.org/drawingml/2006/main">
                <a:graphicData uri="http://schemas.microsoft.com/office/word/2010/wordprocessingShape">
                  <wps:wsp>
                    <wps:cNvCnPr/>
                    <wps:spPr>
                      <a:xfrm flipV="1">
                        <a:off x="0" y="0"/>
                        <a:ext cx="5928360" cy="3048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F52BC61"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6pt,38.4pt" to="467.4pt,4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" strokecolor="#4472c4 [3204]" strokeweight=".5pt">
              <v:stroke joinstyle="miter"/>
            </v:line>
          </w:pict>
        </mc:Fallback>
      </mc:AlternateContent>
    </w:r>
    <w:r>
      <w:rPr>
        <w:rFonts w:ascii="Cambria" w:eastAsia="Cambria" w:hAnsi="Cambria" w:cs="Cambria"/>
        <w:color w:val="000000"/>
        <w:sz w:val="24"/>
        <w:szCs w:val="24"/>
      </w:rPr>
      <w:t xml:space="preserve">European Research Network </w:t>
    </w:r>
    <w:proofErr w:type="gramStart"/>
    <w:r>
      <w:rPr>
        <w:rFonts w:ascii="Cambria" w:eastAsia="Cambria" w:hAnsi="Cambria" w:cs="Cambria"/>
        <w:color w:val="000000"/>
        <w:sz w:val="24"/>
        <w:szCs w:val="24"/>
      </w:rPr>
      <w:t>On</w:t>
    </w:r>
    <w:proofErr w:type="gramEnd"/>
    <w:r>
      <w:rPr>
        <w:rFonts w:ascii="Cambria" w:eastAsia="Cambria" w:hAnsi="Cambria" w:cs="Cambria"/>
        <w:color w:val="000000"/>
        <w:sz w:val="24"/>
        <w:szCs w:val="24"/>
      </w:rPr>
      <w:t xml:space="preserve"> Philanthropy 1</w:t>
    </w:r>
    <w:r>
      <w:rPr>
        <w:rFonts w:ascii="Cambria" w:eastAsia="Cambria" w:hAnsi="Cambria" w:cs="Cambria"/>
        <w:sz w:val="24"/>
        <w:szCs w:val="24"/>
      </w:rPr>
      <w:t>1</w:t>
    </w:r>
    <w:r>
      <w:rPr>
        <w:rFonts w:ascii="Cambria" w:eastAsia="Cambria" w:hAnsi="Cambria" w:cs="Cambria"/>
        <w:color w:val="000000"/>
        <w:sz w:val="24"/>
        <w:szCs w:val="24"/>
      </w:rPr>
      <w:t xml:space="preserve">th International Conference </w:t>
    </w:r>
    <w:r>
      <w:rPr>
        <w:rFonts w:ascii="Cambria" w:eastAsia="Cambria" w:hAnsi="Cambria" w:cs="Cambria"/>
        <w:sz w:val="24"/>
        <w:szCs w:val="24"/>
      </w:rPr>
      <w:t>Zagreb</w:t>
    </w:r>
    <w:r>
      <w:rPr>
        <w:rFonts w:ascii="Cambria" w:eastAsia="Cambria" w:hAnsi="Cambria" w:cs="Cambria"/>
        <w:color w:val="000000"/>
        <w:sz w:val="24"/>
        <w:szCs w:val="24"/>
      </w:rPr>
      <w:t xml:space="preserve">, </w:t>
    </w:r>
    <w:r>
      <w:rPr>
        <w:rFonts w:ascii="Cambria" w:eastAsia="Cambria" w:hAnsi="Cambria" w:cs="Cambria"/>
        <w:sz w:val="24"/>
        <w:szCs w:val="24"/>
      </w:rPr>
      <w:t>29-30 June</w:t>
    </w:r>
    <w:r>
      <w:rPr>
        <w:rFonts w:ascii="Cambria" w:eastAsia="Cambria" w:hAnsi="Cambria" w:cs="Cambria"/>
        <w:color w:val="000000"/>
        <w:sz w:val="24"/>
        <w:szCs w:val="24"/>
      </w:rPr>
      <w:t xml:space="preserve"> 202</w:t>
    </w:r>
    <w:r>
      <w:rPr>
        <w:rFonts w:ascii="Cambria" w:eastAsia="Cambria" w:hAnsi="Cambria" w:cs="Cambria"/>
        <w:sz w:val="24"/>
        <w:szCs w:val="24"/>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575262"/>
    <w:multiLevelType w:val="hybridMultilevel"/>
    <w:tmpl w:val="591C0F62"/>
    <w:lvl w:ilvl="0" w:tplc="C512EA1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EC3150"/>
    <w:multiLevelType w:val="hybridMultilevel"/>
    <w:tmpl w:val="32C4D868"/>
    <w:lvl w:ilvl="0" w:tplc="BA6E9EB6">
      <w:start w:val="2"/>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E395484"/>
    <w:multiLevelType w:val="multilevel"/>
    <w:tmpl w:val="B208793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heme="majorEastAsia" w:hint="default"/>
        <w:b w:val="0"/>
        <w:color w:val="2F5496" w:themeColor="accent1" w:themeShade="BF"/>
      </w:rPr>
    </w:lvl>
    <w:lvl w:ilvl="2">
      <w:start w:val="1"/>
      <w:numFmt w:val="decimal"/>
      <w:isLgl/>
      <w:lvlText w:val="%1.%2.%3."/>
      <w:lvlJc w:val="left"/>
      <w:pPr>
        <w:ind w:left="1080" w:hanging="720"/>
      </w:pPr>
      <w:rPr>
        <w:rFonts w:eastAsiaTheme="majorEastAsia" w:hint="default"/>
        <w:b w:val="0"/>
        <w:color w:val="2F5496" w:themeColor="accent1" w:themeShade="BF"/>
      </w:rPr>
    </w:lvl>
    <w:lvl w:ilvl="3">
      <w:start w:val="1"/>
      <w:numFmt w:val="decimal"/>
      <w:isLgl/>
      <w:lvlText w:val="%1.%2.%3.%4."/>
      <w:lvlJc w:val="left"/>
      <w:pPr>
        <w:ind w:left="1080" w:hanging="720"/>
      </w:pPr>
      <w:rPr>
        <w:rFonts w:eastAsiaTheme="majorEastAsia" w:hint="default"/>
        <w:b w:val="0"/>
        <w:color w:val="2F5496" w:themeColor="accent1" w:themeShade="BF"/>
      </w:rPr>
    </w:lvl>
    <w:lvl w:ilvl="4">
      <w:start w:val="1"/>
      <w:numFmt w:val="decimal"/>
      <w:isLgl/>
      <w:lvlText w:val="%1.%2.%3.%4.%5."/>
      <w:lvlJc w:val="left"/>
      <w:pPr>
        <w:ind w:left="1440" w:hanging="1080"/>
      </w:pPr>
      <w:rPr>
        <w:rFonts w:eastAsiaTheme="majorEastAsia" w:hint="default"/>
        <w:b w:val="0"/>
        <w:color w:val="2F5496" w:themeColor="accent1" w:themeShade="BF"/>
      </w:rPr>
    </w:lvl>
    <w:lvl w:ilvl="5">
      <w:start w:val="1"/>
      <w:numFmt w:val="decimal"/>
      <w:isLgl/>
      <w:lvlText w:val="%1.%2.%3.%4.%5.%6."/>
      <w:lvlJc w:val="left"/>
      <w:pPr>
        <w:ind w:left="1440" w:hanging="1080"/>
      </w:pPr>
      <w:rPr>
        <w:rFonts w:eastAsiaTheme="majorEastAsia" w:hint="default"/>
        <w:b w:val="0"/>
        <w:color w:val="2F5496" w:themeColor="accent1" w:themeShade="BF"/>
      </w:rPr>
    </w:lvl>
    <w:lvl w:ilvl="6">
      <w:start w:val="1"/>
      <w:numFmt w:val="decimal"/>
      <w:isLgl/>
      <w:lvlText w:val="%1.%2.%3.%4.%5.%6.%7."/>
      <w:lvlJc w:val="left"/>
      <w:pPr>
        <w:ind w:left="1440" w:hanging="1080"/>
      </w:pPr>
      <w:rPr>
        <w:rFonts w:eastAsiaTheme="majorEastAsia" w:hint="default"/>
        <w:b w:val="0"/>
        <w:color w:val="2F5496" w:themeColor="accent1" w:themeShade="BF"/>
      </w:rPr>
    </w:lvl>
    <w:lvl w:ilvl="7">
      <w:start w:val="1"/>
      <w:numFmt w:val="decimal"/>
      <w:isLgl/>
      <w:lvlText w:val="%1.%2.%3.%4.%5.%6.%7.%8."/>
      <w:lvlJc w:val="left"/>
      <w:pPr>
        <w:ind w:left="1800" w:hanging="1440"/>
      </w:pPr>
      <w:rPr>
        <w:rFonts w:eastAsiaTheme="majorEastAsia" w:hint="default"/>
        <w:b w:val="0"/>
        <w:color w:val="2F5496" w:themeColor="accent1" w:themeShade="BF"/>
      </w:rPr>
    </w:lvl>
    <w:lvl w:ilvl="8">
      <w:start w:val="1"/>
      <w:numFmt w:val="decimal"/>
      <w:isLgl/>
      <w:lvlText w:val="%1.%2.%3.%4.%5.%6.%7.%8.%9."/>
      <w:lvlJc w:val="left"/>
      <w:pPr>
        <w:ind w:left="1800" w:hanging="1440"/>
      </w:pPr>
      <w:rPr>
        <w:rFonts w:eastAsiaTheme="majorEastAsia" w:hint="default"/>
        <w:b w:val="0"/>
        <w:color w:val="2F5496" w:themeColor="accent1" w:themeShade="BF"/>
      </w:rPr>
    </w:lvl>
  </w:abstractNum>
  <w:abstractNum w:abstractNumId="3" w15:restartNumberingAfterBreak="0">
    <w:nsid w:val="6F7110BD"/>
    <w:multiLevelType w:val="hybridMultilevel"/>
    <w:tmpl w:val="939411D4"/>
    <w:lvl w:ilvl="0" w:tplc="29BA356A">
      <w:start w:val="6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74920110">
    <w:abstractNumId w:val="3"/>
  </w:num>
  <w:num w:numId="2" w16cid:durableId="469327273">
    <w:abstractNumId w:val="1"/>
  </w:num>
  <w:num w:numId="3" w16cid:durableId="975141992">
    <w:abstractNumId w:val="0"/>
  </w:num>
  <w:num w:numId="4" w16cid:durableId="13989417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EB0"/>
    <w:rsid w:val="000069B9"/>
    <w:rsid w:val="00062D77"/>
    <w:rsid w:val="00067505"/>
    <w:rsid w:val="000A44E2"/>
    <w:rsid w:val="000A6044"/>
    <w:rsid w:val="00111D36"/>
    <w:rsid w:val="00164C3D"/>
    <w:rsid w:val="00165AF3"/>
    <w:rsid w:val="001A6EB0"/>
    <w:rsid w:val="001B165E"/>
    <w:rsid w:val="001F6F38"/>
    <w:rsid w:val="00214EB5"/>
    <w:rsid w:val="002164D6"/>
    <w:rsid w:val="00247B02"/>
    <w:rsid w:val="00254230"/>
    <w:rsid w:val="0026765E"/>
    <w:rsid w:val="002858F2"/>
    <w:rsid w:val="00302EFA"/>
    <w:rsid w:val="00342219"/>
    <w:rsid w:val="00356896"/>
    <w:rsid w:val="003645B8"/>
    <w:rsid w:val="00372908"/>
    <w:rsid w:val="00380C64"/>
    <w:rsid w:val="003C64C8"/>
    <w:rsid w:val="003C6BFD"/>
    <w:rsid w:val="003F309F"/>
    <w:rsid w:val="0042358A"/>
    <w:rsid w:val="004B37CB"/>
    <w:rsid w:val="004C3AA9"/>
    <w:rsid w:val="004D1183"/>
    <w:rsid w:val="004D3E17"/>
    <w:rsid w:val="005072DC"/>
    <w:rsid w:val="00582E2F"/>
    <w:rsid w:val="005B69AF"/>
    <w:rsid w:val="005C2BA3"/>
    <w:rsid w:val="005E1A62"/>
    <w:rsid w:val="00605E08"/>
    <w:rsid w:val="00611E52"/>
    <w:rsid w:val="00631BBC"/>
    <w:rsid w:val="006501F7"/>
    <w:rsid w:val="006566DD"/>
    <w:rsid w:val="00676C45"/>
    <w:rsid w:val="00685D93"/>
    <w:rsid w:val="006B4E57"/>
    <w:rsid w:val="006B7CC5"/>
    <w:rsid w:val="006C1C41"/>
    <w:rsid w:val="00721AFD"/>
    <w:rsid w:val="00762AF6"/>
    <w:rsid w:val="00786995"/>
    <w:rsid w:val="007A07AC"/>
    <w:rsid w:val="007E006C"/>
    <w:rsid w:val="007F04A6"/>
    <w:rsid w:val="0080697C"/>
    <w:rsid w:val="00825D50"/>
    <w:rsid w:val="00833D89"/>
    <w:rsid w:val="00834B20"/>
    <w:rsid w:val="00881E53"/>
    <w:rsid w:val="00906CF0"/>
    <w:rsid w:val="00974B0B"/>
    <w:rsid w:val="00997C26"/>
    <w:rsid w:val="009A7048"/>
    <w:rsid w:val="009B5754"/>
    <w:rsid w:val="009F338D"/>
    <w:rsid w:val="00A0498F"/>
    <w:rsid w:val="00A15076"/>
    <w:rsid w:val="00A30D06"/>
    <w:rsid w:val="00A4031D"/>
    <w:rsid w:val="00A46D6C"/>
    <w:rsid w:val="00A559AB"/>
    <w:rsid w:val="00A93639"/>
    <w:rsid w:val="00AA53B7"/>
    <w:rsid w:val="00AB6A11"/>
    <w:rsid w:val="00AD2B5E"/>
    <w:rsid w:val="00B14F11"/>
    <w:rsid w:val="00B6132E"/>
    <w:rsid w:val="00B74A05"/>
    <w:rsid w:val="00BB6FDF"/>
    <w:rsid w:val="00BC599F"/>
    <w:rsid w:val="00BD131E"/>
    <w:rsid w:val="00C3091B"/>
    <w:rsid w:val="00C552EC"/>
    <w:rsid w:val="00C64710"/>
    <w:rsid w:val="00C67ABE"/>
    <w:rsid w:val="00C72065"/>
    <w:rsid w:val="00D37E8F"/>
    <w:rsid w:val="00D478EE"/>
    <w:rsid w:val="00D616F6"/>
    <w:rsid w:val="00D65492"/>
    <w:rsid w:val="00DB1330"/>
    <w:rsid w:val="00DC7C37"/>
    <w:rsid w:val="00DD4A49"/>
    <w:rsid w:val="00E220A9"/>
    <w:rsid w:val="00E63A11"/>
    <w:rsid w:val="00EB3458"/>
    <w:rsid w:val="00EB4FE4"/>
    <w:rsid w:val="00F23717"/>
    <w:rsid w:val="00F34756"/>
    <w:rsid w:val="00F36E36"/>
    <w:rsid w:val="00F41902"/>
    <w:rsid w:val="00F63710"/>
    <w:rsid w:val="00F74430"/>
    <w:rsid w:val="00F844C3"/>
    <w:rsid w:val="00FF2739"/>
    <w:rsid w:val="00FF6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EBAC87"/>
  <w15:chartTrackingRefBased/>
  <w15:docId w15:val="{4C28D038-6985-4CD5-B102-DBFE52452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2358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A07A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B7CC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6B7CC5"/>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Normal"/>
    <w:link w:val="H1Char"/>
    <w:qFormat/>
    <w:rsid w:val="00825D50"/>
    <w:pPr>
      <w:tabs>
        <w:tab w:val="center" w:pos="6596"/>
      </w:tabs>
      <w:spacing w:after="409"/>
    </w:pPr>
    <w:rPr>
      <w:rFonts w:ascii="BentonSans Book" w:eastAsia="Calibri" w:hAnsi="BentonSans Book" w:cs="Calibri"/>
      <w:color w:val="000000"/>
      <w:sz w:val="40"/>
    </w:rPr>
  </w:style>
  <w:style w:type="character" w:customStyle="1" w:styleId="H1Char">
    <w:name w:val="H1 Char"/>
    <w:basedOn w:val="DefaultParagraphFont"/>
    <w:link w:val="H1"/>
    <w:rsid w:val="00825D50"/>
    <w:rPr>
      <w:rFonts w:ascii="BentonSans Book" w:eastAsia="Calibri" w:hAnsi="BentonSans Book" w:cs="Calibri"/>
      <w:color w:val="000000"/>
      <w:sz w:val="40"/>
    </w:rPr>
  </w:style>
  <w:style w:type="paragraph" w:customStyle="1" w:styleId="H2">
    <w:name w:val="H2"/>
    <w:basedOn w:val="Normal"/>
    <w:link w:val="H2Char"/>
    <w:qFormat/>
    <w:rsid w:val="00825D50"/>
    <w:pPr>
      <w:framePr w:wrap="around" w:vAnchor="text" w:hAnchor="text" w:x="50" w:y="693"/>
      <w:spacing w:after="0"/>
      <w:ind w:left="-50"/>
      <w:suppressOverlap/>
    </w:pPr>
    <w:rPr>
      <w:rFonts w:ascii="BentonSans Book" w:eastAsia="BentonSans" w:hAnsi="BentonSans Book" w:cs="BentonSans"/>
      <w:color w:val="343433"/>
      <w:sz w:val="28"/>
    </w:rPr>
  </w:style>
  <w:style w:type="character" w:customStyle="1" w:styleId="H2Char">
    <w:name w:val="H2 Char"/>
    <w:basedOn w:val="DefaultParagraphFont"/>
    <w:link w:val="H2"/>
    <w:rsid w:val="00825D50"/>
    <w:rPr>
      <w:rFonts w:ascii="BentonSans Book" w:eastAsia="BentonSans" w:hAnsi="BentonSans Book" w:cs="BentonSans"/>
      <w:color w:val="343433"/>
      <w:sz w:val="28"/>
    </w:rPr>
  </w:style>
  <w:style w:type="paragraph" w:customStyle="1" w:styleId="H3">
    <w:name w:val="H3"/>
    <w:basedOn w:val="Normal"/>
    <w:link w:val="H3Char"/>
    <w:qFormat/>
    <w:rsid w:val="00A559AB"/>
    <w:pPr>
      <w:framePr w:wrap="around" w:vAnchor="text" w:hAnchor="text" w:x="50" w:y="693"/>
      <w:spacing w:after="0" w:line="240" w:lineRule="auto"/>
      <w:ind w:left="-50"/>
      <w:suppressOverlap/>
    </w:pPr>
    <w:rPr>
      <w:rFonts w:ascii="BentonSans Regular" w:eastAsia="BentonSans" w:hAnsi="BentonSans Regular" w:cs="BentonSans"/>
      <w:color w:val="A63842"/>
      <w:sz w:val="16"/>
    </w:rPr>
  </w:style>
  <w:style w:type="character" w:customStyle="1" w:styleId="H3Char">
    <w:name w:val="H3 Char"/>
    <w:basedOn w:val="DefaultParagraphFont"/>
    <w:link w:val="H3"/>
    <w:rsid w:val="00A559AB"/>
    <w:rPr>
      <w:rFonts w:ascii="BentonSans Regular" w:eastAsia="BentonSans" w:hAnsi="BentonSans Regular" w:cs="BentonSans"/>
      <w:color w:val="A63842"/>
      <w:sz w:val="16"/>
    </w:rPr>
  </w:style>
  <w:style w:type="paragraph" w:customStyle="1" w:styleId="H4">
    <w:name w:val="H4"/>
    <w:basedOn w:val="Normal"/>
    <w:link w:val="H4Char"/>
    <w:qFormat/>
    <w:rsid w:val="00A559AB"/>
    <w:pPr>
      <w:framePr w:wrap="around" w:vAnchor="text" w:hAnchor="text" w:x="50" w:y="693"/>
      <w:spacing w:after="0" w:line="240" w:lineRule="auto"/>
      <w:ind w:left="-50"/>
      <w:suppressOverlap/>
    </w:pPr>
    <w:rPr>
      <w:rFonts w:ascii="Times New Roman" w:eastAsia="Times New Roman" w:hAnsi="Times New Roman" w:cs="Times New Roman"/>
      <w:b/>
      <w:color w:val="343433"/>
      <w:sz w:val="20"/>
    </w:rPr>
  </w:style>
  <w:style w:type="character" w:customStyle="1" w:styleId="H4Char">
    <w:name w:val="H4 Char"/>
    <w:basedOn w:val="DefaultParagraphFont"/>
    <w:link w:val="H4"/>
    <w:rsid w:val="00A559AB"/>
    <w:rPr>
      <w:rFonts w:ascii="Times New Roman" w:eastAsia="Times New Roman" w:hAnsi="Times New Roman" w:cs="Times New Roman"/>
      <w:b/>
      <w:color w:val="343433"/>
      <w:sz w:val="20"/>
    </w:rPr>
  </w:style>
  <w:style w:type="paragraph" w:customStyle="1" w:styleId="H5">
    <w:name w:val="H5"/>
    <w:basedOn w:val="Normal"/>
    <w:link w:val="H5Char"/>
    <w:qFormat/>
    <w:rsid w:val="00A559AB"/>
    <w:pPr>
      <w:framePr w:wrap="around" w:vAnchor="text" w:hAnchor="text" w:x="50" w:y="693"/>
      <w:spacing w:after="0" w:line="240" w:lineRule="auto"/>
      <w:ind w:left="-50"/>
      <w:suppressOverlap/>
    </w:pPr>
    <w:rPr>
      <w:rFonts w:ascii="BentonSans Medium" w:eastAsia="BentonSans" w:hAnsi="BentonSans Medium" w:cs="BentonSans"/>
      <w:b/>
      <w:color w:val="8B7F75"/>
      <w:sz w:val="14"/>
    </w:rPr>
  </w:style>
  <w:style w:type="character" w:customStyle="1" w:styleId="H5Char">
    <w:name w:val="H5 Char"/>
    <w:basedOn w:val="DefaultParagraphFont"/>
    <w:link w:val="H5"/>
    <w:rsid w:val="00A559AB"/>
    <w:rPr>
      <w:rFonts w:ascii="BentonSans Medium" w:eastAsia="BentonSans" w:hAnsi="BentonSans Medium" w:cs="BentonSans"/>
      <w:b/>
      <w:color w:val="8B7F75"/>
      <w:sz w:val="14"/>
    </w:rPr>
  </w:style>
  <w:style w:type="paragraph" w:customStyle="1" w:styleId="Style1">
    <w:name w:val="Style1"/>
    <w:basedOn w:val="Normal"/>
    <w:link w:val="Style1Char"/>
    <w:qFormat/>
    <w:rsid w:val="00A559AB"/>
    <w:pPr>
      <w:tabs>
        <w:tab w:val="center" w:pos="6596"/>
      </w:tabs>
      <w:spacing w:after="409"/>
    </w:pPr>
    <w:rPr>
      <w:rFonts w:ascii="BentonSans Book" w:eastAsia="Calibri" w:hAnsi="BentonSans Book" w:cs="Calibri"/>
      <w:noProof/>
      <w:color w:val="414042"/>
      <w:sz w:val="40"/>
    </w:rPr>
  </w:style>
  <w:style w:type="character" w:customStyle="1" w:styleId="Style1Char">
    <w:name w:val="Style1 Char"/>
    <w:basedOn w:val="DefaultParagraphFont"/>
    <w:link w:val="Style1"/>
    <w:rsid w:val="00A559AB"/>
    <w:rPr>
      <w:rFonts w:ascii="BentonSans Book" w:eastAsia="Calibri" w:hAnsi="BentonSans Book" w:cs="Calibri"/>
      <w:noProof/>
      <w:color w:val="414042"/>
      <w:sz w:val="40"/>
    </w:rPr>
  </w:style>
  <w:style w:type="paragraph" w:customStyle="1" w:styleId="Style2">
    <w:name w:val="Style2"/>
    <w:basedOn w:val="Normal"/>
    <w:link w:val="Style2Char"/>
    <w:qFormat/>
    <w:rsid w:val="00A559AB"/>
    <w:pPr>
      <w:framePr w:wrap="around" w:vAnchor="text" w:hAnchor="text" w:x="50" w:y="693"/>
      <w:spacing w:after="0"/>
      <w:ind w:left="-50"/>
      <w:suppressOverlap/>
    </w:pPr>
    <w:rPr>
      <w:rFonts w:ascii="BentonSans Book" w:eastAsia="BentonSans" w:hAnsi="BentonSans Book" w:cs="BentonSans"/>
      <w:color w:val="343433"/>
      <w:sz w:val="28"/>
    </w:rPr>
  </w:style>
  <w:style w:type="character" w:customStyle="1" w:styleId="Style2Char">
    <w:name w:val="Style2 Char"/>
    <w:basedOn w:val="DefaultParagraphFont"/>
    <w:link w:val="Style2"/>
    <w:rsid w:val="00A559AB"/>
    <w:rPr>
      <w:rFonts w:ascii="BentonSans Book" w:eastAsia="BentonSans" w:hAnsi="BentonSans Book" w:cs="BentonSans"/>
      <w:color w:val="343433"/>
      <w:sz w:val="28"/>
    </w:rPr>
  </w:style>
  <w:style w:type="paragraph" w:customStyle="1" w:styleId="Body">
    <w:name w:val="Body"/>
    <w:basedOn w:val="Normal"/>
    <w:link w:val="BodyChar"/>
    <w:qFormat/>
    <w:rsid w:val="00A559AB"/>
    <w:pPr>
      <w:spacing w:before="388" w:after="0" w:line="295" w:lineRule="auto"/>
      <w:jc w:val="both"/>
    </w:pPr>
    <w:rPr>
      <w:rFonts w:ascii="Times New Roman" w:eastAsia="Times New Roman" w:hAnsi="Times New Roman" w:cs="Times New Roman"/>
      <w:color w:val="343433"/>
      <w:sz w:val="20"/>
    </w:rPr>
  </w:style>
  <w:style w:type="character" w:customStyle="1" w:styleId="BodyChar">
    <w:name w:val="Body Char"/>
    <w:basedOn w:val="DefaultParagraphFont"/>
    <w:link w:val="Body"/>
    <w:rsid w:val="00A559AB"/>
    <w:rPr>
      <w:rFonts w:ascii="Times New Roman" w:eastAsia="Times New Roman" w:hAnsi="Times New Roman" w:cs="Times New Roman"/>
      <w:color w:val="343433"/>
      <w:sz w:val="20"/>
    </w:rPr>
  </w:style>
  <w:style w:type="character" w:styleId="CommentReference">
    <w:name w:val="annotation reference"/>
    <w:basedOn w:val="DefaultParagraphFont"/>
    <w:uiPriority w:val="99"/>
    <w:semiHidden/>
    <w:unhideWhenUsed/>
    <w:rsid w:val="0026765E"/>
    <w:rPr>
      <w:sz w:val="16"/>
      <w:szCs w:val="16"/>
    </w:rPr>
  </w:style>
  <w:style w:type="paragraph" w:styleId="CommentText">
    <w:name w:val="annotation text"/>
    <w:basedOn w:val="Normal"/>
    <w:link w:val="CommentTextChar"/>
    <w:uiPriority w:val="99"/>
    <w:unhideWhenUsed/>
    <w:rsid w:val="0026765E"/>
    <w:pPr>
      <w:spacing w:line="240" w:lineRule="auto"/>
    </w:pPr>
    <w:rPr>
      <w:sz w:val="20"/>
      <w:szCs w:val="20"/>
    </w:rPr>
  </w:style>
  <w:style w:type="character" w:customStyle="1" w:styleId="CommentTextChar">
    <w:name w:val="Comment Text Char"/>
    <w:basedOn w:val="DefaultParagraphFont"/>
    <w:link w:val="CommentText"/>
    <w:uiPriority w:val="99"/>
    <w:rsid w:val="0026765E"/>
    <w:rPr>
      <w:sz w:val="20"/>
      <w:szCs w:val="20"/>
    </w:rPr>
  </w:style>
  <w:style w:type="paragraph" w:styleId="CommentSubject">
    <w:name w:val="annotation subject"/>
    <w:basedOn w:val="CommentText"/>
    <w:next w:val="CommentText"/>
    <w:link w:val="CommentSubjectChar"/>
    <w:uiPriority w:val="99"/>
    <w:semiHidden/>
    <w:unhideWhenUsed/>
    <w:rsid w:val="0026765E"/>
    <w:rPr>
      <w:b/>
      <w:bCs/>
    </w:rPr>
  </w:style>
  <w:style w:type="character" w:customStyle="1" w:styleId="CommentSubjectChar">
    <w:name w:val="Comment Subject Char"/>
    <w:basedOn w:val="CommentTextChar"/>
    <w:link w:val="CommentSubject"/>
    <w:uiPriority w:val="99"/>
    <w:semiHidden/>
    <w:rsid w:val="0026765E"/>
    <w:rPr>
      <w:b/>
      <w:bCs/>
      <w:sz w:val="20"/>
      <w:szCs w:val="20"/>
    </w:rPr>
  </w:style>
  <w:style w:type="paragraph" w:styleId="NormalWeb">
    <w:name w:val="Normal (Web)"/>
    <w:basedOn w:val="Normal"/>
    <w:uiPriority w:val="99"/>
    <w:semiHidden/>
    <w:unhideWhenUsed/>
    <w:rsid w:val="0042358A"/>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NoSpacing">
    <w:name w:val="No Spacing"/>
    <w:uiPriority w:val="1"/>
    <w:qFormat/>
    <w:rsid w:val="0042358A"/>
    <w:pPr>
      <w:spacing w:after="0" w:line="240" w:lineRule="auto"/>
    </w:pPr>
  </w:style>
  <w:style w:type="character" w:customStyle="1" w:styleId="Heading1Char">
    <w:name w:val="Heading 1 Char"/>
    <w:basedOn w:val="DefaultParagraphFont"/>
    <w:link w:val="Heading1"/>
    <w:uiPriority w:val="9"/>
    <w:rsid w:val="0042358A"/>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42358A"/>
    <w:pPr>
      <w:outlineLvl w:val="9"/>
    </w:pPr>
    <w:rPr>
      <w:kern w:val="0"/>
      <w14:ligatures w14:val="none"/>
    </w:rPr>
  </w:style>
  <w:style w:type="paragraph" w:styleId="TOC1">
    <w:name w:val="toc 1"/>
    <w:basedOn w:val="Normal"/>
    <w:next w:val="Normal"/>
    <w:autoRedefine/>
    <w:uiPriority w:val="39"/>
    <w:unhideWhenUsed/>
    <w:rsid w:val="0042358A"/>
    <w:pPr>
      <w:spacing w:after="100"/>
    </w:pPr>
  </w:style>
  <w:style w:type="character" w:styleId="Hyperlink">
    <w:name w:val="Hyperlink"/>
    <w:basedOn w:val="DefaultParagraphFont"/>
    <w:uiPriority w:val="99"/>
    <w:unhideWhenUsed/>
    <w:rsid w:val="0042358A"/>
    <w:rPr>
      <w:color w:val="0563C1" w:themeColor="hyperlink"/>
      <w:u w:val="single"/>
    </w:rPr>
  </w:style>
  <w:style w:type="paragraph" w:styleId="ListParagraph">
    <w:name w:val="List Paragraph"/>
    <w:basedOn w:val="Normal"/>
    <w:uiPriority w:val="34"/>
    <w:qFormat/>
    <w:rsid w:val="001B165E"/>
    <w:pPr>
      <w:ind w:left="720"/>
      <w:contextualSpacing/>
    </w:pPr>
  </w:style>
  <w:style w:type="paragraph" w:styleId="FootnoteText">
    <w:name w:val="footnote text"/>
    <w:basedOn w:val="Normal"/>
    <w:link w:val="FootnoteTextChar"/>
    <w:uiPriority w:val="99"/>
    <w:semiHidden/>
    <w:unhideWhenUsed/>
    <w:rsid w:val="001B165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B165E"/>
    <w:rPr>
      <w:sz w:val="20"/>
      <w:szCs w:val="20"/>
    </w:rPr>
  </w:style>
  <w:style w:type="character" w:styleId="FootnoteReference">
    <w:name w:val="footnote reference"/>
    <w:basedOn w:val="DefaultParagraphFont"/>
    <w:uiPriority w:val="99"/>
    <w:semiHidden/>
    <w:unhideWhenUsed/>
    <w:rsid w:val="001B165E"/>
    <w:rPr>
      <w:vertAlign w:val="superscript"/>
    </w:rPr>
  </w:style>
  <w:style w:type="character" w:customStyle="1" w:styleId="Heading2Char">
    <w:name w:val="Heading 2 Char"/>
    <w:basedOn w:val="DefaultParagraphFont"/>
    <w:link w:val="Heading2"/>
    <w:uiPriority w:val="9"/>
    <w:rsid w:val="007A07AC"/>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A46D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D3E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3E17"/>
  </w:style>
  <w:style w:type="paragraph" w:styleId="Footer">
    <w:name w:val="footer"/>
    <w:basedOn w:val="Normal"/>
    <w:link w:val="FooterChar"/>
    <w:uiPriority w:val="99"/>
    <w:unhideWhenUsed/>
    <w:rsid w:val="004D3E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3E17"/>
  </w:style>
  <w:style w:type="paragraph" w:styleId="TOC2">
    <w:name w:val="toc 2"/>
    <w:basedOn w:val="Normal"/>
    <w:next w:val="Normal"/>
    <w:autoRedefine/>
    <w:uiPriority w:val="39"/>
    <w:unhideWhenUsed/>
    <w:rsid w:val="00D37E8F"/>
    <w:pPr>
      <w:spacing w:after="100"/>
      <w:ind w:left="220"/>
    </w:pPr>
  </w:style>
  <w:style w:type="character" w:customStyle="1" w:styleId="Heading3Char">
    <w:name w:val="Heading 3 Char"/>
    <w:basedOn w:val="DefaultParagraphFont"/>
    <w:link w:val="Heading3"/>
    <w:uiPriority w:val="9"/>
    <w:rsid w:val="006B7CC5"/>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6B7CC5"/>
    <w:rPr>
      <w:rFonts w:asciiTheme="majorHAnsi" w:eastAsiaTheme="majorEastAsia" w:hAnsiTheme="majorHAnsi" w:cstheme="majorBidi"/>
      <w:i/>
      <w:iCs/>
      <w:color w:val="2F5496" w:themeColor="accent1" w:themeShade="BF"/>
    </w:rPr>
  </w:style>
  <w:style w:type="paragraph" w:styleId="TOC3">
    <w:name w:val="toc 3"/>
    <w:basedOn w:val="Normal"/>
    <w:next w:val="Normal"/>
    <w:autoRedefine/>
    <w:uiPriority w:val="39"/>
    <w:unhideWhenUsed/>
    <w:rsid w:val="00C552EC"/>
    <w:pPr>
      <w:spacing w:after="100"/>
      <w:ind w:left="440"/>
    </w:pPr>
  </w:style>
  <w:style w:type="character" w:customStyle="1" w:styleId="EndNoteBibliographyChar">
    <w:name w:val="EndNote Bibliography Char"/>
    <w:basedOn w:val="DefaultParagraphFont"/>
    <w:link w:val="EndNoteBibliography"/>
    <w:locked/>
    <w:rsid w:val="00356896"/>
    <w:rPr>
      <w:rFonts w:ascii="Times New Roman" w:hAnsi="Times New Roman" w:cs="Times New Roman"/>
      <w:noProof/>
      <w:sz w:val="24"/>
      <w:szCs w:val="24"/>
    </w:rPr>
  </w:style>
  <w:style w:type="paragraph" w:customStyle="1" w:styleId="EndNoteBibliography">
    <w:name w:val="EndNote Bibliography"/>
    <w:basedOn w:val="Normal"/>
    <w:link w:val="EndNoteBibliographyChar"/>
    <w:rsid w:val="00356896"/>
    <w:pPr>
      <w:spacing w:after="0" w:line="240" w:lineRule="auto"/>
    </w:pPr>
    <w:rPr>
      <w:rFonts w:ascii="Times New Roman" w:hAnsi="Times New Roman" w:cs="Times New Roman"/>
      <w:noProof/>
      <w:sz w:val="24"/>
      <w:szCs w:val="24"/>
    </w:rPr>
  </w:style>
  <w:style w:type="character" w:styleId="UnresolvedMention">
    <w:name w:val="Unresolved Mention"/>
    <w:basedOn w:val="DefaultParagraphFont"/>
    <w:uiPriority w:val="99"/>
    <w:semiHidden/>
    <w:unhideWhenUsed/>
    <w:rsid w:val="00356896"/>
    <w:rPr>
      <w:color w:val="605E5C"/>
      <w:shd w:val="clear" w:color="auto" w:fill="E1DFDD"/>
    </w:rPr>
  </w:style>
  <w:style w:type="paragraph" w:styleId="Revision">
    <w:name w:val="Revision"/>
    <w:hidden/>
    <w:uiPriority w:val="99"/>
    <w:semiHidden/>
    <w:rsid w:val="00721AFD"/>
    <w:pPr>
      <w:spacing w:after="0" w:line="240" w:lineRule="auto"/>
    </w:pPr>
  </w:style>
  <w:style w:type="character" w:customStyle="1" w:styleId="cf01">
    <w:name w:val="cf01"/>
    <w:basedOn w:val="DefaultParagraphFont"/>
    <w:rsid w:val="00111D3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24674">
      <w:bodyDiv w:val="1"/>
      <w:marLeft w:val="0"/>
      <w:marRight w:val="0"/>
      <w:marTop w:val="0"/>
      <w:marBottom w:val="0"/>
      <w:divBdr>
        <w:top w:val="none" w:sz="0" w:space="0" w:color="auto"/>
        <w:left w:val="none" w:sz="0" w:space="0" w:color="auto"/>
        <w:bottom w:val="none" w:sz="0" w:space="0" w:color="auto"/>
        <w:right w:val="none" w:sz="0" w:space="0" w:color="auto"/>
      </w:divBdr>
    </w:div>
    <w:div w:id="170949406">
      <w:bodyDiv w:val="1"/>
      <w:marLeft w:val="0"/>
      <w:marRight w:val="0"/>
      <w:marTop w:val="0"/>
      <w:marBottom w:val="0"/>
      <w:divBdr>
        <w:top w:val="none" w:sz="0" w:space="0" w:color="auto"/>
        <w:left w:val="none" w:sz="0" w:space="0" w:color="auto"/>
        <w:bottom w:val="none" w:sz="0" w:space="0" w:color="auto"/>
        <w:right w:val="none" w:sz="0" w:space="0" w:color="auto"/>
      </w:divBdr>
    </w:div>
    <w:div w:id="584192265">
      <w:bodyDiv w:val="1"/>
      <w:marLeft w:val="0"/>
      <w:marRight w:val="0"/>
      <w:marTop w:val="0"/>
      <w:marBottom w:val="0"/>
      <w:divBdr>
        <w:top w:val="none" w:sz="0" w:space="0" w:color="auto"/>
        <w:left w:val="none" w:sz="0" w:space="0" w:color="auto"/>
        <w:bottom w:val="none" w:sz="0" w:space="0" w:color="auto"/>
        <w:right w:val="none" w:sz="0" w:space="0" w:color="auto"/>
      </w:divBdr>
    </w:div>
    <w:div w:id="672419487">
      <w:bodyDiv w:val="1"/>
      <w:marLeft w:val="0"/>
      <w:marRight w:val="0"/>
      <w:marTop w:val="0"/>
      <w:marBottom w:val="0"/>
      <w:divBdr>
        <w:top w:val="none" w:sz="0" w:space="0" w:color="auto"/>
        <w:left w:val="none" w:sz="0" w:space="0" w:color="auto"/>
        <w:bottom w:val="none" w:sz="0" w:space="0" w:color="auto"/>
        <w:right w:val="none" w:sz="0" w:space="0" w:color="auto"/>
      </w:divBdr>
    </w:div>
    <w:div w:id="1322657776">
      <w:bodyDiv w:val="1"/>
      <w:marLeft w:val="0"/>
      <w:marRight w:val="0"/>
      <w:marTop w:val="0"/>
      <w:marBottom w:val="0"/>
      <w:divBdr>
        <w:top w:val="none" w:sz="0" w:space="0" w:color="auto"/>
        <w:left w:val="none" w:sz="0" w:space="0" w:color="auto"/>
        <w:bottom w:val="none" w:sz="0" w:space="0" w:color="auto"/>
        <w:right w:val="none" w:sz="0" w:space="0" w:color="auto"/>
      </w:divBdr>
    </w:div>
    <w:div w:id="1389761624">
      <w:bodyDiv w:val="1"/>
      <w:marLeft w:val="0"/>
      <w:marRight w:val="0"/>
      <w:marTop w:val="0"/>
      <w:marBottom w:val="0"/>
      <w:divBdr>
        <w:top w:val="none" w:sz="0" w:space="0" w:color="auto"/>
        <w:left w:val="none" w:sz="0" w:space="0" w:color="auto"/>
        <w:bottom w:val="none" w:sz="0" w:space="0" w:color="auto"/>
        <w:right w:val="none" w:sz="0" w:space="0" w:color="auto"/>
      </w:divBdr>
    </w:div>
    <w:div w:id="1621758928">
      <w:bodyDiv w:val="1"/>
      <w:marLeft w:val="0"/>
      <w:marRight w:val="0"/>
      <w:marTop w:val="0"/>
      <w:marBottom w:val="0"/>
      <w:divBdr>
        <w:top w:val="none" w:sz="0" w:space="0" w:color="auto"/>
        <w:left w:val="none" w:sz="0" w:space="0" w:color="auto"/>
        <w:bottom w:val="none" w:sz="0" w:space="0" w:color="auto"/>
        <w:right w:val="none" w:sz="0" w:space="0" w:color="auto"/>
      </w:divBdr>
    </w:div>
    <w:div w:id="1815486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hyperlink" Target="https://racialequity.org/mismatched/" TargetMode="External"/><Relationship Id="rId39" Type="http://schemas.openxmlformats.org/officeDocument/2006/relationships/fontTable" Target="fontTable.xml"/><Relationship Id="rId21" Type="http://schemas.openxmlformats.org/officeDocument/2006/relationships/hyperlink" Target="https://globalindices.iupui.edu/tracker/index.html" TargetMode="External"/><Relationship Id="rId34" Type="http://schemas.openxmlformats.org/officeDocument/2006/relationships/hyperlink" Target="https://www.oecd.org/dac/financing-sustainable-development/development-finance-standards/official-development-assistance.htm" TargetMode="Externa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hyperlink" Target="https://www.climateworks.org/report/funding-trends-2022/" TargetMode="External"/><Relationship Id="rId33" Type="http://schemas.openxmlformats.org/officeDocument/2006/relationships/hyperlink" Target="https://doi.org/10.1787/cdf37f1e-en"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chart" Target="charts/chart10.xml"/><Relationship Id="rId29" Type="http://schemas.openxmlformats.org/officeDocument/2006/relationships/hyperlink" Target="https://scholarworks.iupui.edu/handle/1805/2809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hyperlink" Target="https://candid.org/explore-issues/racial-equity/faq" TargetMode="External"/><Relationship Id="rId32" Type="http://schemas.openxmlformats.org/officeDocument/2006/relationships/hyperlink" Target="https://www.weforum.org/agenda/2020/07/remittances-decline-covid-19-migrants-low-income-economies/"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hart" Target="charts/chart5.xml"/><Relationship Id="rId23" Type="http://schemas.openxmlformats.org/officeDocument/2006/relationships/hyperlink" Target="https://sdgfunders.org/sdgs/" TargetMode="External"/><Relationship Id="rId28" Type="http://schemas.openxmlformats.org/officeDocument/2006/relationships/hyperlink" Target="https://scholarworks.iupui.edu/handle/1805/32365" TargetMode="External"/><Relationship Id="rId36" Type="http://schemas.openxmlformats.org/officeDocument/2006/relationships/hyperlink" Target="https://unctad.org/system/files/official-document/wir2021_en.pdf" TargetMode="External"/><Relationship Id="rId10" Type="http://schemas.openxmlformats.org/officeDocument/2006/relationships/image" Target="media/image2.png"/><Relationship Id="rId19" Type="http://schemas.openxmlformats.org/officeDocument/2006/relationships/chart" Target="charts/chart9.xml"/><Relationship Id="rId31" Type="http://schemas.openxmlformats.org/officeDocument/2006/relationships/hyperlink" Target="https://um.dk/en/danida/results/eval/eval_reports/private-capital-20160321t102322" TargetMode="External"/><Relationship Id="rId4" Type="http://schemas.openxmlformats.org/officeDocument/2006/relationships/settings" Target="settings.xml"/><Relationship Id="rId9" Type="http://schemas.microsoft.com/office/2014/relationships/chartEx" Target="charts/chartEx1.xml"/><Relationship Id="rId14" Type="http://schemas.openxmlformats.org/officeDocument/2006/relationships/chart" Target="charts/chart4.xml"/><Relationship Id="rId22" Type="http://schemas.openxmlformats.org/officeDocument/2006/relationships/hyperlink" Target="https://arabfoundationsforum.org/sustainable-development-goals/" TargetMode="External"/><Relationship Id="rId27" Type="http://schemas.openxmlformats.org/officeDocument/2006/relationships/hyperlink" Target="https://scholarworks.iupui.edu/handle/1805/24144" TargetMode="External"/><Relationship Id="rId30" Type="http://schemas.openxmlformats.org/officeDocument/2006/relationships/hyperlink" Target="https://doi.org/10.1186/s43093-022-00133-9" TargetMode="External"/><Relationship Id="rId35" Type="http://schemas.openxmlformats.org/officeDocument/2006/relationships/hyperlink" Target="https://data.oecd.org/drf/private-flows.htm" TargetMode="External"/><Relationship Id="rId8" Type="http://schemas.openxmlformats.org/officeDocument/2006/relationships/image" Target="media/image1.png"/><Relationship Id="rId3"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zarin\Downloads\Europe%202023%20vs%202020.xlsx" TargetMode="External"/><Relationship Id="rId2" Type="http://schemas.microsoft.com/office/2011/relationships/chartColorStyle" Target="colors2.xml"/><Relationship Id="rId1" Type="http://schemas.microsoft.com/office/2011/relationships/chartStyle" Target="style2.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zarin\Downloads\Europe%202023%20vs%202020.xlsx" TargetMode="External"/><Relationship Id="rId2" Type="http://schemas.microsoft.com/office/2011/relationships/chartColorStyle" Target="colors3.xml"/><Relationship Id="rId1" Type="http://schemas.microsoft.com/office/2011/relationships/chartStyle" Target="style3.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karly\Downloads\Europe%202023%20vs%202020.xlsx" TargetMode="External"/><Relationship Id="rId2" Type="http://schemas.microsoft.com/office/2011/relationships/chartColorStyle" Target="colors4.xml"/><Relationship Id="rId1" Type="http://schemas.microsoft.com/office/2011/relationships/chartStyle" Target="style4.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karly\Downloads\Europe%202023%20vs%202020.xlsx" TargetMode="External"/><Relationship Id="rId2" Type="http://schemas.microsoft.com/office/2011/relationships/chartColorStyle" Target="colors5.xml"/><Relationship Id="rId1" Type="http://schemas.microsoft.com/office/2011/relationships/chartStyle" Target="style5.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karly\Downloads\Europe%202023%20vs%202020.xlsx" TargetMode="External"/><Relationship Id="rId2" Type="http://schemas.microsoft.com/office/2011/relationships/chartColorStyle" Target="colors6.xml"/><Relationship Id="rId1" Type="http://schemas.microsoft.com/office/2011/relationships/chartStyle" Target="style6.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karly\Downloads\Europe%202023%20vs%202020.xlsx" TargetMode="External"/><Relationship Id="rId2" Type="http://schemas.microsoft.com/office/2011/relationships/chartColorStyle" Target="colors7.xml"/><Relationship Id="rId1" Type="http://schemas.microsoft.com/office/2011/relationships/chartStyle" Target="style7.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karly\Downloads\Europe%202023%20vs%202020.xlsx" TargetMode="External"/><Relationship Id="rId2" Type="http://schemas.microsoft.com/office/2011/relationships/chartColorStyle" Target="colors8.xml"/><Relationship Id="rId1" Type="http://schemas.microsoft.com/office/2011/relationships/chartStyle" Target="style8.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karly\Downloads\Europe%20graphs.xlsx" TargetMode="External"/><Relationship Id="rId2" Type="http://schemas.microsoft.com/office/2011/relationships/chartColorStyle" Target="colors9.xml"/><Relationship Id="rId1" Type="http://schemas.microsoft.com/office/2011/relationships/chartStyle" Target="style9.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karly\Downloads\Europe%20graphs.xlsx" TargetMode="External"/><Relationship Id="rId2" Type="http://schemas.microsoft.com/office/2011/relationships/chartColorStyle" Target="colors10.xml"/><Relationship Id="rId1" Type="http://schemas.microsoft.com/office/2011/relationships/chartStyle" Target="style10.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karly\Downloads\Europe%20graphs.xlsx" TargetMode="External"/><Relationship Id="rId2" Type="http://schemas.microsoft.com/office/2011/relationships/chartColorStyle" Target="colors11.xml"/><Relationship Id="rId1" Type="http://schemas.microsoft.com/office/2011/relationships/chartStyle" Target="style11.xml"/></Relationships>
</file>

<file path=word/charts/_rels/chartEx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karly\Downloads\Europe%202023%20vs%20202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tx>
            <c:strRef>
              <c:f>'2023 GPT'!$B$1</c:f>
              <c:strCache>
                <c:ptCount val="1"/>
                <c:pt idx="0">
                  <c:v>ODA</c:v>
                </c:pt>
              </c:strCache>
            </c:strRef>
          </c:tx>
          <c:spPr>
            <a:solidFill>
              <a:srgbClr val="006298"/>
            </a:solidFill>
            <a:ln>
              <a:noFill/>
            </a:ln>
            <a:effectLst/>
          </c:spPr>
          <c:invertIfNegative val="0"/>
          <c:cat>
            <c:strRef>
              <c:f>'2023 GPT'!$A$2:$A$28</c:f>
              <c:strCache>
                <c:ptCount val="27"/>
                <c:pt idx="0">
                  <c:v>Albania</c:v>
                </c:pt>
                <c:pt idx="1">
                  <c:v>Bosnia and Herzegovina</c:v>
                </c:pt>
                <c:pt idx="2">
                  <c:v>Montenegro</c:v>
                </c:pt>
                <c:pt idx="3">
                  <c:v>North Macedonia</c:v>
                </c:pt>
                <c:pt idx="4">
                  <c:v>Slovak Republic</c:v>
                </c:pt>
                <c:pt idx="5">
                  <c:v>Croatia</c:v>
                </c:pt>
                <c:pt idx="6">
                  <c:v>Serbia</c:v>
                </c:pt>
                <c:pt idx="7">
                  <c:v>Luxembourg</c:v>
                </c:pt>
                <c:pt idx="8">
                  <c:v>Czech Republic</c:v>
                </c:pt>
                <c:pt idx="9">
                  <c:v>Portugal</c:v>
                </c:pt>
                <c:pt idx="10">
                  <c:v>Greece</c:v>
                </c:pt>
                <c:pt idx="11">
                  <c:v>Ireland</c:v>
                </c:pt>
                <c:pt idx="12">
                  <c:v>Finland</c:v>
                </c:pt>
                <c:pt idx="13">
                  <c:v>Hungary</c:v>
                </c:pt>
                <c:pt idx="14">
                  <c:v>Austria</c:v>
                </c:pt>
                <c:pt idx="15">
                  <c:v>Denmark</c:v>
                </c:pt>
                <c:pt idx="16">
                  <c:v>Norway</c:v>
                </c:pt>
                <c:pt idx="17">
                  <c:v>Belgium</c:v>
                </c:pt>
                <c:pt idx="18">
                  <c:v>Sweden</c:v>
                </c:pt>
                <c:pt idx="19">
                  <c:v>Türkiye</c:v>
                </c:pt>
                <c:pt idx="20">
                  <c:v>Switzerland</c:v>
                </c:pt>
                <c:pt idx="21">
                  <c:v>Netherlands</c:v>
                </c:pt>
                <c:pt idx="22">
                  <c:v>Italy</c:v>
                </c:pt>
                <c:pt idx="23">
                  <c:v>Spain</c:v>
                </c:pt>
                <c:pt idx="24">
                  <c:v>France</c:v>
                </c:pt>
                <c:pt idx="25">
                  <c:v>United Kingdom</c:v>
                </c:pt>
                <c:pt idx="26">
                  <c:v>Germany</c:v>
                </c:pt>
              </c:strCache>
            </c:strRef>
          </c:cat>
          <c:val>
            <c:numRef>
              <c:f>'2023 GPT'!$B$2:$B$28</c:f>
              <c:numCache>
                <c:formatCode>General</c:formatCode>
                <c:ptCount val="27"/>
                <c:pt idx="4" formatCode="&quot;$&quot;#,##0_);[Red]\(&quot;$&quot;#,##0\)">
                  <c:v>141</c:v>
                </c:pt>
                <c:pt idx="5" formatCode="&quot;$&quot;#,##0_);[Red]\(&quot;$&quot;#,##0\)">
                  <c:v>77</c:v>
                </c:pt>
                <c:pt idx="7" formatCode="&quot;$&quot;#,##0_);[Red]\(&quot;$&quot;#,##0\)">
                  <c:v>452</c:v>
                </c:pt>
                <c:pt idx="8" formatCode="&quot;$&quot;#,##0_);[Red]\(&quot;$&quot;#,##0\)">
                  <c:v>299</c:v>
                </c:pt>
                <c:pt idx="9" formatCode="&quot;$&quot;#,##0_);[Red]\(&quot;$&quot;#,##0\)">
                  <c:v>413</c:v>
                </c:pt>
                <c:pt idx="10" formatCode="&quot;$&quot;#,##0_);[Red]\(&quot;$&quot;#,##0\)">
                  <c:v>325</c:v>
                </c:pt>
                <c:pt idx="11" formatCode="&quot;$&quot;#,##0_);[Red]\(&quot;$&quot;#,##0\)">
                  <c:v>988</c:v>
                </c:pt>
                <c:pt idx="12" formatCode="&quot;$&quot;#,##0_);[Red]\(&quot;$&quot;#,##0\)">
                  <c:v>1278</c:v>
                </c:pt>
                <c:pt idx="13" formatCode="&quot;$&quot;#,##0_);[Red]\(&quot;$&quot;#,##0\)">
                  <c:v>418</c:v>
                </c:pt>
                <c:pt idx="14" formatCode="&quot;$&quot;#,##0_);[Red]\(&quot;$&quot;#,##0\)">
                  <c:v>1273</c:v>
                </c:pt>
                <c:pt idx="15" formatCode="&quot;$&quot;#,##0_);[Red]\(&quot;$&quot;#,##0\)">
                  <c:v>2652</c:v>
                </c:pt>
                <c:pt idx="16" formatCode="&quot;$&quot;#,##0_);[Red]\(&quot;$&quot;#,##0\)">
                  <c:v>4196</c:v>
                </c:pt>
                <c:pt idx="17" formatCode="&quot;$&quot;#,##0_);[Red]\(&quot;$&quot;#,##0\)">
                  <c:v>2344</c:v>
                </c:pt>
                <c:pt idx="18" formatCode="&quot;$&quot;#,##0_);[Red]\(&quot;$&quot;#,##0\)">
                  <c:v>6349</c:v>
                </c:pt>
                <c:pt idx="19" formatCode="&quot;$&quot;#,##0_);[Red]\(&quot;$&quot;#,##0\)">
                  <c:v>8124</c:v>
                </c:pt>
                <c:pt idx="20" formatCode="&quot;$&quot;#,##0_);[Red]\(&quot;$&quot;#,##0\)">
                  <c:v>3563</c:v>
                </c:pt>
                <c:pt idx="21" formatCode="&quot;$&quot;#,##0_);[Red]\(&quot;$&quot;#,##0\)">
                  <c:v>5359</c:v>
                </c:pt>
                <c:pt idx="22" formatCode="&quot;$&quot;#,##0_);[Red]\(&quot;$&quot;#,##0\)">
                  <c:v>4248</c:v>
                </c:pt>
                <c:pt idx="23" formatCode="&quot;$&quot;#,##0_);[Red]\(&quot;$&quot;#,##0\)">
                  <c:v>2987</c:v>
                </c:pt>
                <c:pt idx="24" formatCode="&quot;$&quot;#,##0_);[Red]\(&quot;$&quot;#,##0\)">
                  <c:v>14125</c:v>
                </c:pt>
                <c:pt idx="25" formatCode="&quot;$&quot;#,##0_);[Red]\(&quot;$&quot;#,##0\)">
                  <c:v>18568</c:v>
                </c:pt>
                <c:pt idx="26" formatCode="&quot;$&quot;#,##0_);[Red]\(&quot;$&quot;#,##0\)">
                  <c:v>28708</c:v>
                </c:pt>
              </c:numCache>
            </c:numRef>
          </c:val>
          <c:extLst>
            <c:ext xmlns:c16="http://schemas.microsoft.com/office/drawing/2014/chart" uri="{C3380CC4-5D6E-409C-BE32-E72D297353CC}">
              <c16:uniqueId val="{00000000-F1EA-4A31-ADD4-AC418C0E2147}"/>
            </c:ext>
          </c:extLst>
        </c:ser>
        <c:ser>
          <c:idx val="1"/>
          <c:order val="1"/>
          <c:tx>
            <c:strRef>
              <c:f>'2023 GPT'!$C$1</c:f>
              <c:strCache>
                <c:ptCount val="1"/>
                <c:pt idx="0">
                  <c:v>PCI</c:v>
                </c:pt>
              </c:strCache>
            </c:strRef>
          </c:tx>
          <c:spPr>
            <a:solidFill>
              <a:srgbClr val="FFAA00"/>
            </a:solidFill>
            <a:ln>
              <a:noFill/>
            </a:ln>
            <a:effectLst/>
          </c:spPr>
          <c:invertIfNegative val="0"/>
          <c:cat>
            <c:strRef>
              <c:f>'2023 GPT'!$A$2:$A$28</c:f>
              <c:strCache>
                <c:ptCount val="27"/>
                <c:pt idx="0">
                  <c:v>Albania</c:v>
                </c:pt>
                <c:pt idx="1">
                  <c:v>Bosnia and Herzegovina</c:v>
                </c:pt>
                <c:pt idx="2">
                  <c:v>Montenegro</c:v>
                </c:pt>
                <c:pt idx="3">
                  <c:v>North Macedonia</c:v>
                </c:pt>
                <c:pt idx="4">
                  <c:v>Slovak Republic</c:v>
                </c:pt>
                <c:pt idx="5">
                  <c:v>Croatia</c:v>
                </c:pt>
                <c:pt idx="6">
                  <c:v>Serbia</c:v>
                </c:pt>
                <c:pt idx="7">
                  <c:v>Luxembourg</c:v>
                </c:pt>
                <c:pt idx="8">
                  <c:v>Czech Republic</c:v>
                </c:pt>
                <c:pt idx="9">
                  <c:v>Portugal</c:v>
                </c:pt>
                <c:pt idx="10">
                  <c:v>Greece</c:v>
                </c:pt>
                <c:pt idx="11">
                  <c:v>Ireland</c:v>
                </c:pt>
                <c:pt idx="12">
                  <c:v>Finland</c:v>
                </c:pt>
                <c:pt idx="13">
                  <c:v>Hungary</c:v>
                </c:pt>
                <c:pt idx="14">
                  <c:v>Austria</c:v>
                </c:pt>
                <c:pt idx="15">
                  <c:v>Denmark</c:v>
                </c:pt>
                <c:pt idx="16">
                  <c:v>Norway</c:v>
                </c:pt>
                <c:pt idx="17">
                  <c:v>Belgium</c:v>
                </c:pt>
                <c:pt idx="18">
                  <c:v>Sweden</c:v>
                </c:pt>
                <c:pt idx="19">
                  <c:v>Türkiye</c:v>
                </c:pt>
                <c:pt idx="20">
                  <c:v>Switzerland</c:v>
                </c:pt>
                <c:pt idx="21">
                  <c:v>Netherlands</c:v>
                </c:pt>
                <c:pt idx="22">
                  <c:v>Italy</c:v>
                </c:pt>
                <c:pt idx="23">
                  <c:v>Spain</c:v>
                </c:pt>
                <c:pt idx="24">
                  <c:v>France</c:v>
                </c:pt>
                <c:pt idx="25">
                  <c:v>United Kingdom</c:v>
                </c:pt>
                <c:pt idx="26">
                  <c:v>Germany</c:v>
                </c:pt>
              </c:strCache>
            </c:strRef>
          </c:cat>
          <c:val>
            <c:numRef>
              <c:f>'2023 GPT'!$C$2:$C$28</c:f>
              <c:numCache>
                <c:formatCode>General</c:formatCode>
                <c:ptCount val="27"/>
                <c:pt idx="4">
                  <c:v>27.18000031</c:v>
                </c:pt>
                <c:pt idx="8">
                  <c:v>131.47999999999999</c:v>
                </c:pt>
                <c:pt idx="9">
                  <c:v>-837.4099731</c:v>
                </c:pt>
                <c:pt idx="10">
                  <c:v>123.01000209999999</c:v>
                </c:pt>
                <c:pt idx="12">
                  <c:v>1279.219971</c:v>
                </c:pt>
                <c:pt idx="13">
                  <c:v>3055.3500979999999</c:v>
                </c:pt>
                <c:pt idx="14">
                  <c:v>-1499.51001</c:v>
                </c:pt>
                <c:pt idx="15">
                  <c:v>316.6536504</c:v>
                </c:pt>
                <c:pt idx="17">
                  <c:v>1969.2299800000001</c:v>
                </c:pt>
                <c:pt idx="18">
                  <c:v>1969.2299800000001</c:v>
                </c:pt>
                <c:pt idx="19">
                  <c:v>260.68</c:v>
                </c:pt>
                <c:pt idx="20">
                  <c:v>-818.05999759999997</c:v>
                </c:pt>
                <c:pt idx="21">
                  <c:v>5085.7099609999996</c:v>
                </c:pt>
                <c:pt idx="22">
                  <c:v>457.92001340000002</c:v>
                </c:pt>
                <c:pt idx="23">
                  <c:v>11108.91992</c:v>
                </c:pt>
                <c:pt idx="24">
                  <c:v>5108.83</c:v>
                </c:pt>
                <c:pt idx="25">
                  <c:v>-1.539999962</c:v>
                </c:pt>
                <c:pt idx="26">
                  <c:v>14665.76953</c:v>
                </c:pt>
              </c:numCache>
            </c:numRef>
          </c:val>
          <c:extLst>
            <c:ext xmlns:c16="http://schemas.microsoft.com/office/drawing/2014/chart" uri="{C3380CC4-5D6E-409C-BE32-E72D297353CC}">
              <c16:uniqueId val="{00000001-F1EA-4A31-ADD4-AC418C0E2147}"/>
            </c:ext>
          </c:extLst>
        </c:ser>
        <c:ser>
          <c:idx val="2"/>
          <c:order val="2"/>
          <c:tx>
            <c:strRef>
              <c:f>'2023 GPT'!$D$1</c:f>
              <c:strCache>
                <c:ptCount val="1"/>
                <c:pt idx="0">
                  <c:v>Remittances</c:v>
                </c:pt>
              </c:strCache>
            </c:strRef>
          </c:tx>
          <c:spPr>
            <a:solidFill>
              <a:srgbClr val="990000"/>
            </a:solidFill>
            <a:ln>
              <a:noFill/>
            </a:ln>
            <a:effectLst/>
          </c:spPr>
          <c:invertIfNegative val="0"/>
          <c:cat>
            <c:strRef>
              <c:f>'2023 GPT'!$A$2:$A$28</c:f>
              <c:strCache>
                <c:ptCount val="27"/>
                <c:pt idx="0">
                  <c:v>Albania</c:v>
                </c:pt>
                <c:pt idx="1">
                  <c:v>Bosnia and Herzegovina</c:v>
                </c:pt>
                <c:pt idx="2">
                  <c:v>Montenegro</c:v>
                </c:pt>
                <c:pt idx="3">
                  <c:v>North Macedonia</c:v>
                </c:pt>
                <c:pt idx="4">
                  <c:v>Slovak Republic</c:v>
                </c:pt>
                <c:pt idx="5">
                  <c:v>Croatia</c:v>
                </c:pt>
                <c:pt idx="6">
                  <c:v>Serbia</c:v>
                </c:pt>
                <c:pt idx="7">
                  <c:v>Luxembourg</c:v>
                </c:pt>
                <c:pt idx="8">
                  <c:v>Czech Republic</c:v>
                </c:pt>
                <c:pt idx="9">
                  <c:v>Portugal</c:v>
                </c:pt>
                <c:pt idx="10">
                  <c:v>Greece</c:v>
                </c:pt>
                <c:pt idx="11">
                  <c:v>Ireland</c:v>
                </c:pt>
                <c:pt idx="12">
                  <c:v>Finland</c:v>
                </c:pt>
                <c:pt idx="13">
                  <c:v>Hungary</c:v>
                </c:pt>
                <c:pt idx="14">
                  <c:v>Austria</c:v>
                </c:pt>
                <c:pt idx="15">
                  <c:v>Denmark</c:v>
                </c:pt>
                <c:pt idx="16">
                  <c:v>Norway</c:v>
                </c:pt>
                <c:pt idx="17">
                  <c:v>Belgium</c:v>
                </c:pt>
                <c:pt idx="18">
                  <c:v>Sweden</c:v>
                </c:pt>
                <c:pt idx="19">
                  <c:v>Türkiye</c:v>
                </c:pt>
                <c:pt idx="20">
                  <c:v>Switzerland</c:v>
                </c:pt>
                <c:pt idx="21">
                  <c:v>Netherlands</c:v>
                </c:pt>
                <c:pt idx="22">
                  <c:v>Italy</c:v>
                </c:pt>
                <c:pt idx="23">
                  <c:v>Spain</c:v>
                </c:pt>
                <c:pt idx="24">
                  <c:v>France</c:v>
                </c:pt>
                <c:pt idx="25">
                  <c:v>United Kingdom</c:v>
                </c:pt>
                <c:pt idx="26">
                  <c:v>Germany</c:v>
                </c:pt>
              </c:strCache>
            </c:strRef>
          </c:cat>
          <c:val>
            <c:numRef>
              <c:f>'2023 GPT'!$D$2:$D$28</c:f>
              <c:numCache>
                <c:formatCode>"$"#,##0_);[Red]\("$"#,##0\)</c:formatCode>
                <c:ptCount val="27"/>
                <c:pt idx="0">
                  <c:v>49</c:v>
                </c:pt>
                <c:pt idx="1">
                  <c:v>147</c:v>
                </c:pt>
                <c:pt idx="2">
                  <c:v>186</c:v>
                </c:pt>
                <c:pt idx="3">
                  <c:v>237</c:v>
                </c:pt>
                <c:pt idx="4">
                  <c:v>744</c:v>
                </c:pt>
                <c:pt idx="5">
                  <c:v>1124</c:v>
                </c:pt>
                <c:pt idx="6">
                  <c:v>2404</c:v>
                </c:pt>
                <c:pt idx="7">
                  <c:v>2075</c:v>
                </c:pt>
                <c:pt idx="8">
                  <c:v>2227</c:v>
                </c:pt>
                <c:pt idx="9">
                  <c:v>3117</c:v>
                </c:pt>
                <c:pt idx="10">
                  <c:v>2815</c:v>
                </c:pt>
                <c:pt idx="11">
                  <c:v>2245</c:v>
                </c:pt>
                <c:pt idx="12">
                  <c:v>1266</c:v>
                </c:pt>
                <c:pt idx="13">
                  <c:v>1807</c:v>
                </c:pt>
                <c:pt idx="14">
                  <c:v>5597</c:v>
                </c:pt>
                <c:pt idx="15">
                  <c:v>2262</c:v>
                </c:pt>
                <c:pt idx="16">
                  <c:v>2856</c:v>
                </c:pt>
                <c:pt idx="17">
                  <c:v>7507</c:v>
                </c:pt>
                <c:pt idx="18">
                  <c:v>4743</c:v>
                </c:pt>
                <c:pt idx="19">
                  <c:v>5180</c:v>
                </c:pt>
                <c:pt idx="20">
                  <c:v>11140</c:v>
                </c:pt>
                <c:pt idx="21">
                  <c:v>7431</c:v>
                </c:pt>
                <c:pt idx="22">
                  <c:v>19523</c:v>
                </c:pt>
                <c:pt idx="23">
                  <c:v>21824</c:v>
                </c:pt>
                <c:pt idx="24">
                  <c:v>24583</c:v>
                </c:pt>
                <c:pt idx="25">
                  <c:v>32178</c:v>
                </c:pt>
                <c:pt idx="26">
                  <c:v>35687</c:v>
                </c:pt>
              </c:numCache>
            </c:numRef>
          </c:val>
          <c:extLst>
            <c:ext xmlns:c16="http://schemas.microsoft.com/office/drawing/2014/chart" uri="{C3380CC4-5D6E-409C-BE32-E72D297353CC}">
              <c16:uniqueId val="{00000002-F1EA-4A31-ADD4-AC418C0E2147}"/>
            </c:ext>
          </c:extLst>
        </c:ser>
        <c:ser>
          <c:idx val="3"/>
          <c:order val="3"/>
          <c:tx>
            <c:strRef>
              <c:f>'2023 GPT'!$E$1</c:f>
              <c:strCache>
                <c:ptCount val="1"/>
                <c:pt idx="0">
                  <c:v>Philanthropy</c:v>
                </c:pt>
              </c:strCache>
            </c:strRef>
          </c:tx>
          <c:spPr>
            <a:solidFill>
              <a:srgbClr val="056E41"/>
            </a:solidFill>
            <a:ln>
              <a:noFill/>
            </a:ln>
            <a:effectLst/>
          </c:spPr>
          <c:invertIfNegative val="0"/>
          <c:cat>
            <c:strRef>
              <c:f>'2023 GPT'!$A$2:$A$28</c:f>
              <c:strCache>
                <c:ptCount val="27"/>
                <c:pt idx="0">
                  <c:v>Albania</c:v>
                </c:pt>
                <c:pt idx="1">
                  <c:v>Bosnia and Herzegovina</c:v>
                </c:pt>
                <c:pt idx="2">
                  <c:v>Montenegro</c:v>
                </c:pt>
                <c:pt idx="3">
                  <c:v>North Macedonia</c:v>
                </c:pt>
                <c:pt idx="4">
                  <c:v>Slovak Republic</c:v>
                </c:pt>
                <c:pt idx="5">
                  <c:v>Croatia</c:v>
                </c:pt>
                <c:pt idx="6">
                  <c:v>Serbia</c:v>
                </c:pt>
                <c:pt idx="7">
                  <c:v>Luxembourg</c:v>
                </c:pt>
                <c:pt idx="8">
                  <c:v>Czech Republic</c:v>
                </c:pt>
                <c:pt idx="9">
                  <c:v>Portugal</c:v>
                </c:pt>
                <c:pt idx="10">
                  <c:v>Greece</c:v>
                </c:pt>
                <c:pt idx="11">
                  <c:v>Ireland</c:v>
                </c:pt>
                <c:pt idx="12">
                  <c:v>Finland</c:v>
                </c:pt>
                <c:pt idx="13">
                  <c:v>Hungary</c:v>
                </c:pt>
                <c:pt idx="14">
                  <c:v>Austria</c:v>
                </c:pt>
                <c:pt idx="15">
                  <c:v>Denmark</c:v>
                </c:pt>
                <c:pt idx="16">
                  <c:v>Norway</c:v>
                </c:pt>
                <c:pt idx="17">
                  <c:v>Belgium</c:v>
                </c:pt>
                <c:pt idx="18">
                  <c:v>Sweden</c:v>
                </c:pt>
                <c:pt idx="19">
                  <c:v>Türkiye</c:v>
                </c:pt>
                <c:pt idx="20">
                  <c:v>Switzerland</c:v>
                </c:pt>
                <c:pt idx="21">
                  <c:v>Netherlands</c:v>
                </c:pt>
                <c:pt idx="22">
                  <c:v>Italy</c:v>
                </c:pt>
                <c:pt idx="23">
                  <c:v>Spain</c:v>
                </c:pt>
                <c:pt idx="24">
                  <c:v>France</c:v>
                </c:pt>
                <c:pt idx="25">
                  <c:v>United Kingdom</c:v>
                </c:pt>
                <c:pt idx="26">
                  <c:v>Germany</c:v>
                </c:pt>
              </c:strCache>
            </c:strRef>
          </c:cat>
          <c:val>
            <c:numRef>
              <c:f>'2023 GPT'!$E$2:$E$28</c:f>
              <c:numCache>
                <c:formatCode>"$"#,##0.00_);[Red]\("$"#,##0.00\)</c:formatCode>
                <c:ptCount val="27"/>
                <c:pt idx="0">
                  <c:v>0.2</c:v>
                </c:pt>
                <c:pt idx="1">
                  <c:v>0.7</c:v>
                </c:pt>
                <c:pt idx="2">
                  <c:v>0</c:v>
                </c:pt>
                <c:pt idx="3">
                  <c:v>0.2</c:v>
                </c:pt>
                <c:pt idx="4">
                  <c:v>0.4</c:v>
                </c:pt>
                <c:pt idx="5">
                  <c:v>0.3</c:v>
                </c:pt>
                <c:pt idx="6">
                  <c:v>2.1</c:v>
                </c:pt>
                <c:pt idx="7">
                  <c:v>32.200000000000003</c:v>
                </c:pt>
                <c:pt idx="8">
                  <c:v>13.2</c:v>
                </c:pt>
                <c:pt idx="9">
                  <c:v>31.6</c:v>
                </c:pt>
                <c:pt idx="10">
                  <c:v>0.3</c:v>
                </c:pt>
                <c:pt idx="11">
                  <c:v>121.4</c:v>
                </c:pt>
                <c:pt idx="12">
                  <c:v>27.3</c:v>
                </c:pt>
                <c:pt idx="13">
                  <c:v>70.599999999999994</c:v>
                </c:pt>
                <c:pt idx="14">
                  <c:v>166.3</c:v>
                </c:pt>
                <c:pt idx="15">
                  <c:v>481.2</c:v>
                </c:pt>
                <c:pt idx="16">
                  <c:v>278.10000000000002</c:v>
                </c:pt>
                <c:pt idx="17">
                  <c:v>233.6</c:v>
                </c:pt>
                <c:pt idx="18">
                  <c:v>256.3</c:v>
                </c:pt>
                <c:pt idx="19">
                  <c:v>401.9</c:v>
                </c:pt>
                <c:pt idx="20">
                  <c:v>1148.3</c:v>
                </c:pt>
                <c:pt idx="21">
                  <c:v>933</c:v>
                </c:pt>
                <c:pt idx="22">
                  <c:v>705.8</c:v>
                </c:pt>
                <c:pt idx="23">
                  <c:v>384.8</c:v>
                </c:pt>
                <c:pt idx="24">
                  <c:v>1070</c:v>
                </c:pt>
                <c:pt idx="25">
                  <c:v>5954.3</c:v>
                </c:pt>
                <c:pt idx="26">
                  <c:v>3227.7</c:v>
                </c:pt>
              </c:numCache>
            </c:numRef>
          </c:val>
          <c:extLst>
            <c:ext xmlns:c16="http://schemas.microsoft.com/office/drawing/2014/chart" uri="{C3380CC4-5D6E-409C-BE32-E72D297353CC}">
              <c16:uniqueId val="{00000003-F1EA-4A31-ADD4-AC418C0E2147}"/>
            </c:ext>
          </c:extLst>
        </c:ser>
        <c:ser>
          <c:idx val="4"/>
          <c:order val="4"/>
          <c:tx>
            <c:strRef>
              <c:f>'2023 GPT'!$F$1</c:f>
              <c:strCache>
                <c:ptCount val="1"/>
                <c:pt idx="0">
                  <c:v>Total</c:v>
                </c:pt>
              </c:strCache>
            </c:strRef>
          </c:tx>
          <c:spPr>
            <a:no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'2023 GPT'!$A$2:$A$28</c:f>
              <c:strCache>
                <c:ptCount val="27"/>
                <c:pt idx="0">
                  <c:v>Albania</c:v>
                </c:pt>
                <c:pt idx="1">
                  <c:v>Bosnia and Herzegovina</c:v>
                </c:pt>
                <c:pt idx="2">
                  <c:v>Montenegro</c:v>
                </c:pt>
                <c:pt idx="3">
                  <c:v>North Macedonia</c:v>
                </c:pt>
                <c:pt idx="4">
                  <c:v>Slovak Republic</c:v>
                </c:pt>
                <c:pt idx="5">
                  <c:v>Croatia</c:v>
                </c:pt>
                <c:pt idx="6">
                  <c:v>Serbia</c:v>
                </c:pt>
                <c:pt idx="7">
                  <c:v>Luxembourg</c:v>
                </c:pt>
                <c:pt idx="8">
                  <c:v>Czech Republic</c:v>
                </c:pt>
                <c:pt idx="9">
                  <c:v>Portugal</c:v>
                </c:pt>
                <c:pt idx="10">
                  <c:v>Greece</c:v>
                </c:pt>
                <c:pt idx="11">
                  <c:v>Ireland</c:v>
                </c:pt>
                <c:pt idx="12">
                  <c:v>Finland</c:v>
                </c:pt>
                <c:pt idx="13">
                  <c:v>Hungary</c:v>
                </c:pt>
                <c:pt idx="14">
                  <c:v>Austria</c:v>
                </c:pt>
                <c:pt idx="15">
                  <c:v>Denmark</c:v>
                </c:pt>
                <c:pt idx="16">
                  <c:v>Norway</c:v>
                </c:pt>
                <c:pt idx="17">
                  <c:v>Belgium</c:v>
                </c:pt>
                <c:pt idx="18">
                  <c:v>Sweden</c:v>
                </c:pt>
                <c:pt idx="19">
                  <c:v>Türkiye</c:v>
                </c:pt>
                <c:pt idx="20">
                  <c:v>Switzerland</c:v>
                </c:pt>
                <c:pt idx="21">
                  <c:v>Netherlands</c:v>
                </c:pt>
                <c:pt idx="22">
                  <c:v>Italy</c:v>
                </c:pt>
                <c:pt idx="23">
                  <c:v>Spain</c:v>
                </c:pt>
                <c:pt idx="24">
                  <c:v>France</c:v>
                </c:pt>
                <c:pt idx="25">
                  <c:v>United Kingdom</c:v>
                </c:pt>
                <c:pt idx="26">
                  <c:v>Germany</c:v>
                </c:pt>
              </c:strCache>
            </c:strRef>
          </c:cat>
          <c:val>
            <c:numRef>
              <c:f>'2023 GPT'!$F$2:$F$28</c:f>
              <c:numCache>
                <c:formatCode>"$"#,##0_);[Red]\("$"#,##0\)</c:formatCode>
                <c:ptCount val="27"/>
                <c:pt idx="0">
                  <c:v>50</c:v>
                </c:pt>
                <c:pt idx="1">
                  <c:v>148</c:v>
                </c:pt>
                <c:pt idx="2">
                  <c:v>186</c:v>
                </c:pt>
                <c:pt idx="3">
                  <c:v>237</c:v>
                </c:pt>
                <c:pt idx="4">
                  <c:v>913</c:v>
                </c:pt>
                <c:pt idx="5">
                  <c:v>1201</c:v>
                </c:pt>
                <c:pt idx="6">
                  <c:v>2406</c:v>
                </c:pt>
                <c:pt idx="7">
                  <c:v>2559</c:v>
                </c:pt>
                <c:pt idx="8">
                  <c:v>2671</c:v>
                </c:pt>
                <c:pt idx="9">
                  <c:v>2724</c:v>
                </c:pt>
                <c:pt idx="10">
                  <c:v>3264</c:v>
                </c:pt>
                <c:pt idx="11">
                  <c:v>3354</c:v>
                </c:pt>
                <c:pt idx="12">
                  <c:v>3851</c:v>
                </c:pt>
                <c:pt idx="13">
                  <c:v>5351</c:v>
                </c:pt>
                <c:pt idx="14">
                  <c:v>5537</c:v>
                </c:pt>
                <c:pt idx="15">
                  <c:v>5711</c:v>
                </c:pt>
                <c:pt idx="16">
                  <c:v>7330</c:v>
                </c:pt>
                <c:pt idx="17">
                  <c:v>12054</c:v>
                </c:pt>
                <c:pt idx="18">
                  <c:v>13317</c:v>
                </c:pt>
                <c:pt idx="19">
                  <c:v>13966</c:v>
                </c:pt>
                <c:pt idx="20">
                  <c:v>15033</c:v>
                </c:pt>
                <c:pt idx="21">
                  <c:v>18809</c:v>
                </c:pt>
                <c:pt idx="22">
                  <c:v>24936</c:v>
                </c:pt>
                <c:pt idx="23">
                  <c:v>36304</c:v>
                </c:pt>
                <c:pt idx="24">
                  <c:v>44886</c:v>
                </c:pt>
                <c:pt idx="25">
                  <c:v>56699</c:v>
                </c:pt>
                <c:pt idx="26">
                  <c:v>82288</c:v>
                </c:pt>
              </c:numCache>
            </c:numRef>
          </c:val>
          <c:extLst>
            <c:ext xmlns:c16="http://schemas.microsoft.com/office/drawing/2014/chart" uri="{C3380CC4-5D6E-409C-BE32-E72D297353CC}">
              <c16:uniqueId val="{00000004-F1EA-4A31-ADD4-AC418C0E2147}"/>
            </c:ext>
          </c:extLst>
        </c:ser>
        <c:dLbls>
          <c:showLegendKey val="0"/>
          <c:showVal val="0"/>
          <c:showCatName val="0"/>
          <c:showSerName val="0"/>
          <c:showPercent val="0"/>
          <c:showBubbleSize val="0"/>
        </c:dLbls>
        <c:gapWidth val="150"/>
        <c:overlap val="100"/>
        <c:axId val="1483155264"/>
        <c:axId val="1483158144"/>
      </c:barChart>
      <c:catAx>
        <c:axId val="148315526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83158144"/>
        <c:crosses val="autoZero"/>
        <c:auto val="1"/>
        <c:lblAlgn val="ctr"/>
        <c:lblOffset val="100"/>
        <c:noMultiLvlLbl val="0"/>
      </c:catAx>
      <c:valAx>
        <c:axId val="1483158144"/>
        <c:scaling>
          <c:orientation val="minMax"/>
          <c:max val="100000"/>
          <c:min val="-2000"/>
        </c:scaling>
        <c:delete val="1"/>
        <c:axPos val="b"/>
        <c:numFmt formatCode="General" sourceLinked="1"/>
        <c:majorTickMark val="none"/>
        <c:minorTickMark val="none"/>
        <c:tickLblPos val="nextTo"/>
        <c:crossAx val="1483155264"/>
        <c:crosses val="autoZero"/>
        <c:crossBetween val="between"/>
        <c:majorUnit val="102000"/>
        <c:minorUnit val="10000"/>
      </c:valAx>
      <c:spPr>
        <a:noFill/>
        <a:ln>
          <a:noFill/>
        </a:ln>
        <a:effectLst/>
      </c:spPr>
    </c:plotArea>
    <c:legend>
      <c:legendPos val="b"/>
      <c:legendEntry>
        <c:idx val="4"/>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'2023 - Philanthropy'!$B$1</c:f>
              <c:strCache>
                <c:ptCount val="1"/>
                <c:pt idx="0">
                  <c:v>Philanthropy</c:v>
                </c:pt>
              </c:strCache>
            </c:strRef>
          </c:tx>
          <c:spPr>
            <a:solidFill>
              <a:srgbClr val="056E4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'2023 - Philanthropy'!$A$2:$A$28</c:f>
              <c:strCache>
                <c:ptCount val="27"/>
                <c:pt idx="0">
                  <c:v>Montenegro</c:v>
                </c:pt>
                <c:pt idx="1">
                  <c:v>North Macedonia</c:v>
                </c:pt>
                <c:pt idx="2">
                  <c:v>Albania</c:v>
                </c:pt>
                <c:pt idx="3">
                  <c:v>Croatia</c:v>
                </c:pt>
                <c:pt idx="4">
                  <c:v>Greece</c:v>
                </c:pt>
                <c:pt idx="5">
                  <c:v>Slovak Republic</c:v>
                </c:pt>
                <c:pt idx="6">
                  <c:v>Bosnia and Herzegovina</c:v>
                </c:pt>
                <c:pt idx="7">
                  <c:v>Serbia</c:v>
                </c:pt>
                <c:pt idx="8">
                  <c:v>Czech Republic</c:v>
                </c:pt>
                <c:pt idx="9">
                  <c:v>Finland</c:v>
                </c:pt>
                <c:pt idx="10">
                  <c:v>Portugal</c:v>
                </c:pt>
                <c:pt idx="11">
                  <c:v>Luxembourg</c:v>
                </c:pt>
                <c:pt idx="12">
                  <c:v>Hungary</c:v>
                </c:pt>
                <c:pt idx="13">
                  <c:v>Ireland</c:v>
                </c:pt>
                <c:pt idx="14">
                  <c:v>Austria</c:v>
                </c:pt>
                <c:pt idx="15">
                  <c:v>Belgium</c:v>
                </c:pt>
                <c:pt idx="16">
                  <c:v>Sweden</c:v>
                </c:pt>
                <c:pt idx="17">
                  <c:v>Norway</c:v>
                </c:pt>
                <c:pt idx="18">
                  <c:v>Spain</c:v>
                </c:pt>
                <c:pt idx="19">
                  <c:v>Türkiye</c:v>
                </c:pt>
                <c:pt idx="20">
                  <c:v>Denmark</c:v>
                </c:pt>
                <c:pt idx="21">
                  <c:v>Italy</c:v>
                </c:pt>
                <c:pt idx="22">
                  <c:v>Netherlands</c:v>
                </c:pt>
                <c:pt idx="23">
                  <c:v>France</c:v>
                </c:pt>
                <c:pt idx="24">
                  <c:v>Switzerland</c:v>
                </c:pt>
                <c:pt idx="25">
                  <c:v>Germany</c:v>
                </c:pt>
                <c:pt idx="26">
                  <c:v>United Kingdom</c:v>
                </c:pt>
              </c:strCache>
            </c:strRef>
          </c:cat>
          <c:val>
            <c:numRef>
              <c:f>'2023 - Philanthropy'!$B$2:$B$28</c:f>
              <c:numCache>
                <c:formatCode>"$"#,##0.00_);[Red]\("$"#,##0.00\)</c:formatCode>
                <c:ptCount val="27"/>
                <c:pt idx="0">
                  <c:v>3.6700000000000003E-2</c:v>
                </c:pt>
                <c:pt idx="1">
                  <c:v>0.1633</c:v>
                </c:pt>
                <c:pt idx="2">
                  <c:v>0.16439999999999999</c:v>
                </c:pt>
                <c:pt idx="3">
                  <c:v>0.28179999999999999</c:v>
                </c:pt>
                <c:pt idx="4">
                  <c:v>0.32979999999999998</c:v>
                </c:pt>
                <c:pt idx="5">
                  <c:v>0.41549999999999998</c:v>
                </c:pt>
                <c:pt idx="6">
                  <c:v>0.6633</c:v>
                </c:pt>
                <c:pt idx="7">
                  <c:v>2.1153</c:v>
                </c:pt>
                <c:pt idx="8">
                  <c:v>13.204700000000001</c:v>
                </c:pt>
                <c:pt idx="9">
                  <c:v>27.303799999999999</c:v>
                </c:pt>
                <c:pt idx="10">
                  <c:v>31.61</c:v>
                </c:pt>
                <c:pt idx="11">
                  <c:v>32.168399999999998</c:v>
                </c:pt>
                <c:pt idx="12">
                  <c:v>70.646699999999996</c:v>
                </c:pt>
                <c:pt idx="13">
                  <c:v>121.3836</c:v>
                </c:pt>
                <c:pt idx="14">
                  <c:v>166.33410000000001</c:v>
                </c:pt>
                <c:pt idx="15">
                  <c:v>233.55690000000001</c:v>
                </c:pt>
                <c:pt idx="16">
                  <c:v>256.28449999999998</c:v>
                </c:pt>
                <c:pt idx="17">
                  <c:v>278.05040000000002</c:v>
                </c:pt>
                <c:pt idx="18">
                  <c:v>384.75720000000001</c:v>
                </c:pt>
                <c:pt idx="19">
                  <c:v>401.87</c:v>
                </c:pt>
                <c:pt idx="20">
                  <c:v>481.17630000000003</c:v>
                </c:pt>
                <c:pt idx="21">
                  <c:v>705.83219999999994</c:v>
                </c:pt>
                <c:pt idx="22">
                  <c:v>933.005</c:v>
                </c:pt>
                <c:pt idx="23">
                  <c:v>1069.9598000000001</c:v>
                </c:pt>
                <c:pt idx="24">
                  <c:v>1148.3050000000001</c:v>
                </c:pt>
                <c:pt idx="25">
                  <c:v>3227.6723999999999</c:v>
                </c:pt>
                <c:pt idx="26">
                  <c:v>5954.2923000000001</c:v>
                </c:pt>
              </c:numCache>
            </c:numRef>
          </c:val>
          <c:extLst>
            <c:ext xmlns:c16="http://schemas.microsoft.com/office/drawing/2014/chart" uri="{C3380CC4-5D6E-409C-BE32-E72D297353CC}">
              <c16:uniqueId val="{00000000-6F6B-410A-B8DB-14DD1219AFB4}"/>
            </c:ext>
          </c:extLst>
        </c:ser>
        <c:dLbls>
          <c:dLblPos val="outEnd"/>
          <c:showLegendKey val="0"/>
          <c:showVal val="1"/>
          <c:showCatName val="0"/>
          <c:showSerName val="0"/>
          <c:showPercent val="0"/>
          <c:showBubbleSize val="0"/>
        </c:dLbls>
        <c:gapWidth val="182"/>
        <c:axId val="69065599"/>
        <c:axId val="69066559"/>
      </c:barChart>
      <c:catAx>
        <c:axId val="6906559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9066559"/>
        <c:crosses val="autoZero"/>
        <c:auto val="1"/>
        <c:lblAlgn val="ctr"/>
        <c:lblOffset val="100"/>
        <c:noMultiLvlLbl val="0"/>
      </c:catAx>
      <c:valAx>
        <c:axId val="69066559"/>
        <c:scaling>
          <c:orientation val="minMax"/>
        </c:scaling>
        <c:delete val="1"/>
        <c:axPos val="b"/>
        <c:numFmt formatCode="&quot;$&quot;#,##0.00_);[Red]\(&quot;$&quot;#,##0.00\)" sourceLinked="1"/>
        <c:majorTickMark val="none"/>
        <c:minorTickMark val="none"/>
        <c:tickLblPos val="nextTo"/>
        <c:crossAx val="69065599"/>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3259388077512805"/>
          <c:y val="0.10239750319194213"/>
          <c:w val="0.74241179975202487"/>
          <c:h val="0.86355511420059583"/>
        </c:manualLayout>
      </c:layout>
      <c:barChart>
        <c:barDir val="bar"/>
        <c:grouping val="clustered"/>
        <c:varyColors val="0"/>
        <c:ser>
          <c:idx val="0"/>
          <c:order val="0"/>
          <c:tx>
            <c:strRef>
              <c:f>'2023 - Philanthropy (2)'!$C$1</c:f>
              <c:strCache>
                <c:ptCount val="1"/>
                <c:pt idx="0">
                  <c:v>% of GNI</c:v>
                </c:pt>
              </c:strCache>
            </c:strRef>
          </c:tx>
          <c:spPr>
            <a:solidFill>
              <a:srgbClr val="056E4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'2023 - Philanthropy (2)'!$A$2:$A$28</c:f>
              <c:strCache>
                <c:ptCount val="27"/>
                <c:pt idx="0">
                  <c:v>Greece</c:v>
                </c:pt>
                <c:pt idx="1">
                  <c:v>Slovak Republic</c:v>
                </c:pt>
                <c:pt idx="2">
                  <c:v>Croatia</c:v>
                </c:pt>
                <c:pt idx="3">
                  <c:v>Montenegro</c:v>
                </c:pt>
                <c:pt idx="4">
                  <c:v>Albania</c:v>
                </c:pt>
                <c:pt idx="5">
                  <c:v>North Macedonia</c:v>
                </c:pt>
                <c:pt idx="6">
                  <c:v>Bosnia and Herzegovina</c:v>
                </c:pt>
                <c:pt idx="7">
                  <c:v>Serbia</c:v>
                </c:pt>
                <c:pt idx="8">
                  <c:v>Czech Republic</c:v>
                </c:pt>
                <c:pt idx="9">
                  <c:v>Finland</c:v>
                </c:pt>
                <c:pt idx="10">
                  <c:v>Portugal</c:v>
                </c:pt>
                <c:pt idx="11">
                  <c:v>Spain</c:v>
                </c:pt>
                <c:pt idx="12">
                  <c:v>Italy</c:v>
                </c:pt>
                <c:pt idx="13">
                  <c:v>Ireland</c:v>
                </c:pt>
                <c:pt idx="14">
                  <c:v>Austria</c:v>
                </c:pt>
                <c:pt idx="15">
                  <c:v>France</c:v>
                </c:pt>
                <c:pt idx="16">
                  <c:v>Hungary</c:v>
                </c:pt>
                <c:pt idx="17">
                  <c:v>Sweden</c:v>
                </c:pt>
                <c:pt idx="18">
                  <c:v>Belgium</c:v>
                </c:pt>
                <c:pt idx="19">
                  <c:v>Türkiye</c:v>
                </c:pt>
                <c:pt idx="20">
                  <c:v>Luxembourg</c:v>
                </c:pt>
                <c:pt idx="21">
                  <c:v>Norway</c:v>
                </c:pt>
                <c:pt idx="22">
                  <c:v>Germany</c:v>
                </c:pt>
                <c:pt idx="23">
                  <c:v>Netherlands</c:v>
                </c:pt>
                <c:pt idx="24">
                  <c:v>Denmark</c:v>
                </c:pt>
                <c:pt idx="25">
                  <c:v>Switzerland</c:v>
                </c:pt>
                <c:pt idx="26">
                  <c:v>United Kingdom</c:v>
                </c:pt>
              </c:strCache>
            </c:strRef>
          </c:cat>
          <c:val>
            <c:numRef>
              <c:f>'2023 - Philanthropy (2)'!$C$2:$C$28</c:f>
              <c:numCache>
                <c:formatCode>0.0000%</c:formatCode>
                <c:ptCount val="27"/>
                <c:pt idx="0">
                  <c:v>1.9999999999999999E-6</c:v>
                </c:pt>
                <c:pt idx="1">
                  <c:v>3.9999999999999998E-6</c:v>
                </c:pt>
                <c:pt idx="2" formatCode="0.000%">
                  <c:v>5.0000000000000004E-6</c:v>
                </c:pt>
                <c:pt idx="3" formatCode="0.000%">
                  <c:v>7.9999999999999996E-6</c:v>
                </c:pt>
                <c:pt idx="4" formatCode="0.000%">
                  <c:v>1.1E-5</c:v>
                </c:pt>
                <c:pt idx="5" formatCode="0.000%">
                  <c:v>1.4E-5</c:v>
                </c:pt>
                <c:pt idx="6" formatCode="0.000%">
                  <c:v>3.3000000000000003E-5</c:v>
                </c:pt>
                <c:pt idx="7" formatCode="0.000%">
                  <c:v>4.1E-5</c:v>
                </c:pt>
                <c:pt idx="8" formatCode="0.00%">
                  <c:v>5.5999999999999999E-5</c:v>
                </c:pt>
                <c:pt idx="9" formatCode="0.00%">
                  <c:v>1E-4</c:v>
                </c:pt>
                <c:pt idx="10" formatCode="0.00%">
                  <c:v>1.4100000000000001E-4</c:v>
                </c:pt>
                <c:pt idx="11" formatCode="0.00%">
                  <c:v>2.9999999999999997E-4</c:v>
                </c:pt>
                <c:pt idx="12" formatCode="0.00%">
                  <c:v>3.7100000000000002E-4</c:v>
                </c:pt>
                <c:pt idx="13" formatCode="0.00%">
                  <c:v>3.7500000000000001E-4</c:v>
                </c:pt>
                <c:pt idx="14" formatCode="0.00%">
                  <c:v>3.8699999999999997E-4</c:v>
                </c:pt>
                <c:pt idx="15" formatCode="0.00%">
                  <c:v>4.0099999999999999E-4</c:v>
                </c:pt>
                <c:pt idx="16" formatCode="0.00%">
                  <c:v>4.5800000000000002E-4</c:v>
                </c:pt>
                <c:pt idx="17" formatCode="0.00%">
                  <c:v>4.6000000000000001E-4</c:v>
                </c:pt>
                <c:pt idx="18" formatCode="0.00%">
                  <c:v>4.7699999999999999E-4</c:v>
                </c:pt>
                <c:pt idx="19" formatCode="0.00%">
                  <c:v>5.6499999999999996E-4</c:v>
                </c:pt>
                <c:pt idx="20" formatCode="0.00%">
                  <c:v>7.3300000000000004E-4</c:v>
                </c:pt>
                <c:pt idx="21" formatCode="0.00%">
                  <c:v>7.3499999999999998E-4</c:v>
                </c:pt>
                <c:pt idx="22" formatCode="0.00%">
                  <c:v>8.25E-4</c:v>
                </c:pt>
                <c:pt idx="23" formatCode="0.00%">
                  <c:v>1.031E-3</c:v>
                </c:pt>
                <c:pt idx="24" formatCode="0.00%">
                  <c:v>1.3060000000000001E-3</c:v>
                </c:pt>
                <c:pt idx="25" formatCode="0.00%">
                  <c:v>1.5839999999999999E-3</c:v>
                </c:pt>
                <c:pt idx="26" formatCode="0.00%">
                  <c:v>2.2390000000000001E-3</c:v>
                </c:pt>
              </c:numCache>
            </c:numRef>
          </c:val>
          <c:extLst>
            <c:ext xmlns:c16="http://schemas.microsoft.com/office/drawing/2014/chart" uri="{C3380CC4-5D6E-409C-BE32-E72D297353CC}">
              <c16:uniqueId val="{00000000-ECE9-445E-8BAD-45B038C6ABC9}"/>
            </c:ext>
          </c:extLst>
        </c:ser>
        <c:dLbls>
          <c:showLegendKey val="0"/>
          <c:showVal val="0"/>
          <c:showCatName val="0"/>
          <c:showSerName val="0"/>
          <c:showPercent val="0"/>
          <c:showBubbleSize val="0"/>
        </c:dLbls>
        <c:gapWidth val="182"/>
        <c:axId val="1975896768"/>
        <c:axId val="1975888128"/>
      </c:barChart>
      <c:catAx>
        <c:axId val="197589676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75888128"/>
        <c:crosses val="autoZero"/>
        <c:auto val="1"/>
        <c:lblAlgn val="ctr"/>
        <c:lblOffset val="100"/>
        <c:noMultiLvlLbl val="0"/>
      </c:catAx>
      <c:valAx>
        <c:axId val="1975888128"/>
        <c:scaling>
          <c:orientation val="minMax"/>
        </c:scaling>
        <c:delete val="1"/>
        <c:axPos val="b"/>
        <c:numFmt formatCode="0.0000%" sourceLinked="1"/>
        <c:majorTickMark val="none"/>
        <c:minorTickMark val="none"/>
        <c:tickLblPos val="nextTo"/>
        <c:crossAx val="197589676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'2023 - ODA'!$B$1</c:f>
              <c:strCache>
                <c:ptCount val="1"/>
                <c:pt idx="0">
                  <c:v>ODA</c:v>
                </c:pt>
              </c:strCache>
            </c:strRef>
          </c:tx>
          <c:spPr>
            <a:solidFill>
              <a:srgbClr val="006298"/>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'2023 - ODA'!$A$2:$A$23</c:f>
              <c:strCache>
                <c:ptCount val="22"/>
                <c:pt idx="0">
                  <c:v>Croatia</c:v>
                </c:pt>
                <c:pt idx="1">
                  <c:v>Slovak Republic</c:v>
                </c:pt>
                <c:pt idx="2">
                  <c:v>Czech Republic</c:v>
                </c:pt>
                <c:pt idx="3">
                  <c:v>Greece</c:v>
                </c:pt>
                <c:pt idx="4">
                  <c:v>Portugal</c:v>
                </c:pt>
                <c:pt idx="5">
                  <c:v>Hungary</c:v>
                </c:pt>
                <c:pt idx="6">
                  <c:v>Luxembourg</c:v>
                </c:pt>
                <c:pt idx="7">
                  <c:v>Ireland</c:v>
                </c:pt>
                <c:pt idx="8">
                  <c:v>Austria</c:v>
                </c:pt>
                <c:pt idx="9">
                  <c:v>Finland</c:v>
                </c:pt>
                <c:pt idx="10">
                  <c:v>Belgium</c:v>
                </c:pt>
                <c:pt idx="11">
                  <c:v>Denmark</c:v>
                </c:pt>
                <c:pt idx="12">
                  <c:v>Spain</c:v>
                </c:pt>
                <c:pt idx="13">
                  <c:v>Switzerland</c:v>
                </c:pt>
                <c:pt idx="14">
                  <c:v>Norway</c:v>
                </c:pt>
                <c:pt idx="15">
                  <c:v>Italy</c:v>
                </c:pt>
                <c:pt idx="16">
                  <c:v>Netherlands</c:v>
                </c:pt>
                <c:pt idx="17">
                  <c:v>Sweden</c:v>
                </c:pt>
                <c:pt idx="18">
                  <c:v>Türkiye</c:v>
                </c:pt>
                <c:pt idx="19">
                  <c:v>France</c:v>
                </c:pt>
                <c:pt idx="20">
                  <c:v>United Kingdom</c:v>
                </c:pt>
                <c:pt idx="21">
                  <c:v>Germany</c:v>
                </c:pt>
              </c:strCache>
            </c:strRef>
          </c:cat>
          <c:val>
            <c:numRef>
              <c:f>'2023 - ODA'!$B$2:$B$23</c:f>
              <c:numCache>
                <c:formatCode>"$"#,##0_);[Red]\("$"#,##0\)</c:formatCode>
                <c:ptCount val="22"/>
                <c:pt idx="0">
                  <c:v>77</c:v>
                </c:pt>
                <c:pt idx="1">
                  <c:v>141</c:v>
                </c:pt>
                <c:pt idx="2">
                  <c:v>299</c:v>
                </c:pt>
                <c:pt idx="3">
                  <c:v>325</c:v>
                </c:pt>
                <c:pt idx="4">
                  <c:v>413</c:v>
                </c:pt>
                <c:pt idx="5">
                  <c:v>418</c:v>
                </c:pt>
                <c:pt idx="6">
                  <c:v>452</c:v>
                </c:pt>
                <c:pt idx="7">
                  <c:v>988</c:v>
                </c:pt>
                <c:pt idx="8">
                  <c:v>1273</c:v>
                </c:pt>
                <c:pt idx="9">
                  <c:v>1278</c:v>
                </c:pt>
                <c:pt idx="10">
                  <c:v>2344</c:v>
                </c:pt>
                <c:pt idx="11">
                  <c:v>2652</c:v>
                </c:pt>
                <c:pt idx="12">
                  <c:v>2987</c:v>
                </c:pt>
                <c:pt idx="13">
                  <c:v>3563</c:v>
                </c:pt>
                <c:pt idx="14">
                  <c:v>4196</c:v>
                </c:pt>
                <c:pt idx="15">
                  <c:v>4248</c:v>
                </c:pt>
                <c:pt idx="16">
                  <c:v>5359</c:v>
                </c:pt>
                <c:pt idx="17">
                  <c:v>6349</c:v>
                </c:pt>
                <c:pt idx="18">
                  <c:v>8124</c:v>
                </c:pt>
                <c:pt idx="19">
                  <c:v>14125</c:v>
                </c:pt>
                <c:pt idx="20">
                  <c:v>18568</c:v>
                </c:pt>
                <c:pt idx="21">
                  <c:v>28708</c:v>
                </c:pt>
              </c:numCache>
            </c:numRef>
          </c:val>
          <c:extLst>
            <c:ext xmlns:c16="http://schemas.microsoft.com/office/drawing/2014/chart" uri="{C3380CC4-5D6E-409C-BE32-E72D297353CC}">
              <c16:uniqueId val="{00000000-8F9C-442F-B076-30A0F48759B4}"/>
            </c:ext>
          </c:extLst>
        </c:ser>
        <c:dLbls>
          <c:dLblPos val="outEnd"/>
          <c:showLegendKey val="0"/>
          <c:showVal val="1"/>
          <c:showCatName val="0"/>
          <c:showSerName val="0"/>
          <c:showPercent val="0"/>
          <c:showBubbleSize val="0"/>
        </c:dLbls>
        <c:gapWidth val="182"/>
        <c:axId val="1791654896"/>
        <c:axId val="1791653456"/>
      </c:barChart>
      <c:catAx>
        <c:axId val="179165489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791653456"/>
        <c:crosses val="autoZero"/>
        <c:auto val="1"/>
        <c:lblAlgn val="ctr"/>
        <c:lblOffset val="100"/>
        <c:noMultiLvlLbl val="0"/>
      </c:catAx>
      <c:valAx>
        <c:axId val="1791653456"/>
        <c:scaling>
          <c:orientation val="minMax"/>
        </c:scaling>
        <c:delete val="1"/>
        <c:axPos val="b"/>
        <c:numFmt formatCode="&quot;$&quot;#,##0_);[Red]\(&quot;$&quot;#,##0\)" sourceLinked="1"/>
        <c:majorTickMark val="none"/>
        <c:minorTickMark val="none"/>
        <c:tickLblPos val="nextTo"/>
        <c:crossAx val="179165489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'2023 - ODA (GNI)'!$C$1</c:f>
              <c:strCache>
                <c:ptCount val="1"/>
                <c:pt idx="0">
                  <c:v>% of GNI</c:v>
                </c:pt>
              </c:strCache>
            </c:strRef>
          </c:tx>
          <c:spPr>
            <a:solidFill>
              <a:srgbClr val="006298"/>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'2023 - ODA (GNI)'!$A$2:$A$23</c:f>
              <c:strCache>
                <c:ptCount val="22"/>
                <c:pt idx="0">
                  <c:v>Czech Republic</c:v>
                </c:pt>
                <c:pt idx="1">
                  <c:v>Croatia</c:v>
                </c:pt>
                <c:pt idx="2">
                  <c:v>Slovak Republic</c:v>
                </c:pt>
                <c:pt idx="3">
                  <c:v>Greece</c:v>
                </c:pt>
                <c:pt idx="4">
                  <c:v>Portugal</c:v>
                </c:pt>
                <c:pt idx="5">
                  <c:v>Italy</c:v>
                </c:pt>
                <c:pt idx="6">
                  <c:v>Spain</c:v>
                </c:pt>
                <c:pt idx="7">
                  <c:v>Hungary</c:v>
                </c:pt>
                <c:pt idx="8">
                  <c:v>Austria</c:v>
                </c:pt>
                <c:pt idx="9">
                  <c:v>Ireland</c:v>
                </c:pt>
                <c:pt idx="10">
                  <c:v>Finland</c:v>
                </c:pt>
                <c:pt idx="11">
                  <c:v>Belgium</c:v>
                </c:pt>
                <c:pt idx="12">
                  <c:v>Switzerland</c:v>
                </c:pt>
                <c:pt idx="13">
                  <c:v>France</c:v>
                </c:pt>
                <c:pt idx="14">
                  <c:v>Netherlands</c:v>
                </c:pt>
                <c:pt idx="15">
                  <c:v>United Kingdom</c:v>
                </c:pt>
                <c:pt idx="16">
                  <c:v>Denmark</c:v>
                </c:pt>
                <c:pt idx="17">
                  <c:v>Germany</c:v>
                </c:pt>
                <c:pt idx="18">
                  <c:v>Luxembourg</c:v>
                </c:pt>
                <c:pt idx="19">
                  <c:v>Norway</c:v>
                </c:pt>
                <c:pt idx="20">
                  <c:v>Sweden</c:v>
                </c:pt>
                <c:pt idx="21">
                  <c:v>Türkiye</c:v>
                </c:pt>
              </c:strCache>
            </c:strRef>
          </c:cat>
          <c:val>
            <c:numRef>
              <c:f>'2023 - ODA (GNI)'!$C$2:$C$23</c:f>
              <c:numCache>
                <c:formatCode>0.00%</c:formatCode>
                <c:ptCount val="22"/>
                <c:pt idx="0">
                  <c:v>1.2600000000000001E-3</c:v>
                </c:pt>
                <c:pt idx="1">
                  <c:v>1.31E-3</c:v>
                </c:pt>
                <c:pt idx="2">
                  <c:v>1.3799999999999999E-3</c:v>
                </c:pt>
                <c:pt idx="3">
                  <c:v>1.73E-3</c:v>
                </c:pt>
                <c:pt idx="4">
                  <c:v>1.8400000000000001E-3</c:v>
                </c:pt>
                <c:pt idx="5">
                  <c:v>2.2300000000000002E-3</c:v>
                </c:pt>
                <c:pt idx="6">
                  <c:v>2.33E-3</c:v>
                </c:pt>
                <c:pt idx="7">
                  <c:v>2.7100000000000002E-3</c:v>
                </c:pt>
                <c:pt idx="8">
                  <c:v>2.96E-3</c:v>
                </c:pt>
                <c:pt idx="9">
                  <c:v>3.0500000000000002E-3</c:v>
                </c:pt>
                <c:pt idx="10">
                  <c:v>4.6800000000000001E-3</c:v>
                </c:pt>
                <c:pt idx="11">
                  <c:v>4.7800000000000004E-3</c:v>
                </c:pt>
                <c:pt idx="12">
                  <c:v>4.9100000000000003E-3</c:v>
                </c:pt>
                <c:pt idx="13">
                  <c:v>5.3E-3</c:v>
                </c:pt>
                <c:pt idx="14">
                  <c:v>5.9199999999999999E-3</c:v>
                </c:pt>
                <c:pt idx="15">
                  <c:v>6.9800000000000001E-3</c:v>
                </c:pt>
                <c:pt idx="16">
                  <c:v>7.1999999999999998E-3</c:v>
                </c:pt>
                <c:pt idx="17">
                  <c:v>7.3400000000000002E-3</c:v>
                </c:pt>
                <c:pt idx="18">
                  <c:v>1.03E-2</c:v>
                </c:pt>
                <c:pt idx="19">
                  <c:v>1.1089999999999999E-2</c:v>
                </c:pt>
                <c:pt idx="20">
                  <c:v>1.1390000000000001E-2</c:v>
                </c:pt>
                <c:pt idx="21">
                  <c:v>1.142E-2</c:v>
                </c:pt>
              </c:numCache>
            </c:numRef>
          </c:val>
          <c:extLst>
            <c:ext xmlns:c16="http://schemas.microsoft.com/office/drawing/2014/chart" uri="{C3380CC4-5D6E-409C-BE32-E72D297353CC}">
              <c16:uniqueId val="{00000000-F584-411C-B037-8A665240DF4E}"/>
            </c:ext>
          </c:extLst>
        </c:ser>
        <c:dLbls>
          <c:dLblPos val="outEnd"/>
          <c:showLegendKey val="0"/>
          <c:showVal val="1"/>
          <c:showCatName val="0"/>
          <c:showSerName val="0"/>
          <c:showPercent val="0"/>
          <c:showBubbleSize val="0"/>
        </c:dLbls>
        <c:gapWidth val="182"/>
        <c:axId val="797989552"/>
        <c:axId val="1828341600"/>
      </c:barChart>
      <c:catAx>
        <c:axId val="79798955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28341600"/>
        <c:crosses val="autoZero"/>
        <c:auto val="1"/>
        <c:lblAlgn val="ctr"/>
        <c:lblOffset val="100"/>
        <c:noMultiLvlLbl val="0"/>
      </c:catAx>
      <c:valAx>
        <c:axId val="1828341600"/>
        <c:scaling>
          <c:orientation val="minMax"/>
        </c:scaling>
        <c:delete val="1"/>
        <c:axPos val="b"/>
        <c:numFmt formatCode="0.00%" sourceLinked="1"/>
        <c:majorTickMark val="none"/>
        <c:minorTickMark val="none"/>
        <c:tickLblPos val="nextTo"/>
        <c:crossAx val="79798955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'2023 - Remittances'!$B$1</c:f>
              <c:strCache>
                <c:ptCount val="1"/>
                <c:pt idx="0">
                  <c:v>Remittances</c:v>
                </c:pt>
              </c:strCache>
            </c:strRef>
          </c:tx>
          <c:spPr>
            <a:solidFill>
              <a:srgbClr val="99000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'2023 - Remittances'!$A$2:$A$28</c:f>
              <c:strCache>
                <c:ptCount val="27"/>
                <c:pt idx="0">
                  <c:v>Albania</c:v>
                </c:pt>
                <c:pt idx="1">
                  <c:v>Bosnia and Herzegovina</c:v>
                </c:pt>
                <c:pt idx="2">
                  <c:v>Montenegro</c:v>
                </c:pt>
                <c:pt idx="3">
                  <c:v>North Macedonia</c:v>
                </c:pt>
                <c:pt idx="4">
                  <c:v>Slovak Republic</c:v>
                </c:pt>
                <c:pt idx="5">
                  <c:v>Croatia</c:v>
                </c:pt>
                <c:pt idx="6">
                  <c:v>Finland</c:v>
                </c:pt>
                <c:pt idx="7">
                  <c:v>Hungary</c:v>
                </c:pt>
                <c:pt idx="8">
                  <c:v>Luxembourg</c:v>
                </c:pt>
                <c:pt idx="9">
                  <c:v>Czech Republic</c:v>
                </c:pt>
                <c:pt idx="10">
                  <c:v>Ireland</c:v>
                </c:pt>
                <c:pt idx="11">
                  <c:v>Denmark</c:v>
                </c:pt>
                <c:pt idx="12">
                  <c:v>Serbia</c:v>
                </c:pt>
                <c:pt idx="13">
                  <c:v>Greece</c:v>
                </c:pt>
                <c:pt idx="14">
                  <c:v>Norway</c:v>
                </c:pt>
                <c:pt idx="15">
                  <c:v>Portugal</c:v>
                </c:pt>
                <c:pt idx="16">
                  <c:v>Sweden</c:v>
                </c:pt>
                <c:pt idx="17">
                  <c:v>Türkiye</c:v>
                </c:pt>
                <c:pt idx="18">
                  <c:v>Austria</c:v>
                </c:pt>
                <c:pt idx="19">
                  <c:v>Netherlands</c:v>
                </c:pt>
                <c:pt idx="20">
                  <c:v>Belgium</c:v>
                </c:pt>
                <c:pt idx="21">
                  <c:v>Switzerland</c:v>
                </c:pt>
                <c:pt idx="22">
                  <c:v>Italy</c:v>
                </c:pt>
                <c:pt idx="23">
                  <c:v>Spain</c:v>
                </c:pt>
                <c:pt idx="24">
                  <c:v>France</c:v>
                </c:pt>
                <c:pt idx="25">
                  <c:v>United Kingdom</c:v>
                </c:pt>
                <c:pt idx="26">
                  <c:v>Germany</c:v>
                </c:pt>
              </c:strCache>
            </c:strRef>
          </c:cat>
          <c:val>
            <c:numRef>
              <c:f>'2023 - Remittances'!$B$2:$B$28</c:f>
              <c:numCache>
                <c:formatCode>"$"#,##0_);[Red]\("$"#,##0\)</c:formatCode>
                <c:ptCount val="27"/>
                <c:pt idx="0">
                  <c:v>49</c:v>
                </c:pt>
                <c:pt idx="1">
                  <c:v>147</c:v>
                </c:pt>
                <c:pt idx="2">
                  <c:v>186</c:v>
                </c:pt>
                <c:pt idx="3">
                  <c:v>237</c:v>
                </c:pt>
                <c:pt idx="4">
                  <c:v>744</c:v>
                </c:pt>
                <c:pt idx="5">
                  <c:v>1124</c:v>
                </c:pt>
                <c:pt idx="6">
                  <c:v>1266</c:v>
                </c:pt>
                <c:pt idx="7">
                  <c:v>1807</c:v>
                </c:pt>
                <c:pt idx="8">
                  <c:v>2075</c:v>
                </c:pt>
                <c:pt idx="9">
                  <c:v>2227</c:v>
                </c:pt>
                <c:pt idx="10">
                  <c:v>2245</c:v>
                </c:pt>
                <c:pt idx="11">
                  <c:v>2262</c:v>
                </c:pt>
                <c:pt idx="12">
                  <c:v>2404</c:v>
                </c:pt>
                <c:pt idx="13">
                  <c:v>2815</c:v>
                </c:pt>
                <c:pt idx="14">
                  <c:v>2856</c:v>
                </c:pt>
                <c:pt idx="15">
                  <c:v>3117</c:v>
                </c:pt>
                <c:pt idx="16">
                  <c:v>4743</c:v>
                </c:pt>
                <c:pt idx="17">
                  <c:v>5180</c:v>
                </c:pt>
                <c:pt idx="18">
                  <c:v>5597</c:v>
                </c:pt>
                <c:pt idx="19">
                  <c:v>7431</c:v>
                </c:pt>
                <c:pt idx="20">
                  <c:v>7507</c:v>
                </c:pt>
                <c:pt idx="21">
                  <c:v>11140</c:v>
                </c:pt>
                <c:pt idx="22">
                  <c:v>19523</c:v>
                </c:pt>
                <c:pt idx="23">
                  <c:v>21824</c:v>
                </c:pt>
                <c:pt idx="24">
                  <c:v>24583</c:v>
                </c:pt>
                <c:pt idx="25">
                  <c:v>32178</c:v>
                </c:pt>
                <c:pt idx="26">
                  <c:v>35687</c:v>
                </c:pt>
              </c:numCache>
            </c:numRef>
          </c:val>
          <c:extLst>
            <c:ext xmlns:c16="http://schemas.microsoft.com/office/drawing/2014/chart" uri="{C3380CC4-5D6E-409C-BE32-E72D297353CC}">
              <c16:uniqueId val="{00000000-6726-4EA2-B164-E0EE5B7FF292}"/>
            </c:ext>
          </c:extLst>
        </c:ser>
        <c:dLbls>
          <c:dLblPos val="outEnd"/>
          <c:showLegendKey val="0"/>
          <c:showVal val="1"/>
          <c:showCatName val="0"/>
          <c:showSerName val="0"/>
          <c:showPercent val="0"/>
          <c:showBubbleSize val="0"/>
        </c:dLbls>
        <c:gapWidth val="182"/>
        <c:axId val="803181936"/>
        <c:axId val="803179536"/>
      </c:barChart>
      <c:catAx>
        <c:axId val="8031819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03179536"/>
        <c:crosses val="autoZero"/>
        <c:auto val="1"/>
        <c:lblAlgn val="ctr"/>
        <c:lblOffset val="100"/>
        <c:noMultiLvlLbl val="0"/>
      </c:catAx>
      <c:valAx>
        <c:axId val="803179536"/>
        <c:scaling>
          <c:orientation val="minMax"/>
        </c:scaling>
        <c:delete val="1"/>
        <c:axPos val="b"/>
        <c:numFmt formatCode="&quot;$&quot;#,##0_);[Red]\(&quot;$&quot;#,##0\)" sourceLinked="1"/>
        <c:majorTickMark val="none"/>
        <c:minorTickMark val="none"/>
        <c:tickLblPos val="nextTo"/>
        <c:crossAx val="80318193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'2023 - Remittances (GNI)'!$C$1</c:f>
              <c:strCache>
                <c:ptCount val="1"/>
                <c:pt idx="0">
                  <c:v>% of GNI</c:v>
                </c:pt>
              </c:strCache>
            </c:strRef>
          </c:tx>
          <c:spPr>
            <a:solidFill>
              <a:srgbClr val="99000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'2023 - Remittances (GNI)'!$A$2:$A$28</c:f>
              <c:strCache>
                <c:ptCount val="27"/>
                <c:pt idx="0">
                  <c:v>Albania</c:v>
                </c:pt>
                <c:pt idx="1">
                  <c:v>Finland</c:v>
                </c:pt>
                <c:pt idx="2">
                  <c:v>Denmark</c:v>
                </c:pt>
                <c:pt idx="3">
                  <c:v>Ireland</c:v>
                </c:pt>
                <c:pt idx="4">
                  <c:v>Slovak Republic</c:v>
                </c:pt>
                <c:pt idx="5">
                  <c:v>Türkiye</c:v>
                </c:pt>
                <c:pt idx="6">
                  <c:v>Bosnia and Herzegovina</c:v>
                </c:pt>
                <c:pt idx="7">
                  <c:v>Norway</c:v>
                </c:pt>
                <c:pt idx="8">
                  <c:v>Netherlands</c:v>
                </c:pt>
                <c:pt idx="9">
                  <c:v>Sweden</c:v>
                </c:pt>
                <c:pt idx="10">
                  <c:v>Germany</c:v>
                </c:pt>
                <c:pt idx="11">
                  <c:v>France</c:v>
                </c:pt>
                <c:pt idx="12">
                  <c:v>Czech Republic</c:v>
                </c:pt>
                <c:pt idx="13">
                  <c:v>Italy</c:v>
                </c:pt>
                <c:pt idx="14">
                  <c:v>Hungary</c:v>
                </c:pt>
                <c:pt idx="15">
                  <c:v>United Kingdom</c:v>
                </c:pt>
                <c:pt idx="16">
                  <c:v>Austria</c:v>
                </c:pt>
                <c:pt idx="17">
                  <c:v>Portugal</c:v>
                </c:pt>
                <c:pt idx="18">
                  <c:v>Greece</c:v>
                </c:pt>
                <c:pt idx="19">
                  <c:v>Belgium</c:v>
                </c:pt>
                <c:pt idx="20">
                  <c:v>Switzerland</c:v>
                </c:pt>
                <c:pt idx="21">
                  <c:v>Spain</c:v>
                </c:pt>
                <c:pt idx="22">
                  <c:v>Croatia</c:v>
                </c:pt>
                <c:pt idx="23">
                  <c:v>North Macedonia</c:v>
                </c:pt>
                <c:pt idx="24">
                  <c:v>Montenegro</c:v>
                </c:pt>
                <c:pt idx="25">
                  <c:v>Serbia</c:v>
                </c:pt>
                <c:pt idx="26">
                  <c:v>Luxembourg</c:v>
                </c:pt>
              </c:strCache>
            </c:strRef>
          </c:cat>
          <c:val>
            <c:numRef>
              <c:f>'2023 - Remittances (GNI)'!$C$2:$C$28</c:f>
              <c:numCache>
                <c:formatCode>0.00%</c:formatCode>
                <c:ptCount val="27"/>
                <c:pt idx="0">
                  <c:v>3.3999999999999998E-3</c:v>
                </c:pt>
                <c:pt idx="1">
                  <c:v>4.5999999999999999E-3</c:v>
                </c:pt>
                <c:pt idx="2">
                  <c:v>6.1000000000000004E-3</c:v>
                </c:pt>
                <c:pt idx="3">
                  <c:v>6.8999999999999999E-3</c:v>
                </c:pt>
                <c:pt idx="4">
                  <c:v>7.3000000000000001E-3</c:v>
                </c:pt>
                <c:pt idx="5">
                  <c:v>7.3000000000000001E-3</c:v>
                </c:pt>
                <c:pt idx="6">
                  <c:v>7.4000000000000003E-3</c:v>
                </c:pt>
                <c:pt idx="7">
                  <c:v>7.4999999999999997E-3</c:v>
                </c:pt>
                <c:pt idx="8">
                  <c:v>8.2000000000000007E-3</c:v>
                </c:pt>
                <c:pt idx="9">
                  <c:v>8.5000000000000006E-3</c:v>
                </c:pt>
                <c:pt idx="10">
                  <c:v>9.1000000000000004E-3</c:v>
                </c:pt>
                <c:pt idx="11">
                  <c:v>9.1999999999999998E-3</c:v>
                </c:pt>
                <c:pt idx="12">
                  <c:v>9.4000000000000004E-3</c:v>
                </c:pt>
                <c:pt idx="13">
                  <c:v>1.03E-2</c:v>
                </c:pt>
                <c:pt idx="14">
                  <c:v>1.17E-2</c:v>
                </c:pt>
                <c:pt idx="15">
                  <c:v>1.21E-2</c:v>
                </c:pt>
                <c:pt idx="16">
                  <c:v>1.2999999999999999E-2</c:v>
                </c:pt>
                <c:pt idx="17">
                  <c:v>1.3899999999999999E-2</c:v>
                </c:pt>
                <c:pt idx="18">
                  <c:v>1.4999999999999999E-2</c:v>
                </c:pt>
                <c:pt idx="19">
                  <c:v>1.5299999999999999E-2</c:v>
                </c:pt>
                <c:pt idx="20">
                  <c:v>1.54E-2</c:v>
                </c:pt>
                <c:pt idx="21">
                  <c:v>1.7000000000000001E-2</c:v>
                </c:pt>
                <c:pt idx="22">
                  <c:v>1.9099999999999999E-2</c:v>
                </c:pt>
                <c:pt idx="23">
                  <c:v>2.01E-2</c:v>
                </c:pt>
                <c:pt idx="24">
                  <c:v>3.8300000000000001E-2</c:v>
                </c:pt>
                <c:pt idx="25">
                  <c:v>4.6800000000000001E-2</c:v>
                </c:pt>
                <c:pt idx="26">
                  <c:v>4.7300000000000002E-2</c:v>
                </c:pt>
              </c:numCache>
            </c:numRef>
          </c:val>
          <c:extLst>
            <c:ext xmlns:c16="http://schemas.microsoft.com/office/drawing/2014/chart" uri="{C3380CC4-5D6E-409C-BE32-E72D297353CC}">
              <c16:uniqueId val="{00000000-57C1-4099-8360-A9D5C8D03F64}"/>
            </c:ext>
          </c:extLst>
        </c:ser>
        <c:dLbls>
          <c:dLblPos val="outEnd"/>
          <c:showLegendKey val="0"/>
          <c:showVal val="1"/>
          <c:showCatName val="0"/>
          <c:showSerName val="0"/>
          <c:showPercent val="0"/>
          <c:showBubbleSize val="0"/>
        </c:dLbls>
        <c:gapWidth val="182"/>
        <c:axId val="804980640"/>
        <c:axId val="804980160"/>
      </c:barChart>
      <c:catAx>
        <c:axId val="80498064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04980160"/>
        <c:crosses val="autoZero"/>
        <c:auto val="1"/>
        <c:lblAlgn val="ctr"/>
        <c:lblOffset val="100"/>
        <c:noMultiLvlLbl val="0"/>
      </c:catAx>
      <c:valAx>
        <c:axId val="804980160"/>
        <c:scaling>
          <c:orientation val="minMax"/>
        </c:scaling>
        <c:delete val="1"/>
        <c:axPos val="b"/>
        <c:numFmt formatCode="0.00%" sourceLinked="1"/>
        <c:majorTickMark val="none"/>
        <c:minorTickMark val="none"/>
        <c:tickLblPos val="nextTo"/>
        <c:crossAx val="80498064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tx>
            <c:strRef>
              <c:f>'Fig 14-17 Remt - Europe'!$U$159</c:f>
              <c:strCache>
                <c:ptCount val="1"/>
                <c:pt idx="0">
                  <c:v>HIC Remittances</c:v>
                </c:pt>
              </c:strCache>
            </c:strRef>
          </c:tx>
          <c:spPr>
            <a:solidFill>
              <a:srgbClr val="59264D"/>
            </a:solidFill>
            <a:ln>
              <a:noFill/>
            </a:ln>
            <a:effectLst/>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0-F7D5-488B-8178-5DC522729EA1}"/>
                </c:ext>
              </c:extLst>
            </c:dLbl>
            <c:dLbl>
              <c:idx val="1"/>
              <c:delete val="1"/>
              <c:extLst>
                <c:ext xmlns:c15="http://schemas.microsoft.com/office/drawing/2012/chart" uri="{CE6537A1-D6FC-4f65-9D91-7224C49458BB}"/>
                <c:ext xmlns:c16="http://schemas.microsoft.com/office/drawing/2014/chart" uri="{C3380CC4-5D6E-409C-BE32-E72D297353CC}">
                  <c16:uniqueId val="{00000001-F7D5-488B-8178-5DC522729EA1}"/>
                </c:ext>
              </c:extLst>
            </c:dLbl>
            <c:dLbl>
              <c:idx val="2"/>
              <c:delete val="1"/>
              <c:extLst>
                <c:ext xmlns:c15="http://schemas.microsoft.com/office/drawing/2012/chart" uri="{CE6537A1-D6FC-4f65-9D91-7224C49458BB}"/>
                <c:ext xmlns:c16="http://schemas.microsoft.com/office/drawing/2014/chart" uri="{C3380CC4-5D6E-409C-BE32-E72D297353CC}">
                  <c16:uniqueId val="{00000004-F7D5-488B-8178-5DC522729EA1}"/>
                </c:ext>
              </c:extLst>
            </c:dLbl>
            <c:dLbl>
              <c:idx val="3"/>
              <c:delete val="1"/>
              <c:extLst>
                <c:ext xmlns:c15="http://schemas.microsoft.com/office/drawing/2012/chart" uri="{CE6537A1-D6FC-4f65-9D91-7224C49458BB}"/>
                <c:ext xmlns:c16="http://schemas.microsoft.com/office/drawing/2014/chart" uri="{C3380CC4-5D6E-409C-BE32-E72D297353CC}">
                  <c16:uniqueId val="{00000005-F7D5-488B-8178-5DC522729EA1}"/>
                </c:ext>
              </c:extLst>
            </c:dLbl>
            <c:dLbl>
              <c:idx val="4"/>
              <c:delete val="1"/>
              <c:extLst>
                <c:ext xmlns:c15="http://schemas.microsoft.com/office/drawing/2012/chart" uri="{CE6537A1-D6FC-4f65-9D91-7224C49458BB}"/>
                <c:ext xmlns:c16="http://schemas.microsoft.com/office/drawing/2014/chart" uri="{C3380CC4-5D6E-409C-BE32-E72D297353CC}">
                  <c16:uniqueId val="{00000006-F7D5-488B-8178-5DC522729EA1}"/>
                </c:ext>
              </c:extLst>
            </c:dLbl>
            <c:dLbl>
              <c:idx val="5"/>
              <c:delete val="1"/>
              <c:extLst>
                <c:ext xmlns:c15="http://schemas.microsoft.com/office/drawing/2012/chart" uri="{CE6537A1-D6FC-4f65-9D91-7224C49458BB}"/>
                <c:ext xmlns:c16="http://schemas.microsoft.com/office/drawing/2014/chart" uri="{C3380CC4-5D6E-409C-BE32-E72D297353CC}">
                  <c16:uniqueId val="{0000000A-F7D5-488B-8178-5DC522729EA1}"/>
                </c:ext>
              </c:extLst>
            </c:dLbl>
            <c:dLbl>
              <c:idx val="6"/>
              <c:delete val="1"/>
              <c:extLst>
                <c:ext xmlns:c15="http://schemas.microsoft.com/office/drawing/2012/chart" uri="{CE6537A1-D6FC-4f65-9D91-7224C49458BB}"/>
                <c:ext xmlns:c16="http://schemas.microsoft.com/office/drawing/2014/chart" uri="{C3380CC4-5D6E-409C-BE32-E72D297353CC}">
                  <c16:uniqueId val="{0000000C-F7D5-488B-8178-5DC522729EA1}"/>
                </c:ext>
              </c:extLst>
            </c:dLbl>
            <c:dLbl>
              <c:idx val="7"/>
              <c:delete val="1"/>
              <c:extLst>
                <c:ext xmlns:c15="http://schemas.microsoft.com/office/drawing/2012/chart" uri="{CE6537A1-D6FC-4f65-9D91-7224C49458BB}"/>
                <c:ext xmlns:c16="http://schemas.microsoft.com/office/drawing/2014/chart" uri="{C3380CC4-5D6E-409C-BE32-E72D297353CC}">
                  <c16:uniqueId val="{0000000E-F7D5-488B-8178-5DC522729EA1}"/>
                </c:ext>
              </c:extLst>
            </c:dLbl>
            <c:dLbl>
              <c:idx val="8"/>
              <c:delete val="1"/>
              <c:extLst>
                <c:ext xmlns:c15="http://schemas.microsoft.com/office/drawing/2012/chart" uri="{CE6537A1-D6FC-4f65-9D91-7224C49458BB}"/>
                <c:ext xmlns:c16="http://schemas.microsoft.com/office/drawing/2014/chart" uri="{C3380CC4-5D6E-409C-BE32-E72D297353CC}">
                  <c16:uniqueId val="{00000010-F7D5-488B-8178-5DC522729EA1}"/>
                </c:ext>
              </c:extLst>
            </c:dLbl>
            <c:dLbl>
              <c:idx val="9"/>
              <c:delete val="1"/>
              <c:extLst>
                <c:ext xmlns:c15="http://schemas.microsoft.com/office/drawing/2012/chart" uri="{CE6537A1-D6FC-4f65-9D91-7224C49458BB}"/>
                <c:ext xmlns:c16="http://schemas.microsoft.com/office/drawing/2014/chart" uri="{C3380CC4-5D6E-409C-BE32-E72D297353CC}">
                  <c16:uniqueId val="{00000011-F7D5-488B-8178-5DC522729EA1}"/>
                </c:ext>
              </c:extLst>
            </c:dLbl>
            <c:dLbl>
              <c:idx val="10"/>
              <c:delete val="1"/>
              <c:extLst>
                <c:ext xmlns:c15="http://schemas.microsoft.com/office/drawing/2012/chart" uri="{CE6537A1-D6FC-4f65-9D91-7224C49458BB}"/>
                <c:ext xmlns:c16="http://schemas.microsoft.com/office/drawing/2014/chart" uri="{C3380CC4-5D6E-409C-BE32-E72D297353CC}">
                  <c16:uniqueId val="{00000012-F7D5-488B-8178-5DC522729EA1}"/>
                </c:ext>
              </c:extLst>
            </c:dLbl>
            <c:dLbl>
              <c:idx val="11"/>
              <c:delete val="1"/>
              <c:extLst>
                <c:ext xmlns:c15="http://schemas.microsoft.com/office/drawing/2012/chart" uri="{CE6537A1-D6FC-4f65-9D91-7224C49458BB}"/>
                <c:ext xmlns:c16="http://schemas.microsoft.com/office/drawing/2014/chart" uri="{C3380CC4-5D6E-409C-BE32-E72D297353CC}">
                  <c16:uniqueId val="{00000013-F7D5-488B-8178-5DC522729EA1}"/>
                </c:ext>
              </c:extLst>
            </c:dLbl>
            <c:dLbl>
              <c:idx val="12"/>
              <c:delete val="1"/>
              <c:extLst>
                <c:ext xmlns:c15="http://schemas.microsoft.com/office/drawing/2012/chart" uri="{CE6537A1-D6FC-4f65-9D91-7224C49458BB}"/>
                <c:ext xmlns:c16="http://schemas.microsoft.com/office/drawing/2014/chart" uri="{C3380CC4-5D6E-409C-BE32-E72D297353CC}">
                  <c16:uniqueId val="{00000014-F7D5-488B-8178-5DC522729EA1}"/>
                </c:ext>
              </c:extLst>
            </c:dLbl>
            <c:dLbl>
              <c:idx val="13"/>
              <c:delete val="1"/>
              <c:extLst>
                <c:ext xmlns:c15="http://schemas.microsoft.com/office/drawing/2012/chart" uri="{CE6537A1-D6FC-4f65-9D91-7224C49458BB}"/>
                <c:ext xmlns:c16="http://schemas.microsoft.com/office/drawing/2014/chart" uri="{C3380CC4-5D6E-409C-BE32-E72D297353CC}">
                  <c16:uniqueId val="{00000015-F7D5-488B-8178-5DC522729EA1}"/>
                </c:ext>
              </c:extLst>
            </c:dLbl>
            <c:dLbl>
              <c:idx val="14"/>
              <c:delete val="1"/>
              <c:extLst>
                <c:ext xmlns:c15="http://schemas.microsoft.com/office/drawing/2012/chart" uri="{CE6537A1-D6FC-4f65-9D91-7224C49458BB}"/>
                <c:ext xmlns:c16="http://schemas.microsoft.com/office/drawing/2014/chart" uri="{C3380CC4-5D6E-409C-BE32-E72D297353CC}">
                  <c16:uniqueId val="{00000016-F7D5-488B-8178-5DC522729EA1}"/>
                </c:ext>
              </c:extLst>
            </c:dLbl>
            <c:dLbl>
              <c:idx val="15"/>
              <c:delete val="1"/>
              <c:extLst>
                <c:ext xmlns:c15="http://schemas.microsoft.com/office/drawing/2012/chart" uri="{CE6537A1-D6FC-4f65-9D91-7224C49458BB}"/>
                <c:ext xmlns:c16="http://schemas.microsoft.com/office/drawing/2014/chart" uri="{C3380CC4-5D6E-409C-BE32-E72D297353CC}">
                  <c16:uniqueId val="{00000017-F7D5-488B-8178-5DC522729EA1}"/>
                </c:ext>
              </c:extLst>
            </c:dLbl>
            <c:dLbl>
              <c:idx val="16"/>
              <c:delete val="1"/>
              <c:extLst>
                <c:ext xmlns:c15="http://schemas.microsoft.com/office/drawing/2012/chart" uri="{CE6537A1-D6FC-4f65-9D91-7224C49458BB}"/>
                <c:ext xmlns:c16="http://schemas.microsoft.com/office/drawing/2014/chart" uri="{C3380CC4-5D6E-409C-BE32-E72D297353CC}">
                  <c16:uniqueId val="{00000018-F7D5-488B-8178-5DC522729EA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14-17 Remt - Europe'!$C$160:$C$186</c:f>
              <c:strCache>
                <c:ptCount val="27"/>
                <c:pt idx="0">
                  <c:v>Albania</c:v>
                </c:pt>
                <c:pt idx="1">
                  <c:v>Bosnia and Herzegovina</c:v>
                </c:pt>
                <c:pt idx="2">
                  <c:v>Montenegro</c:v>
                </c:pt>
                <c:pt idx="3">
                  <c:v>North Macedonia</c:v>
                </c:pt>
                <c:pt idx="4">
                  <c:v>Slovak Republic</c:v>
                </c:pt>
                <c:pt idx="5">
                  <c:v>Croatia</c:v>
                </c:pt>
                <c:pt idx="6">
                  <c:v>Finland</c:v>
                </c:pt>
                <c:pt idx="7">
                  <c:v>Hungary</c:v>
                </c:pt>
                <c:pt idx="8">
                  <c:v>Luxembourg</c:v>
                </c:pt>
                <c:pt idx="9">
                  <c:v>Czech Republic</c:v>
                </c:pt>
                <c:pt idx="10">
                  <c:v>Ireland</c:v>
                </c:pt>
                <c:pt idx="11">
                  <c:v>Denmark</c:v>
                </c:pt>
                <c:pt idx="12">
                  <c:v>Serbia</c:v>
                </c:pt>
                <c:pt idx="13">
                  <c:v>Greece</c:v>
                </c:pt>
                <c:pt idx="14">
                  <c:v>Norway</c:v>
                </c:pt>
                <c:pt idx="15">
                  <c:v>Portugal</c:v>
                </c:pt>
                <c:pt idx="16">
                  <c:v>Sweden</c:v>
                </c:pt>
                <c:pt idx="17">
                  <c:v>Turkey</c:v>
                </c:pt>
                <c:pt idx="18">
                  <c:v>Austria</c:v>
                </c:pt>
                <c:pt idx="19">
                  <c:v>Netherlands</c:v>
                </c:pt>
                <c:pt idx="20">
                  <c:v>Belgium</c:v>
                </c:pt>
                <c:pt idx="21">
                  <c:v>Switzerland</c:v>
                </c:pt>
                <c:pt idx="22">
                  <c:v>Italy</c:v>
                </c:pt>
                <c:pt idx="23">
                  <c:v>Spain</c:v>
                </c:pt>
                <c:pt idx="24">
                  <c:v>France</c:v>
                </c:pt>
                <c:pt idx="25">
                  <c:v>United Kingdom</c:v>
                </c:pt>
                <c:pt idx="26">
                  <c:v>Germany</c:v>
                </c:pt>
              </c:strCache>
            </c:strRef>
          </c:cat>
          <c:val>
            <c:numRef>
              <c:f>'Fig 14-17 Remt - Europe'!$U$160:$U$186</c:f>
              <c:numCache>
                <c:formatCode>"$"#,##0</c:formatCode>
                <c:ptCount val="27"/>
                <c:pt idx="0">
                  <c:v>49.026482877816548</c:v>
                </c:pt>
                <c:pt idx="1">
                  <c:v>84.210685620970594</c:v>
                </c:pt>
                <c:pt idx="2">
                  <c:v>102.04598664205761</c:v>
                </c:pt>
                <c:pt idx="3">
                  <c:v>8.6062687638261366</c:v>
                </c:pt>
                <c:pt idx="4">
                  <c:v>661.78252325073629</c:v>
                </c:pt>
                <c:pt idx="5">
                  <c:v>364.0260382115282</c:v>
                </c:pt>
                <c:pt idx="6">
                  <c:v>705.3450151423441</c:v>
                </c:pt>
                <c:pt idx="7">
                  <c:v>1147.4011040751018</c:v>
                </c:pt>
                <c:pt idx="8">
                  <c:v>1859.5008366620677</c:v>
                </c:pt>
                <c:pt idx="9">
                  <c:v>994.9365074903269</c:v>
                </c:pt>
                <c:pt idx="10">
                  <c:v>1368.2940151857574</c:v>
                </c:pt>
                <c:pt idx="11">
                  <c:v>1305.2616142392321</c:v>
                </c:pt>
                <c:pt idx="12">
                  <c:v>1592.2857460702483</c:v>
                </c:pt>
                <c:pt idx="13">
                  <c:v>1347.9440579619054</c:v>
                </c:pt>
                <c:pt idx="14">
                  <c:v>1587.2062616589897</c:v>
                </c:pt>
                <c:pt idx="15">
                  <c:v>2151.1708313020122</c:v>
                </c:pt>
                <c:pt idx="16">
                  <c:v>2185.6682065996697</c:v>
                </c:pt>
                <c:pt idx="17">
                  <c:v>3567.2763929053517</c:v>
                </c:pt>
                <c:pt idx="18">
                  <c:v>3535.2990828131501</c:v>
                </c:pt>
                <c:pt idx="19">
                  <c:v>4294.6930372704155</c:v>
                </c:pt>
                <c:pt idx="20">
                  <c:v>5215.3147604739652</c:v>
                </c:pt>
                <c:pt idx="21">
                  <c:v>8530.5946603461307</c:v>
                </c:pt>
                <c:pt idx="22">
                  <c:v>7686.0966589113759</c:v>
                </c:pt>
                <c:pt idx="23">
                  <c:v>9753.4269848929616</c:v>
                </c:pt>
                <c:pt idx="24">
                  <c:v>11472.481571679538</c:v>
                </c:pt>
                <c:pt idx="25">
                  <c:v>13447.263630776994</c:v>
                </c:pt>
                <c:pt idx="26">
                  <c:v>21495.264547286937</c:v>
                </c:pt>
              </c:numCache>
            </c:numRef>
          </c:val>
          <c:extLst>
            <c:ext xmlns:c16="http://schemas.microsoft.com/office/drawing/2014/chart" uri="{C3380CC4-5D6E-409C-BE32-E72D297353CC}">
              <c16:uniqueId val="{00000000-65E7-4F44-9610-21B63BE97197}"/>
            </c:ext>
          </c:extLst>
        </c:ser>
        <c:ser>
          <c:idx val="1"/>
          <c:order val="1"/>
          <c:tx>
            <c:strRef>
              <c:f>'Fig 14-17 Remt - Europe'!$V$159</c:f>
              <c:strCache>
                <c:ptCount val="1"/>
                <c:pt idx="0">
                  <c:v>Non HIC Remittances</c:v>
                </c:pt>
              </c:strCache>
            </c:strRef>
          </c:tx>
          <c:spPr>
            <a:solidFill>
              <a:srgbClr val="DF3603"/>
            </a:solidFill>
            <a:ln>
              <a:noFill/>
            </a:ln>
            <a:effectLst/>
          </c:spPr>
          <c:invertIfNegative val="0"/>
          <c:dLbls>
            <c:dLbl>
              <c:idx val="0"/>
              <c:delete val="1"/>
              <c:extLst>
                <c:ext xmlns:c15="http://schemas.microsoft.com/office/drawing/2012/chart" uri="{CE6537A1-D6FC-4f65-9D91-7224C49458BB}"/>
                <c:ext xmlns:c16="http://schemas.microsoft.com/office/drawing/2014/chart" uri="{C3380CC4-5D6E-409C-BE32-E72D297353CC}">
                  <c16:uniqueId val="{00000002-F7D5-488B-8178-5DC522729EA1}"/>
                </c:ext>
              </c:extLst>
            </c:dLbl>
            <c:dLbl>
              <c:idx val="1"/>
              <c:delete val="1"/>
              <c:extLst>
                <c:ext xmlns:c15="http://schemas.microsoft.com/office/drawing/2012/chart" uri="{CE6537A1-D6FC-4f65-9D91-7224C49458BB}"/>
                <c:ext xmlns:c16="http://schemas.microsoft.com/office/drawing/2014/chart" uri="{C3380CC4-5D6E-409C-BE32-E72D297353CC}">
                  <c16:uniqueId val="{00000003-F7D5-488B-8178-5DC522729EA1}"/>
                </c:ext>
              </c:extLst>
            </c:dLbl>
            <c:dLbl>
              <c:idx val="2"/>
              <c:delete val="1"/>
              <c:extLst>
                <c:ext xmlns:c15="http://schemas.microsoft.com/office/drawing/2012/chart" uri="{CE6537A1-D6FC-4f65-9D91-7224C49458BB}"/>
                <c:ext xmlns:c16="http://schemas.microsoft.com/office/drawing/2014/chart" uri="{C3380CC4-5D6E-409C-BE32-E72D297353CC}">
                  <c16:uniqueId val="{00000007-F7D5-488B-8178-5DC522729EA1}"/>
                </c:ext>
              </c:extLst>
            </c:dLbl>
            <c:dLbl>
              <c:idx val="3"/>
              <c:delete val="1"/>
              <c:extLst>
                <c:ext xmlns:c15="http://schemas.microsoft.com/office/drawing/2012/chart" uri="{CE6537A1-D6FC-4f65-9D91-7224C49458BB}"/>
                <c:ext xmlns:c16="http://schemas.microsoft.com/office/drawing/2014/chart" uri="{C3380CC4-5D6E-409C-BE32-E72D297353CC}">
                  <c16:uniqueId val="{00000008-F7D5-488B-8178-5DC522729EA1}"/>
                </c:ext>
              </c:extLst>
            </c:dLbl>
            <c:dLbl>
              <c:idx val="4"/>
              <c:delete val="1"/>
              <c:extLst>
                <c:ext xmlns:c15="http://schemas.microsoft.com/office/drawing/2012/chart" uri="{CE6537A1-D6FC-4f65-9D91-7224C49458BB}"/>
                <c:ext xmlns:c16="http://schemas.microsoft.com/office/drawing/2014/chart" uri="{C3380CC4-5D6E-409C-BE32-E72D297353CC}">
                  <c16:uniqueId val="{00000009-F7D5-488B-8178-5DC522729EA1}"/>
                </c:ext>
              </c:extLst>
            </c:dLbl>
            <c:dLbl>
              <c:idx val="5"/>
              <c:delete val="1"/>
              <c:extLst>
                <c:ext xmlns:c15="http://schemas.microsoft.com/office/drawing/2012/chart" uri="{CE6537A1-D6FC-4f65-9D91-7224C49458BB}"/>
                <c:ext xmlns:c16="http://schemas.microsoft.com/office/drawing/2014/chart" uri="{C3380CC4-5D6E-409C-BE32-E72D297353CC}">
                  <c16:uniqueId val="{0000000B-F7D5-488B-8178-5DC522729EA1}"/>
                </c:ext>
              </c:extLst>
            </c:dLbl>
            <c:dLbl>
              <c:idx val="6"/>
              <c:delete val="1"/>
              <c:extLst>
                <c:ext xmlns:c15="http://schemas.microsoft.com/office/drawing/2012/chart" uri="{CE6537A1-D6FC-4f65-9D91-7224C49458BB}"/>
                <c:ext xmlns:c16="http://schemas.microsoft.com/office/drawing/2014/chart" uri="{C3380CC4-5D6E-409C-BE32-E72D297353CC}">
                  <c16:uniqueId val="{0000000D-F7D5-488B-8178-5DC522729EA1}"/>
                </c:ext>
              </c:extLst>
            </c:dLbl>
            <c:dLbl>
              <c:idx val="7"/>
              <c:delete val="1"/>
              <c:extLst>
                <c:ext xmlns:c15="http://schemas.microsoft.com/office/drawing/2012/chart" uri="{CE6537A1-D6FC-4f65-9D91-7224C49458BB}"/>
                <c:ext xmlns:c16="http://schemas.microsoft.com/office/drawing/2014/chart" uri="{C3380CC4-5D6E-409C-BE32-E72D297353CC}">
                  <c16:uniqueId val="{0000000F-F7D5-488B-8178-5DC522729EA1}"/>
                </c:ext>
              </c:extLst>
            </c:dLbl>
            <c:dLbl>
              <c:idx val="8"/>
              <c:delete val="1"/>
              <c:extLst>
                <c:ext xmlns:c15="http://schemas.microsoft.com/office/drawing/2012/chart" uri="{CE6537A1-D6FC-4f65-9D91-7224C49458BB}"/>
                <c:ext xmlns:c16="http://schemas.microsoft.com/office/drawing/2014/chart" uri="{C3380CC4-5D6E-409C-BE32-E72D297353CC}">
                  <c16:uniqueId val="{00000021-F7D5-488B-8178-5DC522729EA1}"/>
                </c:ext>
              </c:extLst>
            </c:dLbl>
            <c:dLbl>
              <c:idx val="9"/>
              <c:delete val="1"/>
              <c:extLst>
                <c:ext xmlns:c15="http://schemas.microsoft.com/office/drawing/2012/chart" uri="{CE6537A1-D6FC-4f65-9D91-7224C49458BB}"/>
                <c:ext xmlns:c16="http://schemas.microsoft.com/office/drawing/2014/chart" uri="{C3380CC4-5D6E-409C-BE32-E72D297353CC}">
                  <c16:uniqueId val="{00000020-F7D5-488B-8178-5DC522729EA1}"/>
                </c:ext>
              </c:extLst>
            </c:dLbl>
            <c:dLbl>
              <c:idx val="10"/>
              <c:delete val="1"/>
              <c:extLst>
                <c:ext xmlns:c15="http://schemas.microsoft.com/office/drawing/2012/chart" uri="{CE6537A1-D6FC-4f65-9D91-7224C49458BB}"/>
                <c:ext xmlns:c16="http://schemas.microsoft.com/office/drawing/2014/chart" uri="{C3380CC4-5D6E-409C-BE32-E72D297353CC}">
                  <c16:uniqueId val="{0000001F-F7D5-488B-8178-5DC522729EA1}"/>
                </c:ext>
              </c:extLst>
            </c:dLbl>
            <c:dLbl>
              <c:idx val="11"/>
              <c:delete val="1"/>
              <c:extLst>
                <c:ext xmlns:c15="http://schemas.microsoft.com/office/drawing/2012/chart" uri="{CE6537A1-D6FC-4f65-9D91-7224C49458BB}"/>
                <c:ext xmlns:c16="http://schemas.microsoft.com/office/drawing/2014/chart" uri="{C3380CC4-5D6E-409C-BE32-E72D297353CC}">
                  <c16:uniqueId val="{0000001E-F7D5-488B-8178-5DC522729EA1}"/>
                </c:ext>
              </c:extLst>
            </c:dLbl>
            <c:dLbl>
              <c:idx val="12"/>
              <c:delete val="1"/>
              <c:extLst>
                <c:ext xmlns:c15="http://schemas.microsoft.com/office/drawing/2012/chart" uri="{CE6537A1-D6FC-4f65-9D91-7224C49458BB}"/>
                <c:ext xmlns:c16="http://schemas.microsoft.com/office/drawing/2014/chart" uri="{C3380CC4-5D6E-409C-BE32-E72D297353CC}">
                  <c16:uniqueId val="{0000001D-F7D5-488B-8178-5DC522729EA1}"/>
                </c:ext>
              </c:extLst>
            </c:dLbl>
            <c:dLbl>
              <c:idx val="13"/>
              <c:delete val="1"/>
              <c:extLst>
                <c:ext xmlns:c15="http://schemas.microsoft.com/office/drawing/2012/chart" uri="{CE6537A1-D6FC-4f65-9D91-7224C49458BB}"/>
                <c:ext xmlns:c16="http://schemas.microsoft.com/office/drawing/2014/chart" uri="{C3380CC4-5D6E-409C-BE32-E72D297353CC}">
                  <c16:uniqueId val="{0000001C-F7D5-488B-8178-5DC522729EA1}"/>
                </c:ext>
              </c:extLst>
            </c:dLbl>
            <c:dLbl>
              <c:idx val="14"/>
              <c:delete val="1"/>
              <c:extLst>
                <c:ext xmlns:c15="http://schemas.microsoft.com/office/drawing/2012/chart" uri="{CE6537A1-D6FC-4f65-9D91-7224C49458BB}"/>
                <c:ext xmlns:c16="http://schemas.microsoft.com/office/drawing/2014/chart" uri="{C3380CC4-5D6E-409C-BE32-E72D297353CC}">
                  <c16:uniqueId val="{0000001B-F7D5-488B-8178-5DC522729EA1}"/>
                </c:ext>
              </c:extLst>
            </c:dLbl>
            <c:dLbl>
              <c:idx val="15"/>
              <c:delete val="1"/>
              <c:extLst>
                <c:ext xmlns:c15="http://schemas.microsoft.com/office/drawing/2012/chart" uri="{CE6537A1-D6FC-4f65-9D91-7224C49458BB}"/>
                <c:ext xmlns:c16="http://schemas.microsoft.com/office/drawing/2014/chart" uri="{C3380CC4-5D6E-409C-BE32-E72D297353CC}">
                  <c16:uniqueId val="{0000001A-F7D5-488B-8178-5DC522729EA1}"/>
                </c:ext>
              </c:extLst>
            </c:dLbl>
            <c:dLbl>
              <c:idx val="16"/>
              <c:delete val="1"/>
              <c:extLst>
                <c:ext xmlns:c15="http://schemas.microsoft.com/office/drawing/2012/chart" uri="{CE6537A1-D6FC-4f65-9D91-7224C49458BB}"/>
                <c:ext xmlns:c16="http://schemas.microsoft.com/office/drawing/2014/chart" uri="{C3380CC4-5D6E-409C-BE32-E72D297353CC}">
                  <c16:uniqueId val="{00000019-F7D5-488B-8178-5DC522729EA1}"/>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14-17 Remt - Europe'!$C$160:$C$186</c:f>
              <c:strCache>
                <c:ptCount val="27"/>
                <c:pt idx="0">
                  <c:v>Albania</c:v>
                </c:pt>
                <c:pt idx="1">
                  <c:v>Bosnia and Herzegovina</c:v>
                </c:pt>
                <c:pt idx="2">
                  <c:v>Montenegro</c:v>
                </c:pt>
                <c:pt idx="3">
                  <c:v>North Macedonia</c:v>
                </c:pt>
                <c:pt idx="4">
                  <c:v>Slovak Republic</c:v>
                </c:pt>
                <c:pt idx="5">
                  <c:v>Croatia</c:v>
                </c:pt>
                <c:pt idx="6">
                  <c:v>Finland</c:v>
                </c:pt>
                <c:pt idx="7">
                  <c:v>Hungary</c:v>
                </c:pt>
                <c:pt idx="8">
                  <c:v>Luxembourg</c:v>
                </c:pt>
                <c:pt idx="9">
                  <c:v>Czech Republic</c:v>
                </c:pt>
                <c:pt idx="10">
                  <c:v>Ireland</c:v>
                </c:pt>
                <c:pt idx="11">
                  <c:v>Denmark</c:v>
                </c:pt>
                <c:pt idx="12">
                  <c:v>Serbia</c:v>
                </c:pt>
                <c:pt idx="13">
                  <c:v>Greece</c:v>
                </c:pt>
                <c:pt idx="14">
                  <c:v>Norway</c:v>
                </c:pt>
                <c:pt idx="15">
                  <c:v>Portugal</c:v>
                </c:pt>
                <c:pt idx="16">
                  <c:v>Sweden</c:v>
                </c:pt>
                <c:pt idx="17">
                  <c:v>Turkey</c:v>
                </c:pt>
                <c:pt idx="18">
                  <c:v>Austria</c:v>
                </c:pt>
                <c:pt idx="19">
                  <c:v>Netherlands</c:v>
                </c:pt>
                <c:pt idx="20">
                  <c:v>Belgium</c:v>
                </c:pt>
                <c:pt idx="21">
                  <c:v>Switzerland</c:v>
                </c:pt>
                <c:pt idx="22">
                  <c:v>Italy</c:v>
                </c:pt>
                <c:pt idx="23">
                  <c:v>Spain</c:v>
                </c:pt>
                <c:pt idx="24">
                  <c:v>France</c:v>
                </c:pt>
                <c:pt idx="25">
                  <c:v>United Kingdom</c:v>
                </c:pt>
                <c:pt idx="26">
                  <c:v>Germany</c:v>
                </c:pt>
              </c:strCache>
            </c:strRef>
          </c:cat>
          <c:val>
            <c:numRef>
              <c:f>'Fig 14-17 Remt - Europe'!$V$160:$V$186</c:f>
              <c:numCache>
                <c:formatCode>"$"#,##0</c:formatCode>
                <c:ptCount val="27"/>
                <c:pt idx="0" formatCode="&quot;$&quot;#,##0.0">
                  <c:v>0.33684686533950553</c:v>
                </c:pt>
                <c:pt idx="1">
                  <c:v>62.815381025019228</c:v>
                </c:pt>
                <c:pt idx="2">
                  <c:v>83.486380872038438</c:v>
                </c:pt>
                <c:pt idx="3">
                  <c:v>228.34389342378481</c:v>
                </c:pt>
                <c:pt idx="4">
                  <c:v>82.663201553657885</c:v>
                </c:pt>
                <c:pt idx="5">
                  <c:v>759.54276910929161</c:v>
                </c:pt>
                <c:pt idx="6">
                  <c:v>560.64016640565808</c:v>
                </c:pt>
                <c:pt idx="7">
                  <c:v>659.90140071455698</c:v>
                </c:pt>
                <c:pt idx="8">
                  <c:v>215.15293991984163</c:v>
                </c:pt>
                <c:pt idx="9">
                  <c:v>1232.3684390091191</c:v>
                </c:pt>
                <c:pt idx="10">
                  <c:v>876.95214161341698</c:v>
                </c:pt>
                <c:pt idx="11">
                  <c:v>956.82334339574663</c:v>
                </c:pt>
                <c:pt idx="12">
                  <c:v>812.00422862814207</c:v>
                </c:pt>
                <c:pt idx="13">
                  <c:v>1466.8818827908772</c:v>
                </c:pt>
                <c:pt idx="14">
                  <c:v>1268.9299730886178</c:v>
                </c:pt>
                <c:pt idx="15">
                  <c:v>965.39931005764095</c:v>
                </c:pt>
                <c:pt idx="16">
                  <c:v>2556.9229676036862</c:v>
                </c:pt>
                <c:pt idx="17">
                  <c:v>1612.335729214582</c:v>
                </c:pt>
                <c:pt idx="18">
                  <c:v>2061.3467346064749</c:v>
                </c:pt>
                <c:pt idx="19">
                  <c:v>3136.3189497758781</c:v>
                </c:pt>
                <c:pt idx="20">
                  <c:v>2291.9784492823219</c:v>
                </c:pt>
                <c:pt idx="21">
                  <c:v>2608.9368148759022</c:v>
                </c:pt>
                <c:pt idx="22">
                  <c:v>11837.381257136922</c:v>
                </c:pt>
                <c:pt idx="23">
                  <c:v>12070.335158622973</c:v>
                </c:pt>
                <c:pt idx="24">
                  <c:v>13110.259391814325</c:v>
                </c:pt>
                <c:pt idx="25">
                  <c:v>18731.107403343776</c:v>
                </c:pt>
                <c:pt idx="26">
                  <c:v>14191.497200688256</c:v>
                </c:pt>
              </c:numCache>
            </c:numRef>
          </c:val>
          <c:extLst>
            <c:ext xmlns:c16="http://schemas.microsoft.com/office/drawing/2014/chart" uri="{C3380CC4-5D6E-409C-BE32-E72D297353CC}">
              <c16:uniqueId val="{00000001-65E7-4F44-9610-21B63BE97197}"/>
            </c:ext>
          </c:extLst>
        </c:ser>
        <c:dLbls>
          <c:showLegendKey val="0"/>
          <c:showVal val="0"/>
          <c:showCatName val="0"/>
          <c:showSerName val="0"/>
          <c:showPercent val="0"/>
          <c:showBubbleSize val="0"/>
        </c:dLbls>
        <c:gapWidth val="150"/>
        <c:overlap val="100"/>
        <c:axId val="1188318367"/>
        <c:axId val="1188318847"/>
      </c:barChart>
      <c:catAx>
        <c:axId val="1188318367"/>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88318847"/>
        <c:crosses val="autoZero"/>
        <c:auto val="1"/>
        <c:lblAlgn val="ctr"/>
        <c:lblOffset val="100"/>
        <c:noMultiLvlLbl val="0"/>
      </c:catAx>
      <c:valAx>
        <c:axId val="1188318847"/>
        <c:scaling>
          <c:orientation val="minMax"/>
        </c:scaling>
        <c:delete val="1"/>
        <c:axPos val="b"/>
        <c:numFmt formatCode="&quot;$&quot;#,##0" sourceLinked="1"/>
        <c:majorTickMark val="none"/>
        <c:minorTickMark val="none"/>
        <c:tickLblPos val="nextTo"/>
        <c:crossAx val="118831836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'Fig 18-19 PCF - Europe'!$Q$6</c:f>
              <c:strCache>
                <c:ptCount val="1"/>
                <c:pt idx="0">
                  <c:v>PrivateMarketFlowIV</c:v>
                </c:pt>
              </c:strCache>
            </c:strRef>
          </c:tx>
          <c:spPr>
            <a:solidFill>
              <a:srgbClr val="FFAA0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18-19 PCF - Europe'!$C$7:$C$24</c:f>
              <c:strCache>
                <c:ptCount val="18"/>
                <c:pt idx="0">
                  <c:v>Austria</c:v>
                </c:pt>
                <c:pt idx="1">
                  <c:v>Portugal</c:v>
                </c:pt>
                <c:pt idx="2">
                  <c:v>Switzerland</c:v>
                </c:pt>
                <c:pt idx="3">
                  <c:v>United Kingdom</c:v>
                </c:pt>
                <c:pt idx="4">
                  <c:v>Slovak Republic</c:v>
                </c:pt>
                <c:pt idx="5">
                  <c:v>Greece</c:v>
                </c:pt>
                <c:pt idx="6">
                  <c:v>Czech Republic</c:v>
                </c:pt>
                <c:pt idx="7">
                  <c:v>Türkiye</c:v>
                </c:pt>
                <c:pt idx="8">
                  <c:v>Denmark</c:v>
                </c:pt>
                <c:pt idx="9">
                  <c:v>Italy</c:v>
                </c:pt>
                <c:pt idx="10">
                  <c:v>Finland</c:v>
                </c:pt>
                <c:pt idx="11">
                  <c:v>Belgium</c:v>
                </c:pt>
                <c:pt idx="12">
                  <c:v>Sweden</c:v>
                </c:pt>
                <c:pt idx="13">
                  <c:v>Hungary</c:v>
                </c:pt>
                <c:pt idx="14">
                  <c:v>Netherlands</c:v>
                </c:pt>
                <c:pt idx="15">
                  <c:v>France</c:v>
                </c:pt>
                <c:pt idx="16">
                  <c:v>Spain</c:v>
                </c:pt>
                <c:pt idx="17">
                  <c:v>Germany</c:v>
                </c:pt>
              </c:strCache>
            </c:strRef>
          </c:cat>
          <c:val>
            <c:numRef>
              <c:f>'Fig 18-19 PCF - Europe'!$Q$7:$Q$24</c:f>
              <c:numCache>
                <c:formatCode>"$"#,##0</c:formatCode>
                <c:ptCount val="18"/>
                <c:pt idx="0">
                  <c:v>-1499.510009765625</c:v>
                </c:pt>
                <c:pt idx="1">
                  <c:v>-837.40997314453125</c:v>
                </c:pt>
                <c:pt idx="2">
                  <c:v>-818.05999755859375</c:v>
                </c:pt>
                <c:pt idx="3">
                  <c:v>-1.5399999618530273</c:v>
                </c:pt>
                <c:pt idx="4">
                  <c:v>27.180000305175781</c:v>
                </c:pt>
                <c:pt idx="5">
                  <c:v>123.01000213623047</c:v>
                </c:pt>
                <c:pt idx="6">
                  <c:v>131.47999572753906</c:v>
                </c:pt>
                <c:pt idx="7">
                  <c:v>260.68</c:v>
                </c:pt>
                <c:pt idx="8">
                  <c:v>316.65365044067158</c:v>
                </c:pt>
                <c:pt idx="9">
                  <c:v>457.92001342773438</c:v>
                </c:pt>
                <c:pt idx="10">
                  <c:v>1279.219970703125</c:v>
                </c:pt>
                <c:pt idx="11">
                  <c:v>1969.22998046875</c:v>
                </c:pt>
                <c:pt idx="12">
                  <c:v>1969.22998046875</c:v>
                </c:pt>
                <c:pt idx="13">
                  <c:v>3055.35009765625</c:v>
                </c:pt>
                <c:pt idx="14">
                  <c:v>5085.7099609375</c:v>
                </c:pt>
                <c:pt idx="15">
                  <c:v>5108.830078125</c:v>
                </c:pt>
                <c:pt idx="16">
                  <c:v>11108.919921875</c:v>
                </c:pt>
                <c:pt idx="17">
                  <c:v>14665.76953125</c:v>
                </c:pt>
              </c:numCache>
            </c:numRef>
          </c:val>
          <c:extLst>
            <c:ext xmlns:c16="http://schemas.microsoft.com/office/drawing/2014/chart" uri="{C3380CC4-5D6E-409C-BE32-E72D297353CC}">
              <c16:uniqueId val="{00000000-8B54-41BB-B339-EEE3ACC17A7D}"/>
            </c:ext>
          </c:extLst>
        </c:ser>
        <c:dLbls>
          <c:dLblPos val="outEnd"/>
          <c:showLegendKey val="0"/>
          <c:showVal val="1"/>
          <c:showCatName val="0"/>
          <c:showSerName val="0"/>
          <c:showPercent val="0"/>
          <c:showBubbleSize val="0"/>
        </c:dLbls>
        <c:gapWidth val="182"/>
        <c:axId val="1847664256"/>
        <c:axId val="1847665216"/>
      </c:barChart>
      <c:catAx>
        <c:axId val="1847664256"/>
        <c:scaling>
          <c:orientation val="minMax"/>
        </c:scaling>
        <c:delete val="0"/>
        <c:axPos val="l"/>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47665216"/>
        <c:crosses val="autoZero"/>
        <c:auto val="1"/>
        <c:lblAlgn val="ctr"/>
        <c:lblOffset val="100"/>
        <c:noMultiLvlLbl val="0"/>
      </c:catAx>
      <c:valAx>
        <c:axId val="1847665216"/>
        <c:scaling>
          <c:orientation val="minMax"/>
        </c:scaling>
        <c:delete val="1"/>
        <c:axPos val="b"/>
        <c:numFmt formatCode="&quot;$&quot;#,##0" sourceLinked="1"/>
        <c:majorTickMark val="none"/>
        <c:minorTickMark val="none"/>
        <c:tickLblPos val="nextTo"/>
        <c:crossAx val="184766425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2680500954950178"/>
          <c:y val="3.0388380912077243E-2"/>
          <c:w val="0.72987706697716959"/>
          <c:h val="0.95856537443968737"/>
        </c:manualLayout>
      </c:layout>
      <c:barChart>
        <c:barDir val="bar"/>
        <c:grouping val="clustered"/>
        <c:varyColors val="0"/>
        <c:ser>
          <c:idx val="1"/>
          <c:order val="0"/>
          <c:tx>
            <c:strRef>
              <c:f>'Fig 18-19 PCF - Europe'!$R$47</c:f>
              <c:strCache>
                <c:ptCount val="1"/>
                <c:pt idx="0">
                  <c:v>PMF as a % of GNI</c:v>
                </c:pt>
              </c:strCache>
            </c:strRef>
          </c:tx>
          <c:spPr>
            <a:solidFill>
              <a:srgbClr val="FFAA00"/>
            </a:solidFill>
            <a:ln>
              <a:noFill/>
            </a:ln>
            <a:effectLst/>
          </c:spPr>
          <c:invertIfNegative val="0"/>
          <c:dLbls>
            <c:dLbl>
              <c:idx val="0"/>
              <c:layout>
                <c:manualLayout>
                  <c:x val="-1.5669334656024605E-16"/>
                  <c:y val="5.5854090233088049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0FD-4649-994F-E2FAC105BCF4}"/>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 18-19 PCF - Europe'!$C$48:$C$65</c:f>
              <c:strCache>
                <c:ptCount val="18"/>
                <c:pt idx="0">
                  <c:v>Hungary</c:v>
                </c:pt>
                <c:pt idx="1">
                  <c:v>Spain</c:v>
                </c:pt>
                <c:pt idx="2">
                  <c:v>Netherlands</c:v>
                </c:pt>
                <c:pt idx="3">
                  <c:v>Finland</c:v>
                </c:pt>
                <c:pt idx="4">
                  <c:v>Belgium</c:v>
                </c:pt>
                <c:pt idx="5">
                  <c:v>Germany</c:v>
                </c:pt>
                <c:pt idx="6">
                  <c:v>Sweden</c:v>
                </c:pt>
                <c:pt idx="7">
                  <c:v>France</c:v>
                </c:pt>
                <c:pt idx="8">
                  <c:v>Denmark</c:v>
                </c:pt>
                <c:pt idx="9">
                  <c:v>Greece</c:v>
                </c:pt>
                <c:pt idx="10">
                  <c:v>Czech Republic</c:v>
                </c:pt>
                <c:pt idx="11">
                  <c:v>Türkiye</c:v>
                </c:pt>
                <c:pt idx="12">
                  <c:v>Slovak Republic</c:v>
                </c:pt>
                <c:pt idx="13">
                  <c:v>Italy</c:v>
                </c:pt>
                <c:pt idx="14">
                  <c:v>United Kingdom</c:v>
                </c:pt>
                <c:pt idx="15">
                  <c:v>Switzerland</c:v>
                </c:pt>
                <c:pt idx="16">
                  <c:v>Austria</c:v>
                </c:pt>
                <c:pt idx="17">
                  <c:v>Portugal</c:v>
                </c:pt>
              </c:strCache>
            </c:strRef>
          </c:cat>
          <c:val>
            <c:numRef>
              <c:f>'Fig 18-19 PCF - Europe'!$R$48:$R$65</c:f>
              <c:numCache>
                <c:formatCode>0.00%</c:formatCode>
                <c:ptCount val="18"/>
                <c:pt idx="0">
                  <c:v>1.9801347581878535E-2</c:v>
                </c:pt>
                <c:pt idx="1">
                  <c:v>8.6510235517033608E-3</c:v>
                </c:pt>
                <c:pt idx="2">
                  <c:v>5.6214744179173435E-3</c:v>
                </c:pt>
                <c:pt idx="3">
                  <c:v>4.6802681936320058E-3</c:v>
                </c:pt>
                <c:pt idx="4">
                  <c:v>4.0190796851110643E-3</c:v>
                </c:pt>
                <c:pt idx="5">
                  <c:v>3.7506887117290466E-3</c:v>
                </c:pt>
                <c:pt idx="6">
                  <c:v>3.5326994061914583E-3</c:v>
                </c:pt>
                <c:pt idx="7">
                  <c:v>1.9164754578227267E-3</c:v>
                </c:pt>
                <c:pt idx="8">
                  <c:v>8.5937277519821927E-4</c:v>
                </c:pt>
                <c:pt idx="9">
                  <c:v>6.5397251318502665E-4</c:v>
                </c:pt>
                <c:pt idx="10">
                  <c:v>5.5530920181377352E-4</c:v>
                </c:pt>
                <c:pt idx="11">
                  <c:v>3.6642311552420657E-4</c:v>
                </c:pt>
                <c:pt idx="12">
                  <c:v>2.6505790325250265E-4</c:v>
                </c:pt>
                <c:pt idx="13">
                  <c:v>2.4080746298429882E-4</c:v>
                </c:pt>
                <c:pt idx="14" formatCode="0.0000%">
                  <c:v>-5.7898141821239756E-7</c:v>
                </c:pt>
                <c:pt idx="15">
                  <c:v>-1.1281041131442587E-3</c:v>
                </c:pt>
                <c:pt idx="16">
                  <c:v>-3.4905638369772665E-3</c:v>
                </c:pt>
                <c:pt idx="17">
                  <c:v>-3.7314489821100257E-3</c:v>
                </c:pt>
              </c:numCache>
            </c:numRef>
          </c:val>
          <c:extLst>
            <c:ext xmlns:c16="http://schemas.microsoft.com/office/drawing/2014/chart" uri="{C3380CC4-5D6E-409C-BE32-E72D297353CC}">
              <c16:uniqueId val="{00000001-A0FD-4649-994F-E2FAC105BCF4}"/>
            </c:ext>
          </c:extLst>
        </c:ser>
        <c:dLbls>
          <c:dLblPos val="outEnd"/>
          <c:showLegendKey val="0"/>
          <c:showVal val="1"/>
          <c:showCatName val="0"/>
          <c:showSerName val="0"/>
          <c:showPercent val="0"/>
          <c:showBubbleSize val="0"/>
        </c:dLbls>
        <c:gapWidth val="182"/>
        <c:axId val="419300927"/>
        <c:axId val="419290527"/>
      </c:barChart>
      <c:catAx>
        <c:axId val="419300927"/>
        <c:scaling>
          <c:orientation val="maxMin"/>
        </c:scaling>
        <c:delete val="0"/>
        <c:axPos val="l"/>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9290527"/>
        <c:crosses val="autoZero"/>
        <c:auto val="1"/>
        <c:lblAlgn val="ctr"/>
        <c:lblOffset val="100"/>
        <c:noMultiLvlLbl val="0"/>
      </c:catAx>
      <c:valAx>
        <c:axId val="419290527"/>
        <c:scaling>
          <c:orientation val="minMax"/>
          <c:max val="2.0000000000000004E-2"/>
          <c:min val="-6.0000000000000019E-3"/>
        </c:scaling>
        <c:delete val="1"/>
        <c:axPos val="t"/>
        <c:numFmt formatCode="0.00%" sourceLinked="1"/>
        <c:majorTickMark val="out"/>
        <c:minorTickMark val="none"/>
        <c:tickLblPos val="nextTo"/>
        <c:crossAx val="419300927"/>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Ex1.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'Table 3 - Europe (2)'!$B$4:$B$7</cx:f>
        <cx:lvl ptCount="4">
          <cx:pt idx="0">Remittances:</cx:pt>
          <cx:pt idx="1">Official Development Assistance (ODA):</cx:pt>
          <cx:pt idx="2">Philanthropic Outflows:</cx:pt>
          <cx:pt idx="3">Private Capital Investment:</cx:pt>
        </cx:lvl>
      </cx:strDim>
      <cx:numDim type="size">
        <cx:f>'Table 3 - Europe (2)'!$C$4:$C$7</cx:f>
        <cx:lvl ptCount="4" formatCode="&quot;$&quot;#,##0_);[Red]\(&quot;$&quot;#,##0\)">
          <cx:pt idx="0">200.95400000000001</cx:pt>
          <cx:pt idx="1">106.887</cx:pt>
          <cx:pt idx="2">15.541799999999999</cx:pt>
          <cx:pt idx="3">42.402663125548003</cx:pt>
        </cx:lvl>
      </cx:numDim>
    </cx:data>
  </cx:chartData>
  <cx:chart>
    <cx:title pos="t" align="ctr" overlay="0">
      <cx:tx>
        <cx:txData>
          <cx:v>Total Amount: USD 366 Billion</cx:v>
        </cx:txData>
      </cx:tx>
      <cx:txPr>
        <a:bodyPr spcFirstLastPara="1" vertOverflow="ellipsis" horzOverflow="overflow" wrap="square" lIns="0" tIns="0" rIns="0" bIns="0" anchor="ctr" anchorCtr="1"/>
        <a:lstStyle/>
        <a:p>
          <a:pPr algn="ctr" rtl="0">
            <a:defRPr/>
          </a:pPr>
          <a:r>
            <a:rPr lang="en-US" sz="1400" b="0" i="0" u="none" strike="noStrike" baseline="0">
              <a:solidFill>
                <a:sysClr val="windowText" lastClr="000000">
                  <a:lumMod val="65000"/>
                  <a:lumOff val="35000"/>
                </a:sysClr>
              </a:solidFill>
              <a:latin typeface="Calibri" panose="020F0502020204030204"/>
            </a:rPr>
            <a:t>Total Amount: USD 366 Billion</a:t>
          </a:r>
        </a:p>
      </cx:txPr>
    </cx:title>
    <cx:plotArea>
      <cx:plotAreaRegion>
        <cx:series layoutId="treemap" uniqueId="{7D7A358D-E41A-4930-8A70-9E4A636FF1D1}">
          <cx:spPr>
            <a:ln>
              <a:noFill/>
            </a:ln>
          </cx:spPr>
          <cx:dataPt idx="0">
            <cx:spPr>
              <a:solidFill>
                <a:srgbClr val="990000"/>
              </a:solidFill>
            </cx:spPr>
          </cx:dataPt>
          <cx:dataPt idx="1">
            <cx:spPr>
              <a:solidFill>
                <a:srgbClr val="006298"/>
              </a:solidFill>
            </cx:spPr>
          </cx:dataPt>
          <cx:dataPt idx="2">
            <cx:spPr>
              <a:solidFill>
                <a:srgbClr val="056E41"/>
              </a:solidFill>
            </cx:spPr>
          </cx:dataPt>
          <cx:dataPt idx="3">
            <cx:spPr>
              <a:solidFill>
                <a:srgbClr val="FFAA00"/>
              </a:solidFill>
            </cx:spPr>
          </cx:dataPt>
          <cx:dataLabels pos="inEnd">
            <cx:txPr>
              <a:bodyPr spcFirstLastPara="1" vertOverflow="ellipsis" horzOverflow="overflow" wrap="square" lIns="0" tIns="0" rIns="0" bIns="0" anchor="ctr" anchorCtr="1"/>
              <a:lstStyle/>
              <a:p>
                <a:pPr algn="ctr" rtl="0">
                  <a:defRPr sz="1200"/>
                </a:pPr>
                <a:endParaRPr lang="en-US" sz="1200" b="0" i="0" u="none" strike="noStrike" baseline="0">
                  <a:solidFill>
                    <a:sysClr val="window" lastClr="FFFFFF"/>
                  </a:solidFill>
                  <a:latin typeface="Calibri" panose="020F0502020204030204"/>
                </a:endParaRPr>
              </a:p>
            </cx:txPr>
            <cx:visibility seriesName="0" categoryName="1" value="1"/>
            <cx:separator> </cx:separator>
            <cx:dataLabel idx="2">
              <cx:txPr>
                <a:bodyPr spcFirstLastPara="1" vertOverflow="ellipsis" horzOverflow="overflow" wrap="square" lIns="0" tIns="0" rIns="0" bIns="0" anchor="ctr" anchorCtr="1"/>
                <a:lstStyle/>
                <a:p>
                  <a:pPr algn="ctr" rtl="0">
                    <a:defRPr sz="1100"/>
                  </a:pPr>
                  <a:r>
                    <a:rPr lang="en-US" sz="1100" b="0" i="0" u="none" strike="noStrike" baseline="0">
                      <a:solidFill>
                        <a:sysClr val="window" lastClr="FFFFFF"/>
                      </a:solidFill>
                      <a:latin typeface="Calibri" panose="020F0502020204030204"/>
                    </a:rPr>
                    <a:t>Philanthropic Outflows: $16 </a:t>
                  </a:r>
                </a:p>
              </cx:txPr>
              <cx:visibility seriesName="0" categoryName="1" value="1"/>
              <cx:separator> </cx:separator>
            </cx:dataLabel>
          </cx:dataLabels>
          <cx:dataId val="0"/>
          <cx:layoutPr>
            <cx:parentLabelLayout val="overlapping"/>
          </cx:layoutPr>
        </cx:series>
      </cx:plotAreaRegion>
    </cx:plotArea>
  </cx:chart>
  <cx:spPr>
    <a:ln>
      <a:noFill/>
    </a:ln>
  </cx:spPr>
</cx: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410">
  <cs:axisTitle>
    <cs:lnRef idx="0"/>
    <cs:fillRef idx="0"/>
    <cs:effectRef idx="0"/>
    <cs:fontRef idx="minor">
      <a:schemeClr val="tx1">
        <a:lumMod val="65000"/>
        <a:lumOff val="35000"/>
      </a:schemeClr>
    </cs:fontRef>
    <cs:spPr>
      <a:solidFill>
        <a:schemeClr val="bg1">
          <a:lumMod val="65000"/>
        </a:schemeClr>
      </a:solidFill>
      <a:ln w="19050">
        <a:solidFill>
          <a:schemeClr val="bg1"/>
        </a:solidFill>
      </a:ln>
    </cs:spPr>
    <cs:defRPr sz="9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cs:chartArea>
  <cs:dataLabel>
    <cs:lnRef idx="0"/>
    <cs:fillRef idx="0"/>
    <cs:effectRef idx="0"/>
    <cs:fontRef idx="minor">
      <a:schemeClr val="lt1"/>
    </cs:fontRef>
    <cs:defRPr sz="9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ln w="19050">
        <a:solidFill>
          <a:schemeClr val="lt1"/>
        </a:solidFill>
      </a:ln>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5"/>
  <cs:dataPointWireframe>
    <cs:lnRef idx="0">
      <cs:styleClr val="auto"/>
    </cs:lnRef>
    <cs:fillRef idx="0"/>
    <cs:effectRef idx="0"/>
    <cs:fontRef idx="minor">
      <a:schemeClr val="tx1"/>
    </cs:fontRef>
    <cs:spPr>
      <a:ln w="2857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15000"/>
            <a:lumOff val="8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seriesAxis>
  <cs:seriesLine>
    <cs:lnRef idx="0"/>
    <cs:fillRef idx="0"/>
    <cs:effectRef idx="0"/>
    <cs:fontRef idx="minor">
      <a:schemeClr val="tx1"/>
    </cs:fontRef>
    <cs:spPr>
      <a:ln w="9525" cap="flat">
        <a:solidFill>
          <a:srgbClr val="D9D9D9"/>
        </a:solidFill>
        <a:round/>
      </a:ln>
    </cs:spPr>
  </cs:seriesLine>
  <cs:title>
    <cs:lnRef idx="0"/>
    <cs:fillRef idx="0"/>
    <cs:effectRef idx="0"/>
    <cs:fontRef idx="minor">
      <a:schemeClr val="tx1">
        <a:lumMod val="65000"/>
        <a:lumOff val="35000"/>
      </a:schemeClr>
    </cs:fontRef>
    <cs:defRPr sz="140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7B2771-EB25-4D25-B0D1-8EC4CC02C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21</Pages>
  <Words>5472</Words>
  <Characters>31196</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Murat-Prater, Karly Deanna</dc:creator>
  <cp:keywords/>
  <dc:description/>
  <cp:lastModifiedBy>Horvath, Kinga Zsofia</cp:lastModifiedBy>
  <cp:revision>5</cp:revision>
  <cp:lastPrinted>2023-06-23T20:34:00Z</cp:lastPrinted>
  <dcterms:created xsi:type="dcterms:W3CDTF">2023-06-23T20:56:00Z</dcterms:created>
  <dcterms:modified xsi:type="dcterms:W3CDTF">2023-06-23T21:02:00Z</dcterms:modified>
</cp:coreProperties>
</file>