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8FDB1" w14:textId="16C31EF2" w:rsidR="00536434" w:rsidRDefault="00536434" w:rsidP="00667965">
      <w:pPr>
        <w:jc w:val="center"/>
        <w:rPr>
          <w:b/>
          <w:bCs/>
        </w:rPr>
      </w:pPr>
      <w:r w:rsidRPr="00536434">
        <w:rPr>
          <w:b/>
          <w:bCs/>
        </w:rPr>
        <w:t>ERNOP EDUCATION SNAPSHOT 2026</w:t>
      </w:r>
    </w:p>
    <w:p w14:paraId="021AA88A" w14:textId="04E60A6B" w:rsidR="00632E96" w:rsidRPr="006D5C6A" w:rsidRDefault="00536434" w:rsidP="00667965">
      <w:pPr>
        <w:jc w:val="center"/>
        <w:rPr>
          <w:b/>
          <w:bCs/>
          <w:rtl/>
        </w:rPr>
      </w:pPr>
      <w:r w:rsidRPr="00536434">
        <w:rPr>
          <w:i/>
          <w:iCs/>
        </w:rPr>
        <w:t>Overview • Key Findings • Insights • Discussion</w:t>
      </w:r>
      <w:r w:rsidR="008A05A0">
        <w:rPr>
          <w:rStyle w:val="Voetnootmarkering"/>
          <w:b/>
          <w:bCs/>
        </w:rPr>
        <w:footnoteReference w:id="1"/>
      </w:r>
    </w:p>
    <w:p w14:paraId="73B544DD" w14:textId="24523DD4" w:rsidR="00536434" w:rsidRPr="00536434" w:rsidRDefault="00536434" w:rsidP="00632E96">
      <w:pPr>
        <w:rPr>
          <w:b/>
          <w:bCs/>
        </w:rPr>
      </w:pPr>
      <w:r w:rsidRPr="00536434">
        <w:rPr>
          <w:b/>
          <w:bCs/>
        </w:rPr>
        <w:t>1. What the Snapshot Covers</w:t>
      </w:r>
    </w:p>
    <w:p w14:paraId="533039C8" w14:textId="063FD4F4" w:rsidR="00632E96" w:rsidRPr="001B7163" w:rsidRDefault="00536434" w:rsidP="00632E96">
      <w:pPr>
        <w:jc w:val="both"/>
      </w:pPr>
      <w:r w:rsidRPr="00536434">
        <w:t xml:space="preserve">The ERNOP Education Snapshot maps academic and professional learning opportunities that develop knowledge and competencies in philanthropy, civil society, and nonprofit management across Europe. It documents the breadth of courses, degree </w:t>
      </w:r>
      <w:proofErr w:type="spellStart"/>
      <w:r w:rsidRPr="00536434">
        <w:t>programmes</w:t>
      </w:r>
      <w:proofErr w:type="spellEnd"/>
      <w:r w:rsidRPr="00536434">
        <w:t xml:space="preserve">, executive modules, and MOOCs that support the </w:t>
      </w:r>
      <w:r w:rsidR="00742D22" w:rsidRPr="00536434">
        <w:t>professionalization</w:t>
      </w:r>
      <w:r w:rsidRPr="00536434">
        <w:t xml:space="preserve"> and scholarly development of the philanthropic field. </w:t>
      </w:r>
    </w:p>
    <w:p w14:paraId="298803FC" w14:textId="77777777" w:rsidR="00353F07" w:rsidRPr="00353F07" w:rsidRDefault="00353F07" w:rsidP="00632E96">
      <w:pPr>
        <w:jc w:val="both"/>
        <w:rPr>
          <w:b/>
          <w:bCs/>
        </w:rPr>
      </w:pPr>
    </w:p>
    <w:p w14:paraId="2217FE85" w14:textId="431336F5" w:rsidR="00536434" w:rsidRPr="00536434" w:rsidRDefault="00536434" w:rsidP="00632E96">
      <w:pPr>
        <w:jc w:val="both"/>
        <w:rPr>
          <w:b/>
          <w:bCs/>
        </w:rPr>
      </w:pPr>
      <w:r w:rsidRPr="00536434">
        <w:rPr>
          <w:b/>
          <w:bCs/>
        </w:rPr>
        <w:t xml:space="preserve">2. Key Findings </w:t>
      </w:r>
      <w:proofErr w:type="gramStart"/>
      <w:r w:rsidRPr="00536434">
        <w:rPr>
          <w:b/>
          <w:bCs/>
        </w:rPr>
        <w:t>at a Glance</w:t>
      </w:r>
      <w:proofErr w:type="gramEnd"/>
    </w:p>
    <w:p w14:paraId="0D8BFF06" w14:textId="77777777" w:rsidR="00536434" w:rsidRPr="00536434" w:rsidRDefault="00536434" w:rsidP="00536434">
      <w:pPr>
        <w:rPr>
          <w:b/>
          <w:bCs/>
        </w:rPr>
      </w:pPr>
      <w:r w:rsidRPr="00536434">
        <w:rPr>
          <w:b/>
          <w:bCs/>
        </w:rPr>
        <w:t>Offerings &amp; Orientation</w:t>
      </w:r>
    </w:p>
    <w:p w14:paraId="4EC34054" w14:textId="77777777" w:rsidR="00536434" w:rsidRPr="00536434" w:rsidRDefault="00536434" w:rsidP="00536434">
      <w:pPr>
        <w:numPr>
          <w:ilvl w:val="0"/>
          <w:numId w:val="10"/>
        </w:numPr>
      </w:pPr>
      <w:r w:rsidRPr="00536434">
        <w:t>45 total educational offerings across ERNOP member institutions.</w:t>
      </w:r>
    </w:p>
    <w:p w14:paraId="4DFA4D6B" w14:textId="2F72A154" w:rsidR="00632E96" w:rsidRPr="00632E96" w:rsidRDefault="00536434" w:rsidP="00E90557">
      <w:pPr>
        <w:numPr>
          <w:ilvl w:val="0"/>
          <w:numId w:val="10"/>
        </w:numPr>
        <w:rPr>
          <w:b/>
          <w:bCs/>
        </w:rPr>
      </w:pPr>
      <w:r w:rsidRPr="00536434">
        <w:t>Executive / Mixed offerings dominate (</w:t>
      </w:r>
      <w:r w:rsidRPr="00536434">
        <w:rPr>
          <w:rFonts w:ascii="Cambria Math" w:hAnsi="Cambria Math" w:cs="Cambria Math"/>
        </w:rPr>
        <w:t>≈</w:t>
      </w:r>
      <w:r w:rsidRPr="00536434">
        <w:t>75.6%), compared to 24.4% purely academic.</w:t>
      </w:r>
      <w:r w:rsidRPr="00536434">
        <w:br/>
      </w:r>
      <w:r w:rsidRPr="00536434">
        <w:rPr>
          <w:rFonts w:ascii="Times New Roman" w:hAnsi="Times New Roman" w:cs="Times New Roman"/>
          <w:highlight w:val="lightGray"/>
        </w:rPr>
        <w:t>→</w:t>
      </w:r>
      <w:r w:rsidRPr="00536434">
        <w:rPr>
          <w:highlight w:val="lightGray"/>
        </w:rPr>
        <w:t xml:space="preserve"> Indicates strong </w:t>
      </w:r>
      <w:r w:rsidRPr="00536434">
        <w:rPr>
          <w:b/>
          <w:bCs/>
          <w:highlight w:val="lightGray"/>
        </w:rPr>
        <w:t>professional upskilling</w:t>
      </w:r>
      <w:r w:rsidRPr="00536434">
        <w:rPr>
          <w:highlight w:val="lightGray"/>
        </w:rPr>
        <w:t xml:space="preserve"> </w:t>
      </w:r>
      <w:r w:rsidR="00632E96" w:rsidRPr="00632E96">
        <w:rPr>
          <w:highlight w:val="lightGray"/>
        </w:rPr>
        <w:t>focus</w:t>
      </w:r>
      <w:r w:rsidRPr="00536434">
        <w:rPr>
          <w:highlight w:val="lightGray"/>
        </w:rPr>
        <w:t>.</w:t>
      </w:r>
      <w:r w:rsidRPr="00536434">
        <w:t xml:space="preserve"> </w:t>
      </w:r>
    </w:p>
    <w:p w14:paraId="75B9796B" w14:textId="3A0431E1" w:rsidR="00536434" w:rsidRPr="00536434" w:rsidRDefault="00536434" w:rsidP="00632E96">
      <w:pPr>
        <w:rPr>
          <w:b/>
          <w:bCs/>
        </w:rPr>
      </w:pPr>
      <w:r w:rsidRPr="00536434">
        <w:rPr>
          <w:b/>
          <w:bCs/>
        </w:rPr>
        <w:t>Delivery Formats</w:t>
      </w:r>
    </w:p>
    <w:p w14:paraId="677404D1" w14:textId="77777777" w:rsidR="00536434" w:rsidRPr="00536434" w:rsidRDefault="00536434" w:rsidP="00536434">
      <w:pPr>
        <w:numPr>
          <w:ilvl w:val="0"/>
          <w:numId w:val="11"/>
        </w:numPr>
      </w:pPr>
      <w:r w:rsidRPr="00536434">
        <w:t>88.9% In</w:t>
      </w:r>
      <w:r w:rsidRPr="00536434">
        <w:noBreakHyphen/>
        <w:t>person, 8.9% Online, 2.2% Hybrid.</w:t>
      </w:r>
    </w:p>
    <w:p w14:paraId="68E9A502" w14:textId="48635480" w:rsidR="00536434" w:rsidRPr="00536434" w:rsidRDefault="00536434" w:rsidP="00536434">
      <w:pPr>
        <w:numPr>
          <w:ilvl w:val="0"/>
          <w:numId w:val="11"/>
        </w:numPr>
      </w:pPr>
      <w:r w:rsidRPr="00536434">
        <w:t xml:space="preserve">Online options are mostly </w:t>
      </w:r>
      <w:r w:rsidR="00632E96">
        <w:t>Switzerland-based</w:t>
      </w:r>
      <w:r w:rsidRPr="00536434">
        <w:t xml:space="preserve"> MOOCs and UK </w:t>
      </w:r>
      <w:proofErr w:type="spellStart"/>
      <w:r w:rsidRPr="00536434">
        <w:t>programmes</w:t>
      </w:r>
      <w:proofErr w:type="spellEnd"/>
      <w:r w:rsidRPr="00536434">
        <w:t>.</w:t>
      </w:r>
      <w:r w:rsidRPr="00536434">
        <w:br/>
      </w:r>
      <w:r w:rsidRPr="00536434">
        <w:rPr>
          <w:rFonts w:ascii="Times New Roman" w:hAnsi="Times New Roman" w:cs="Times New Roman"/>
          <w:highlight w:val="lightGray"/>
        </w:rPr>
        <w:t>→</w:t>
      </w:r>
      <w:r w:rsidRPr="00536434">
        <w:rPr>
          <w:highlight w:val="lightGray"/>
        </w:rPr>
        <w:t xml:space="preserve"> Suggests limited digital accessibility for international learners.</w:t>
      </w:r>
      <w:r w:rsidRPr="00536434">
        <w:t xml:space="preserve"> </w:t>
      </w:r>
      <w:hyperlink r:id="rId8" w:history="1"/>
    </w:p>
    <w:p w14:paraId="666C2AD2" w14:textId="77777777" w:rsidR="00536434" w:rsidRPr="00536434" w:rsidRDefault="00536434" w:rsidP="00536434">
      <w:pPr>
        <w:rPr>
          <w:b/>
          <w:bCs/>
        </w:rPr>
      </w:pPr>
      <w:r w:rsidRPr="00536434">
        <w:rPr>
          <w:b/>
          <w:bCs/>
        </w:rPr>
        <w:t>Languages</w:t>
      </w:r>
    </w:p>
    <w:p w14:paraId="5EB3A61C" w14:textId="1D36D9A9" w:rsidR="00536434" w:rsidRPr="00536434" w:rsidRDefault="00536434" w:rsidP="00536434">
      <w:pPr>
        <w:numPr>
          <w:ilvl w:val="0"/>
          <w:numId w:val="12"/>
        </w:numPr>
      </w:pPr>
      <w:r w:rsidRPr="00536434">
        <w:t xml:space="preserve">German is </w:t>
      </w:r>
      <w:r w:rsidR="0009456E">
        <w:t xml:space="preserve">the most common (~39%), followed by English (~20%), French (~15%), Czech (~13%), and </w:t>
      </w:r>
      <w:r w:rsidRPr="00536434">
        <w:t>Dutch (~11%).</w:t>
      </w:r>
      <w:r w:rsidRPr="00536434">
        <w:br/>
      </w:r>
      <w:r w:rsidRPr="00536434">
        <w:rPr>
          <w:rFonts w:ascii="Times New Roman" w:hAnsi="Times New Roman" w:cs="Times New Roman"/>
        </w:rPr>
        <w:t>→</w:t>
      </w:r>
      <w:r w:rsidRPr="00536434">
        <w:t xml:space="preserve"> </w:t>
      </w:r>
      <w:r w:rsidRPr="00536434">
        <w:rPr>
          <w:highlight w:val="lightGray"/>
        </w:rPr>
        <w:t>Reflects the geographic concentration of providers</w:t>
      </w:r>
      <w:r w:rsidRPr="00536434">
        <w:t xml:space="preserve">. </w:t>
      </w:r>
    </w:p>
    <w:p w14:paraId="2CF868A0" w14:textId="77777777" w:rsidR="00536434" w:rsidRPr="00536434" w:rsidRDefault="00536434" w:rsidP="00536434">
      <w:pPr>
        <w:rPr>
          <w:b/>
          <w:bCs/>
        </w:rPr>
      </w:pPr>
      <w:r w:rsidRPr="00536434">
        <w:rPr>
          <w:b/>
          <w:bCs/>
        </w:rPr>
        <w:t>Geographic Distribution</w:t>
      </w:r>
    </w:p>
    <w:p w14:paraId="50D27D8B" w14:textId="77777777" w:rsidR="00536434" w:rsidRPr="00536434" w:rsidRDefault="00536434" w:rsidP="00536434">
      <w:pPr>
        <w:numPr>
          <w:ilvl w:val="0"/>
          <w:numId w:val="13"/>
        </w:numPr>
      </w:pPr>
      <w:r w:rsidRPr="00536434">
        <w:t>Switzerland is the central hub (62.2%), then Czechia, Belgium, and the UK.</w:t>
      </w:r>
    </w:p>
    <w:p w14:paraId="362718E9" w14:textId="376D7D34" w:rsidR="00536434" w:rsidRPr="00536434" w:rsidRDefault="008912C8" w:rsidP="00536434">
      <w:pPr>
        <w:numPr>
          <w:ilvl w:val="0"/>
          <w:numId w:val="13"/>
        </w:numPr>
      </w:pPr>
      <w:r>
        <w:t>U</w:t>
      </w:r>
      <w:r w:rsidRPr="00536434">
        <w:t>nderrepresentation</w:t>
      </w:r>
      <w:r w:rsidR="00536434" w:rsidRPr="00536434">
        <w:t xml:space="preserve"> of Southern Europe, the Nordics, and parts of CEE. </w:t>
      </w:r>
      <w:hyperlink r:id="rId9" w:history="1"/>
    </w:p>
    <w:p w14:paraId="6205AB43" w14:textId="38DADF8C" w:rsidR="009E5DAC" w:rsidRPr="009E5DAC" w:rsidRDefault="00536434" w:rsidP="00577CE0">
      <w:pPr>
        <w:rPr>
          <w:b/>
          <w:bCs/>
        </w:rPr>
      </w:pPr>
      <w:r w:rsidRPr="00536434">
        <w:rPr>
          <w:b/>
          <w:bCs/>
        </w:rPr>
        <w:t>Thematic Patterns</w:t>
      </w:r>
      <w:r w:rsidR="0064746E">
        <w:rPr>
          <w:b/>
          <w:bCs/>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2"/>
        <w:gridCol w:w="4961"/>
        <w:gridCol w:w="2831"/>
      </w:tblGrid>
      <w:tr w:rsidR="007E38CF" w:rsidRPr="009E5DAC" w14:paraId="2BD15249" w14:textId="5E1AEE08" w:rsidTr="00B672F1">
        <w:trPr>
          <w:tblHeader/>
          <w:tblCellSpacing w:w="15" w:type="dxa"/>
        </w:trPr>
        <w:tc>
          <w:tcPr>
            <w:tcW w:w="150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7BD1609" w14:textId="77777777" w:rsidR="007E38CF" w:rsidRPr="009E5DAC" w:rsidRDefault="007E38CF" w:rsidP="009E5DAC">
            <w:pPr>
              <w:rPr>
                <w:b/>
                <w:bCs/>
              </w:rPr>
            </w:pPr>
            <w:r w:rsidRPr="009E5DAC">
              <w:rPr>
                <w:b/>
                <w:bCs/>
              </w:rPr>
              <w:lastRenderedPageBreak/>
              <w:t>Course Type</w:t>
            </w:r>
          </w:p>
        </w:tc>
        <w:tc>
          <w:tcPr>
            <w:tcW w:w="493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C030B32" w14:textId="77777777" w:rsidR="007E38CF" w:rsidRPr="009E5DAC" w:rsidRDefault="007E38CF" w:rsidP="00B24F27">
            <w:pPr>
              <w:rPr>
                <w:b/>
                <w:bCs/>
              </w:rPr>
            </w:pPr>
            <w:r w:rsidRPr="009E5DAC">
              <w:rPr>
                <w:b/>
                <w:bCs/>
              </w:rPr>
              <w:t>Core Thematic Focus Areas</w:t>
            </w:r>
          </w:p>
        </w:tc>
        <w:tc>
          <w:tcPr>
            <w:tcW w:w="2786" w:type="dxa"/>
            <w:tcBorders>
              <w:top w:val="single" w:sz="6" w:space="0" w:color="E6E6E6"/>
              <w:left w:val="single" w:sz="6" w:space="0" w:color="E6E6E6"/>
              <w:bottom w:val="single" w:sz="6" w:space="0" w:color="E6E6E6"/>
              <w:right w:val="single" w:sz="6" w:space="0" w:color="E6E6E6"/>
            </w:tcBorders>
            <w:shd w:val="clear" w:color="auto" w:fill="F5F5F5"/>
          </w:tcPr>
          <w:p w14:paraId="4A2A9BFF" w14:textId="2BC32ABE" w:rsidR="007E38CF" w:rsidRPr="007E38CF" w:rsidRDefault="00FF6E20" w:rsidP="009E5DAC">
            <w:pPr>
              <w:rPr>
                <w:b/>
                <w:bCs/>
              </w:rPr>
            </w:pPr>
            <w:r>
              <w:rPr>
                <w:b/>
                <w:bCs/>
              </w:rPr>
              <w:t>Learner Outcomes</w:t>
            </w:r>
          </w:p>
        </w:tc>
      </w:tr>
      <w:tr w:rsidR="007E38CF" w:rsidRPr="009E5DAC" w14:paraId="2F47F9D9" w14:textId="0E0995AB" w:rsidTr="00B672F1">
        <w:trPr>
          <w:tblCellSpacing w:w="15" w:type="dxa"/>
        </w:trPr>
        <w:tc>
          <w:tcPr>
            <w:tcW w:w="1507" w:type="dxa"/>
            <w:tcBorders>
              <w:top w:val="single" w:sz="6" w:space="0" w:color="E6E6E6"/>
              <w:left w:val="single" w:sz="6" w:space="0" w:color="E6E6E6"/>
              <w:bottom w:val="single" w:sz="6" w:space="0" w:color="E6E6E6"/>
              <w:right w:val="single" w:sz="6" w:space="0" w:color="E6E6E6"/>
            </w:tcBorders>
            <w:vAlign w:val="center"/>
            <w:hideMark/>
          </w:tcPr>
          <w:p w14:paraId="184E7B2F" w14:textId="77777777" w:rsidR="007E38CF" w:rsidRPr="009E5DAC" w:rsidRDefault="007E38CF" w:rsidP="009E5DAC">
            <w:pPr>
              <w:rPr>
                <w:b/>
                <w:bCs/>
              </w:rPr>
            </w:pPr>
            <w:r w:rsidRPr="009E5DAC">
              <w:rPr>
                <w:b/>
                <w:bCs/>
              </w:rPr>
              <w:t>Executive Courses Focus On</w:t>
            </w:r>
          </w:p>
        </w:tc>
        <w:tc>
          <w:tcPr>
            <w:tcW w:w="4931" w:type="dxa"/>
            <w:tcBorders>
              <w:top w:val="single" w:sz="6" w:space="0" w:color="E6E6E6"/>
              <w:left w:val="single" w:sz="6" w:space="0" w:color="E6E6E6"/>
              <w:bottom w:val="single" w:sz="6" w:space="0" w:color="E6E6E6"/>
              <w:right w:val="single" w:sz="6" w:space="0" w:color="E6E6E6"/>
            </w:tcBorders>
            <w:vAlign w:val="center"/>
            <w:hideMark/>
          </w:tcPr>
          <w:p w14:paraId="15D88A8D" w14:textId="66B60DA0" w:rsidR="007E38CF" w:rsidRPr="009E5DAC" w:rsidRDefault="007E38CF" w:rsidP="009E5DAC">
            <w:r w:rsidRPr="009E5DAC">
              <w:t xml:space="preserve">• Management &amp; Strategy (governance, leadership, planning, finance) </w:t>
            </w:r>
            <w:r w:rsidRPr="009E5DAC">
              <w:br/>
              <w:t xml:space="preserve">• Applied Law &amp; Regulation (compliance, foundations law) </w:t>
            </w:r>
            <w:r w:rsidRPr="009E5DAC">
              <w:br/>
              <w:t xml:space="preserve">• Practical Data &amp; Measurement (impact tools, reporting) </w:t>
            </w:r>
            <w:r w:rsidRPr="009E5DAC">
              <w:br/>
            </w:r>
          </w:p>
        </w:tc>
        <w:tc>
          <w:tcPr>
            <w:tcW w:w="2786" w:type="dxa"/>
            <w:tcBorders>
              <w:top w:val="single" w:sz="6" w:space="0" w:color="E6E6E6"/>
              <w:left w:val="single" w:sz="6" w:space="0" w:color="E6E6E6"/>
              <w:bottom w:val="single" w:sz="6" w:space="0" w:color="E6E6E6"/>
              <w:right w:val="single" w:sz="6" w:space="0" w:color="E6E6E6"/>
            </w:tcBorders>
          </w:tcPr>
          <w:p w14:paraId="6D565532" w14:textId="77777777" w:rsidR="00FF6E20" w:rsidRPr="00B530A0" w:rsidRDefault="00FF6E20" w:rsidP="00FF6E20">
            <w:r w:rsidRPr="00B530A0">
              <w:t xml:space="preserve">Ability to design strategies, develop fundraising campaigns, produce grant proposals, manage boards, and apply governance/legal frameworks </w:t>
            </w:r>
          </w:p>
          <w:p w14:paraId="20BF68FC" w14:textId="77777777" w:rsidR="007E38CF" w:rsidRPr="009E5DAC" w:rsidRDefault="007E38CF" w:rsidP="009E5DAC"/>
        </w:tc>
      </w:tr>
      <w:tr w:rsidR="007E38CF" w:rsidRPr="009E5DAC" w14:paraId="3F5F0DB0" w14:textId="53E87B29" w:rsidTr="00B672F1">
        <w:trPr>
          <w:tblCellSpacing w:w="15" w:type="dxa"/>
        </w:trPr>
        <w:tc>
          <w:tcPr>
            <w:tcW w:w="1507" w:type="dxa"/>
            <w:tcBorders>
              <w:top w:val="single" w:sz="6" w:space="0" w:color="E6E6E6"/>
              <w:left w:val="single" w:sz="6" w:space="0" w:color="E6E6E6"/>
              <w:bottom w:val="single" w:sz="6" w:space="0" w:color="E6E6E6"/>
              <w:right w:val="single" w:sz="6" w:space="0" w:color="E6E6E6"/>
            </w:tcBorders>
            <w:vAlign w:val="center"/>
            <w:hideMark/>
          </w:tcPr>
          <w:p w14:paraId="7748BD44" w14:textId="77777777" w:rsidR="007E38CF" w:rsidRPr="009E5DAC" w:rsidRDefault="007E38CF" w:rsidP="009E5DAC">
            <w:pPr>
              <w:rPr>
                <w:b/>
                <w:bCs/>
              </w:rPr>
            </w:pPr>
            <w:r w:rsidRPr="009E5DAC">
              <w:rPr>
                <w:b/>
                <w:bCs/>
              </w:rPr>
              <w:t>Academic Courses Focus On</w:t>
            </w:r>
          </w:p>
        </w:tc>
        <w:tc>
          <w:tcPr>
            <w:tcW w:w="4931" w:type="dxa"/>
            <w:tcBorders>
              <w:top w:val="single" w:sz="6" w:space="0" w:color="E6E6E6"/>
              <w:left w:val="single" w:sz="6" w:space="0" w:color="E6E6E6"/>
              <w:bottom w:val="single" w:sz="6" w:space="0" w:color="E6E6E6"/>
              <w:right w:val="single" w:sz="6" w:space="0" w:color="E6E6E6"/>
            </w:tcBorders>
            <w:vAlign w:val="center"/>
            <w:hideMark/>
          </w:tcPr>
          <w:p w14:paraId="3C91C5D3" w14:textId="32DBC693" w:rsidR="007E38CF" w:rsidRPr="004A55B6" w:rsidRDefault="007E38CF" w:rsidP="009B3316">
            <w:r w:rsidRPr="009E5DAC">
              <w:t xml:space="preserve">• Economics / Public Economics </w:t>
            </w:r>
            <w:r w:rsidRPr="009E5DAC">
              <w:br/>
              <w:t xml:space="preserve">• Sociology &amp; Political Theory </w:t>
            </w:r>
            <w:r w:rsidRPr="009E5DAC">
              <w:br/>
              <w:t xml:space="preserve">• Behavioral Science, Data &amp; Measurement </w:t>
            </w:r>
            <w:r w:rsidRPr="009E5DAC">
              <w:br/>
            </w:r>
          </w:p>
        </w:tc>
        <w:tc>
          <w:tcPr>
            <w:tcW w:w="2786" w:type="dxa"/>
            <w:tcBorders>
              <w:top w:val="single" w:sz="6" w:space="0" w:color="E6E6E6"/>
              <w:left w:val="single" w:sz="6" w:space="0" w:color="E6E6E6"/>
              <w:bottom w:val="single" w:sz="6" w:space="0" w:color="E6E6E6"/>
              <w:right w:val="single" w:sz="6" w:space="0" w:color="E6E6E6"/>
            </w:tcBorders>
          </w:tcPr>
          <w:p w14:paraId="244F100F" w14:textId="2E98CF77" w:rsidR="00FF6E20" w:rsidRPr="00B530A0" w:rsidRDefault="00FF6E20" w:rsidP="00FF6E20">
            <w:r w:rsidRPr="00B530A0">
              <w:t xml:space="preserve">Capability to interpret </w:t>
            </w:r>
            <w:r w:rsidR="004A55B6">
              <w:t>socio-economic</w:t>
            </w:r>
            <w:r w:rsidRPr="00B530A0">
              <w:t xml:space="preserve"> phenomena, critique systems, evaluate regulatory effects, produce academic work (e.g., theses) </w:t>
            </w:r>
          </w:p>
          <w:p w14:paraId="18C9A86B" w14:textId="02F89CF5" w:rsidR="007E38CF" w:rsidRPr="009E5DAC" w:rsidRDefault="004A55B6" w:rsidP="009B3316">
            <w:r w:rsidRPr="009E5DAC">
              <w:t xml:space="preserve">More conceptual, emphasizing theory </w:t>
            </w:r>
            <w:r w:rsidRPr="009E5DAC">
              <w:rPr>
                <w:rFonts w:ascii="Times New Roman" w:hAnsi="Times New Roman" w:cs="Times New Roman"/>
              </w:rPr>
              <w:t>→</w:t>
            </w:r>
            <w:r w:rsidRPr="009E5DAC">
              <w:t xml:space="preserve"> evidence </w:t>
            </w:r>
            <w:r w:rsidRPr="009E5DAC">
              <w:rPr>
                <w:rFonts w:ascii="Times New Roman" w:hAnsi="Times New Roman" w:cs="Times New Roman"/>
              </w:rPr>
              <w:t>→</w:t>
            </w:r>
            <w:r w:rsidRPr="009E5DAC">
              <w:t xml:space="preserve"> cases</w:t>
            </w:r>
          </w:p>
        </w:tc>
      </w:tr>
      <w:tr w:rsidR="007E38CF" w:rsidRPr="009E5DAC" w14:paraId="45FE666A" w14:textId="79A241DF" w:rsidTr="00B672F1">
        <w:trPr>
          <w:tblCellSpacing w:w="15" w:type="dxa"/>
        </w:trPr>
        <w:tc>
          <w:tcPr>
            <w:tcW w:w="1507" w:type="dxa"/>
            <w:tcBorders>
              <w:top w:val="single" w:sz="6" w:space="0" w:color="E6E6E6"/>
              <w:left w:val="single" w:sz="6" w:space="0" w:color="E6E6E6"/>
              <w:bottom w:val="single" w:sz="6" w:space="0" w:color="E6E6E6"/>
              <w:right w:val="single" w:sz="6" w:space="0" w:color="E6E6E6"/>
            </w:tcBorders>
            <w:vAlign w:val="center"/>
            <w:hideMark/>
          </w:tcPr>
          <w:p w14:paraId="3C9CF134" w14:textId="77777777" w:rsidR="007E38CF" w:rsidRPr="009E5DAC" w:rsidRDefault="007E38CF" w:rsidP="009E5DAC">
            <w:pPr>
              <w:rPr>
                <w:b/>
                <w:bCs/>
              </w:rPr>
            </w:pPr>
            <w:r w:rsidRPr="009E5DAC">
              <w:rPr>
                <w:b/>
                <w:bCs/>
              </w:rPr>
              <w:t>Mixed / Online Courses Focus On</w:t>
            </w:r>
          </w:p>
        </w:tc>
        <w:tc>
          <w:tcPr>
            <w:tcW w:w="4931" w:type="dxa"/>
            <w:tcBorders>
              <w:top w:val="single" w:sz="6" w:space="0" w:color="E6E6E6"/>
              <w:left w:val="single" w:sz="6" w:space="0" w:color="E6E6E6"/>
              <w:bottom w:val="single" w:sz="6" w:space="0" w:color="E6E6E6"/>
              <w:right w:val="single" w:sz="6" w:space="0" w:color="E6E6E6"/>
            </w:tcBorders>
            <w:vAlign w:val="center"/>
            <w:hideMark/>
          </w:tcPr>
          <w:p w14:paraId="5C72E373" w14:textId="2CECCC4B" w:rsidR="00F719BB" w:rsidRPr="00B530A0" w:rsidRDefault="007E38CF" w:rsidP="00F719BB">
            <w:pPr>
              <w:rPr>
                <w:b/>
                <w:bCs/>
              </w:rPr>
            </w:pPr>
            <w:r w:rsidRPr="009E5DAC">
              <w:t xml:space="preserve">• </w:t>
            </w:r>
            <w:r w:rsidR="00B4186A">
              <w:t xml:space="preserve">Management, </w:t>
            </w:r>
            <w:r w:rsidRPr="009E5DAC">
              <w:t xml:space="preserve">Entrepreneurship, Innovation, </w:t>
            </w:r>
            <w:r w:rsidR="006000E1" w:rsidRPr="009E5DAC">
              <w:t>Digitalization</w:t>
            </w:r>
            <w:r w:rsidRPr="009E5DAC">
              <w:t>, AI/Data</w:t>
            </w:r>
            <w:r w:rsidR="00FF6E20">
              <w:t xml:space="preserve">, </w:t>
            </w:r>
            <w:r w:rsidR="00F719BB" w:rsidRPr="00B530A0">
              <w:t>legal/economic frameworks used in practice</w:t>
            </w:r>
            <w:r w:rsidR="00F719BB" w:rsidRPr="00B530A0">
              <w:rPr>
                <w:b/>
                <w:bCs/>
              </w:rPr>
              <w:t xml:space="preserve"> </w:t>
            </w:r>
          </w:p>
          <w:p w14:paraId="6BDE30AE" w14:textId="3E8C9456" w:rsidR="007E38CF" w:rsidRPr="009E5DAC" w:rsidRDefault="007E38CF" w:rsidP="009E5DAC">
            <w:r w:rsidRPr="009E5DAC">
              <w:br/>
            </w:r>
          </w:p>
        </w:tc>
        <w:tc>
          <w:tcPr>
            <w:tcW w:w="2786" w:type="dxa"/>
            <w:tcBorders>
              <w:top w:val="single" w:sz="6" w:space="0" w:color="E6E6E6"/>
              <w:left w:val="single" w:sz="6" w:space="0" w:color="E6E6E6"/>
              <w:bottom w:val="single" w:sz="6" w:space="0" w:color="E6E6E6"/>
              <w:right w:val="single" w:sz="6" w:space="0" w:color="E6E6E6"/>
            </w:tcBorders>
          </w:tcPr>
          <w:p w14:paraId="28A938FF" w14:textId="6D88A85B" w:rsidR="00FF6E20" w:rsidRPr="00B530A0" w:rsidRDefault="00FF6E20" w:rsidP="00FF6E20">
            <w:r w:rsidRPr="00B530A0">
              <w:t xml:space="preserve">Ability to translate theory into practical </w:t>
            </w:r>
            <w:r w:rsidR="00BA2BA9">
              <w:t>innovation</w:t>
            </w:r>
            <w:r w:rsidRPr="00B530A0">
              <w:t xml:space="preserve">; apply digital/entrepreneurial concepts to NPO </w:t>
            </w:r>
            <w:proofErr w:type="gramStart"/>
            <w:r w:rsidRPr="00B530A0">
              <w:t>contexts;</w:t>
            </w:r>
            <w:proofErr w:type="gramEnd"/>
            <w:r w:rsidRPr="00B530A0">
              <w:t xml:space="preserve"> </w:t>
            </w:r>
          </w:p>
          <w:p w14:paraId="60C60DFB" w14:textId="77777777" w:rsidR="007E38CF" w:rsidRPr="009E5DAC" w:rsidRDefault="007E38CF" w:rsidP="009E5DAC"/>
        </w:tc>
      </w:tr>
    </w:tbl>
    <w:p w14:paraId="47EEBFEC" w14:textId="77777777" w:rsidR="00F315EE" w:rsidRDefault="00F315EE" w:rsidP="00536434">
      <w:pPr>
        <w:rPr>
          <w:b/>
          <w:bCs/>
        </w:rPr>
      </w:pPr>
    </w:p>
    <w:p w14:paraId="749B44B2" w14:textId="77777777" w:rsidR="00024EDF" w:rsidRDefault="00024EDF" w:rsidP="00536434">
      <w:pPr>
        <w:rPr>
          <w:b/>
          <w:bCs/>
        </w:rPr>
      </w:pPr>
    </w:p>
    <w:p w14:paraId="44DA91D0" w14:textId="77777777" w:rsidR="00024EDF" w:rsidRDefault="00024EDF" w:rsidP="00536434">
      <w:pPr>
        <w:rPr>
          <w:b/>
          <w:bCs/>
        </w:rPr>
      </w:pPr>
    </w:p>
    <w:p w14:paraId="252C8AF0" w14:textId="77777777" w:rsidR="00577CE0" w:rsidRDefault="00577CE0" w:rsidP="00536434">
      <w:pPr>
        <w:rPr>
          <w:b/>
          <w:bCs/>
        </w:rPr>
      </w:pPr>
    </w:p>
    <w:p w14:paraId="1E2D8ED8" w14:textId="77777777" w:rsidR="00024EDF" w:rsidRDefault="00024EDF" w:rsidP="00536434">
      <w:pPr>
        <w:rPr>
          <w:b/>
          <w:bCs/>
        </w:rPr>
      </w:pPr>
    </w:p>
    <w:p w14:paraId="6BAB3EE1" w14:textId="1018B03B" w:rsidR="00536434" w:rsidRPr="00536434" w:rsidRDefault="00536434" w:rsidP="00536434">
      <w:pPr>
        <w:rPr>
          <w:b/>
          <w:bCs/>
        </w:rPr>
      </w:pPr>
      <w:r w:rsidRPr="00536434">
        <w:rPr>
          <w:b/>
          <w:bCs/>
        </w:rPr>
        <w:t>4. Insights &amp; Implications</w:t>
      </w:r>
    </w:p>
    <w:p w14:paraId="23981F00" w14:textId="00B60CCE" w:rsidR="00536434" w:rsidRPr="00536434" w:rsidRDefault="00536434" w:rsidP="004B4358">
      <w:pPr>
        <w:numPr>
          <w:ilvl w:val="0"/>
          <w:numId w:val="17"/>
        </w:numPr>
        <w:jc w:val="both"/>
      </w:pPr>
      <w:r w:rsidRPr="00536434">
        <w:t xml:space="preserve">The ecosystem is weighted toward executive learning, consistent with philanthropic </w:t>
      </w:r>
      <w:r w:rsidR="00742D22" w:rsidRPr="00536434">
        <w:t>professionalization</w:t>
      </w:r>
      <w:r w:rsidRPr="00536434">
        <w:t xml:space="preserve"> trends (governance, leadership, impact). </w:t>
      </w:r>
      <w:hyperlink r:id="rId10" w:history="1"/>
    </w:p>
    <w:p w14:paraId="1DEA04B7" w14:textId="5F394732" w:rsidR="00536434" w:rsidRPr="00536434" w:rsidRDefault="00536434" w:rsidP="004B4358">
      <w:pPr>
        <w:numPr>
          <w:ilvl w:val="0"/>
          <w:numId w:val="17"/>
        </w:numPr>
        <w:jc w:val="both"/>
      </w:pPr>
      <w:r w:rsidRPr="00536434">
        <w:t xml:space="preserve">Digital provision is low, which restricts </w:t>
      </w:r>
      <w:r w:rsidR="001162F8">
        <w:t>out</w:t>
      </w:r>
      <w:r w:rsidRPr="00536434">
        <w:t>reach, especially for practitioners outside major hubs.</w:t>
      </w:r>
    </w:p>
    <w:p w14:paraId="35C39F6C" w14:textId="77777777" w:rsidR="00536434" w:rsidRPr="00536434" w:rsidRDefault="00536434" w:rsidP="004B4358">
      <w:pPr>
        <w:numPr>
          <w:ilvl w:val="0"/>
          <w:numId w:val="17"/>
        </w:numPr>
        <w:jc w:val="both"/>
      </w:pPr>
      <w:r w:rsidRPr="00536434">
        <w:t>Swiss institutions act as the gravitational center, shaping both language use and thematic emphasis across the landscape.</w:t>
      </w:r>
    </w:p>
    <w:p w14:paraId="2CC7BBE4" w14:textId="47541338" w:rsidR="00536434" w:rsidRPr="00536434" w:rsidRDefault="00536434" w:rsidP="004B4358">
      <w:pPr>
        <w:numPr>
          <w:ilvl w:val="0"/>
          <w:numId w:val="17"/>
        </w:numPr>
        <w:jc w:val="both"/>
      </w:pPr>
      <w:r w:rsidRPr="00536434">
        <w:lastRenderedPageBreak/>
        <w:t>Academic courses provide depth, while executive courses offer applied skill</w:t>
      </w:r>
      <w:r w:rsidRPr="00536434">
        <w:noBreakHyphen/>
        <w:t>building.</w:t>
      </w:r>
    </w:p>
    <w:p w14:paraId="393958C0" w14:textId="77777777" w:rsidR="00665125" w:rsidRDefault="00665125" w:rsidP="00536434">
      <w:pPr>
        <w:rPr>
          <w:b/>
          <w:bCs/>
        </w:rPr>
      </w:pPr>
    </w:p>
    <w:p w14:paraId="1CC8642D" w14:textId="4982C7D7" w:rsidR="00536434" w:rsidRDefault="00536434" w:rsidP="00536434">
      <w:pPr>
        <w:rPr>
          <w:b/>
          <w:bCs/>
        </w:rPr>
      </w:pPr>
      <w:r w:rsidRPr="00536434">
        <w:rPr>
          <w:b/>
          <w:bCs/>
        </w:rPr>
        <w:t>5. Roundtable Discussion Questions</w:t>
      </w:r>
    </w:p>
    <w:p w14:paraId="372D7258" w14:textId="1C08D2F9" w:rsidR="0077765B" w:rsidRPr="00B21C8D" w:rsidRDefault="007E0E68" w:rsidP="007E0E68">
      <w:pPr>
        <w:pStyle w:val="Lijstalinea"/>
        <w:numPr>
          <w:ilvl w:val="0"/>
          <w:numId w:val="24"/>
        </w:numPr>
      </w:pPr>
      <w:r w:rsidRPr="00B21C8D">
        <w:t xml:space="preserve">Given that the balance leans towards executive, </w:t>
      </w:r>
      <w:r w:rsidR="00E92E0F">
        <w:t xml:space="preserve">in-person, non-English, Swiss-centered, what might drive or incentivize ERNOP (institutional) members </w:t>
      </w:r>
      <w:r w:rsidR="00F244AF">
        <w:t>to develop</w:t>
      </w:r>
      <w:r w:rsidR="00E92E0F">
        <w:t xml:space="preserve"> courses to fill the gap (Online, English, pan-European</w:t>
      </w:r>
      <w:r w:rsidR="00B21C8D">
        <w:t>)?</w:t>
      </w:r>
      <w:r w:rsidR="00D30FD7">
        <w:t xml:space="preserve"> </w:t>
      </w:r>
    </w:p>
    <w:p w14:paraId="7AB688A1" w14:textId="6F36F7A5" w:rsidR="00BC6835" w:rsidRPr="00536434" w:rsidRDefault="00B21C8D" w:rsidP="00665125">
      <w:pPr>
        <w:numPr>
          <w:ilvl w:val="0"/>
          <w:numId w:val="21"/>
        </w:numPr>
      </w:pPr>
      <w:r>
        <w:t>Thematic</w:t>
      </w:r>
      <w:r w:rsidR="00F244AF">
        <w:t xml:space="preserve"> Coverage </w:t>
      </w:r>
      <w:r>
        <w:t xml:space="preserve">- </w:t>
      </w:r>
      <w:r w:rsidR="00346B70">
        <w:t xml:space="preserve">What are thematic blind spots? What are we missing? </w:t>
      </w:r>
    </w:p>
    <w:sectPr w:rsidR="00BC6835" w:rsidRPr="00536434">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E324" w14:textId="77777777" w:rsidR="00A67C75" w:rsidRDefault="00A67C75" w:rsidP="00A61351">
      <w:pPr>
        <w:spacing w:after="0" w:line="240" w:lineRule="auto"/>
      </w:pPr>
      <w:r>
        <w:separator/>
      </w:r>
    </w:p>
  </w:endnote>
  <w:endnote w:type="continuationSeparator" w:id="0">
    <w:p w14:paraId="2465D879" w14:textId="77777777" w:rsidR="00A67C75" w:rsidRDefault="00A67C75" w:rsidP="00A6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Hebrew">
    <w:altName w:val="Arial"/>
    <w:charset w:val="00"/>
    <w:family w:val="auto"/>
    <w:pitch w:val="variable"/>
    <w:sig w:usb0="00000803" w:usb1="4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ssistant">
    <w:charset w:val="B1"/>
    <w:family w:val="auto"/>
    <w:pitch w:val="variable"/>
    <w:sig w:usb0="A00008FF" w:usb1="4000204B"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E926" w14:textId="77777777" w:rsidR="00A67C75" w:rsidRDefault="00A67C75" w:rsidP="00A61351">
      <w:pPr>
        <w:spacing w:after="0" w:line="240" w:lineRule="auto"/>
      </w:pPr>
      <w:r>
        <w:separator/>
      </w:r>
    </w:p>
  </w:footnote>
  <w:footnote w:type="continuationSeparator" w:id="0">
    <w:p w14:paraId="6E04CAFC" w14:textId="77777777" w:rsidR="00A67C75" w:rsidRDefault="00A67C75" w:rsidP="00A61351">
      <w:pPr>
        <w:spacing w:after="0" w:line="240" w:lineRule="auto"/>
      </w:pPr>
      <w:r>
        <w:continuationSeparator/>
      </w:r>
    </w:p>
  </w:footnote>
  <w:footnote w:id="1">
    <w:p w14:paraId="082A52A9" w14:textId="77777777" w:rsidR="008A05A0" w:rsidRPr="00536434" w:rsidRDefault="008A05A0" w:rsidP="008A05A0">
      <w:pPr>
        <w:pStyle w:val="Voetnoottekst"/>
      </w:pPr>
      <w:r>
        <w:rPr>
          <w:rStyle w:val="Voetnootmarkering"/>
        </w:rPr>
        <w:footnoteRef/>
      </w:r>
      <w:r>
        <w:t xml:space="preserve"> </w:t>
      </w:r>
      <w:r w:rsidRPr="00536434">
        <w:t xml:space="preserve">This </w:t>
      </w:r>
      <w:r>
        <w:t>summary</w:t>
      </w:r>
      <w:r w:rsidRPr="00536434">
        <w:t xml:space="preserve"> is meant to orient </w:t>
      </w:r>
      <w:r w:rsidRPr="0056445C">
        <w:t>the</w:t>
      </w:r>
      <w:r w:rsidRPr="00536434">
        <w:t xml:space="preserve"> discussions and support shared understanding of the landscape.</w:t>
      </w:r>
      <w:r w:rsidRPr="0056445C">
        <w:t xml:space="preserve"> </w:t>
      </w:r>
      <w:r w:rsidRPr="00536434">
        <w:t xml:space="preserve">Please use it to guide your reflections during the </w:t>
      </w:r>
      <w:r w:rsidRPr="0056445C">
        <w:t>Meetup</w:t>
      </w:r>
      <w:r w:rsidRPr="00536434">
        <w:t>.</w:t>
      </w:r>
    </w:p>
    <w:p w14:paraId="5AB1E22D" w14:textId="77777777" w:rsidR="008A05A0" w:rsidRDefault="008A05A0" w:rsidP="008A05A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7826" w14:textId="2D48C97C" w:rsidR="0026199F" w:rsidRDefault="0026199F" w:rsidP="00667965">
    <w:pPr>
      <w:pStyle w:val="Koptekst"/>
    </w:pPr>
    <w:r>
      <w:rPr>
        <w:noProof/>
      </w:rPr>
      <w:drawing>
        <wp:inline distT="0" distB="0" distL="0" distR="0" wp14:anchorId="68DE2BE2" wp14:editId="2E467464">
          <wp:extent cx="1794493" cy="574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RNOP LOGO.PNG"/>
                  <pic:cNvPicPr/>
                </pic:nvPicPr>
                <pic:blipFill>
                  <a:blip r:embed="rId1">
                    <a:extLst>
                      <a:ext uri="{28A0092B-C50C-407E-A947-70E740481C1C}">
                        <a14:useLocalDpi xmlns:a14="http://schemas.microsoft.com/office/drawing/2010/main" val="0"/>
                      </a:ext>
                    </a:extLst>
                  </a:blip>
                  <a:stretch>
                    <a:fillRect/>
                  </a:stretch>
                </pic:blipFill>
                <pic:spPr>
                  <a:xfrm>
                    <a:off x="0" y="0"/>
                    <a:ext cx="1906927" cy="610166"/>
                  </a:xfrm>
                  <a:prstGeom prst="rect">
                    <a:avLst/>
                  </a:prstGeom>
                </pic:spPr>
              </pic:pic>
            </a:graphicData>
          </a:graphic>
        </wp:inline>
      </w:drawing>
    </w:r>
    <w:r w:rsidR="00667965">
      <w:rPr>
        <w:b/>
        <w:bCs/>
      </w:rPr>
      <w:tab/>
    </w:r>
    <w:r w:rsidR="00667965">
      <w:rPr>
        <w:b/>
        <w:bCs/>
      </w:rPr>
      <w:tab/>
    </w:r>
    <w:r w:rsidR="00667965" w:rsidRPr="00667965">
      <w:rPr>
        <w:b/>
        <w:bCs/>
      </w:rPr>
      <w:t>ERNOP Meetup #2 March 2026</w:t>
    </w:r>
  </w:p>
  <w:p w14:paraId="75F862AE" w14:textId="77777777" w:rsidR="00FD7BFE" w:rsidRDefault="00FD7BFE" w:rsidP="00FD7BFE">
    <w:pPr>
      <w:pStyle w:val="Koptekst"/>
      <w:ind w:left="1080" w:firstLine="4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69C5"/>
    <w:multiLevelType w:val="multilevel"/>
    <w:tmpl w:val="106A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7985"/>
    <w:multiLevelType w:val="multilevel"/>
    <w:tmpl w:val="7A58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77E8C"/>
    <w:multiLevelType w:val="multilevel"/>
    <w:tmpl w:val="2BF8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B0FCF"/>
    <w:multiLevelType w:val="multilevel"/>
    <w:tmpl w:val="517C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D1BF7"/>
    <w:multiLevelType w:val="multilevel"/>
    <w:tmpl w:val="F4C8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D083A"/>
    <w:multiLevelType w:val="multilevel"/>
    <w:tmpl w:val="A852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63CC3"/>
    <w:multiLevelType w:val="multilevel"/>
    <w:tmpl w:val="7C48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C340A"/>
    <w:multiLevelType w:val="multilevel"/>
    <w:tmpl w:val="2978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836FDD"/>
    <w:multiLevelType w:val="multilevel"/>
    <w:tmpl w:val="A604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99194E"/>
    <w:multiLevelType w:val="hybridMultilevel"/>
    <w:tmpl w:val="1C5EC46C"/>
    <w:lvl w:ilvl="0" w:tplc="D906328C">
      <w:start w:val="1"/>
      <w:numFmt w:val="bullet"/>
      <w:lvlText w:val="•"/>
      <w:lvlJc w:val="left"/>
      <w:pPr>
        <w:tabs>
          <w:tab w:val="num" w:pos="720"/>
        </w:tabs>
        <w:ind w:left="720" w:hanging="360"/>
      </w:pPr>
      <w:rPr>
        <w:rFonts w:ascii="Times New Roman" w:hAnsi="Times New Roman" w:hint="default"/>
      </w:rPr>
    </w:lvl>
    <w:lvl w:ilvl="1" w:tplc="ADDED2EE" w:tentative="1">
      <w:start w:val="1"/>
      <w:numFmt w:val="bullet"/>
      <w:lvlText w:val="•"/>
      <w:lvlJc w:val="left"/>
      <w:pPr>
        <w:tabs>
          <w:tab w:val="num" w:pos="1440"/>
        </w:tabs>
        <w:ind w:left="1440" w:hanging="360"/>
      </w:pPr>
      <w:rPr>
        <w:rFonts w:ascii="Times New Roman" w:hAnsi="Times New Roman" w:hint="default"/>
      </w:rPr>
    </w:lvl>
    <w:lvl w:ilvl="2" w:tplc="9CD40260" w:tentative="1">
      <w:start w:val="1"/>
      <w:numFmt w:val="bullet"/>
      <w:lvlText w:val="•"/>
      <w:lvlJc w:val="left"/>
      <w:pPr>
        <w:tabs>
          <w:tab w:val="num" w:pos="2160"/>
        </w:tabs>
        <w:ind w:left="2160" w:hanging="360"/>
      </w:pPr>
      <w:rPr>
        <w:rFonts w:ascii="Times New Roman" w:hAnsi="Times New Roman" w:hint="default"/>
      </w:rPr>
    </w:lvl>
    <w:lvl w:ilvl="3" w:tplc="98348BC8" w:tentative="1">
      <w:start w:val="1"/>
      <w:numFmt w:val="bullet"/>
      <w:lvlText w:val="•"/>
      <w:lvlJc w:val="left"/>
      <w:pPr>
        <w:tabs>
          <w:tab w:val="num" w:pos="2880"/>
        </w:tabs>
        <w:ind w:left="2880" w:hanging="360"/>
      </w:pPr>
      <w:rPr>
        <w:rFonts w:ascii="Times New Roman" w:hAnsi="Times New Roman" w:hint="default"/>
      </w:rPr>
    </w:lvl>
    <w:lvl w:ilvl="4" w:tplc="0A466EC6" w:tentative="1">
      <w:start w:val="1"/>
      <w:numFmt w:val="bullet"/>
      <w:lvlText w:val="•"/>
      <w:lvlJc w:val="left"/>
      <w:pPr>
        <w:tabs>
          <w:tab w:val="num" w:pos="3600"/>
        </w:tabs>
        <w:ind w:left="3600" w:hanging="360"/>
      </w:pPr>
      <w:rPr>
        <w:rFonts w:ascii="Times New Roman" w:hAnsi="Times New Roman" w:hint="default"/>
      </w:rPr>
    </w:lvl>
    <w:lvl w:ilvl="5" w:tplc="1FA437B8" w:tentative="1">
      <w:start w:val="1"/>
      <w:numFmt w:val="bullet"/>
      <w:lvlText w:val="•"/>
      <w:lvlJc w:val="left"/>
      <w:pPr>
        <w:tabs>
          <w:tab w:val="num" w:pos="4320"/>
        </w:tabs>
        <w:ind w:left="4320" w:hanging="360"/>
      </w:pPr>
      <w:rPr>
        <w:rFonts w:ascii="Times New Roman" w:hAnsi="Times New Roman" w:hint="default"/>
      </w:rPr>
    </w:lvl>
    <w:lvl w:ilvl="6" w:tplc="143C8ECC" w:tentative="1">
      <w:start w:val="1"/>
      <w:numFmt w:val="bullet"/>
      <w:lvlText w:val="•"/>
      <w:lvlJc w:val="left"/>
      <w:pPr>
        <w:tabs>
          <w:tab w:val="num" w:pos="5040"/>
        </w:tabs>
        <w:ind w:left="5040" w:hanging="360"/>
      </w:pPr>
      <w:rPr>
        <w:rFonts w:ascii="Times New Roman" w:hAnsi="Times New Roman" w:hint="default"/>
      </w:rPr>
    </w:lvl>
    <w:lvl w:ilvl="7" w:tplc="9184100C" w:tentative="1">
      <w:start w:val="1"/>
      <w:numFmt w:val="bullet"/>
      <w:lvlText w:val="•"/>
      <w:lvlJc w:val="left"/>
      <w:pPr>
        <w:tabs>
          <w:tab w:val="num" w:pos="5760"/>
        </w:tabs>
        <w:ind w:left="5760" w:hanging="360"/>
      </w:pPr>
      <w:rPr>
        <w:rFonts w:ascii="Times New Roman" w:hAnsi="Times New Roman" w:hint="default"/>
      </w:rPr>
    </w:lvl>
    <w:lvl w:ilvl="8" w:tplc="DA7E95E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90226EE"/>
    <w:multiLevelType w:val="multilevel"/>
    <w:tmpl w:val="5424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D33EC9"/>
    <w:multiLevelType w:val="hybridMultilevel"/>
    <w:tmpl w:val="3CF4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C9116E"/>
    <w:multiLevelType w:val="multilevel"/>
    <w:tmpl w:val="ACAA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9764D9"/>
    <w:multiLevelType w:val="multilevel"/>
    <w:tmpl w:val="27707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491A23"/>
    <w:multiLevelType w:val="multilevel"/>
    <w:tmpl w:val="E9AA9B3C"/>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ABA41CB"/>
    <w:multiLevelType w:val="hybridMultilevel"/>
    <w:tmpl w:val="B26A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02904"/>
    <w:multiLevelType w:val="hybridMultilevel"/>
    <w:tmpl w:val="E4426570"/>
    <w:lvl w:ilvl="0" w:tplc="04090001">
      <w:start w:val="1"/>
      <w:numFmt w:val="bullet"/>
      <w:lvlText w:val=""/>
      <w:lvlJc w:val="left"/>
      <w:pPr>
        <w:tabs>
          <w:tab w:val="num" w:pos="720"/>
        </w:tabs>
        <w:ind w:left="720" w:hanging="360"/>
      </w:pPr>
      <w:rPr>
        <w:rFonts w:ascii="Symbol" w:hAnsi="Symbol" w:hint="default"/>
      </w:rPr>
    </w:lvl>
    <w:lvl w:ilvl="1" w:tplc="EF5404DC" w:tentative="1">
      <w:start w:val="1"/>
      <w:numFmt w:val="decimal"/>
      <w:lvlText w:val="%2."/>
      <w:lvlJc w:val="left"/>
      <w:pPr>
        <w:tabs>
          <w:tab w:val="num" w:pos="1440"/>
        </w:tabs>
        <w:ind w:left="1440" w:hanging="360"/>
      </w:pPr>
    </w:lvl>
    <w:lvl w:ilvl="2" w:tplc="A52C3B48" w:tentative="1">
      <w:start w:val="1"/>
      <w:numFmt w:val="decimal"/>
      <w:lvlText w:val="%3."/>
      <w:lvlJc w:val="left"/>
      <w:pPr>
        <w:tabs>
          <w:tab w:val="num" w:pos="2160"/>
        </w:tabs>
        <w:ind w:left="2160" w:hanging="360"/>
      </w:pPr>
    </w:lvl>
    <w:lvl w:ilvl="3" w:tplc="BB6CB1AE" w:tentative="1">
      <w:start w:val="1"/>
      <w:numFmt w:val="decimal"/>
      <w:lvlText w:val="%4."/>
      <w:lvlJc w:val="left"/>
      <w:pPr>
        <w:tabs>
          <w:tab w:val="num" w:pos="2880"/>
        </w:tabs>
        <w:ind w:left="2880" w:hanging="360"/>
      </w:pPr>
    </w:lvl>
    <w:lvl w:ilvl="4" w:tplc="DC180F48" w:tentative="1">
      <w:start w:val="1"/>
      <w:numFmt w:val="decimal"/>
      <w:lvlText w:val="%5."/>
      <w:lvlJc w:val="left"/>
      <w:pPr>
        <w:tabs>
          <w:tab w:val="num" w:pos="3600"/>
        </w:tabs>
        <w:ind w:left="3600" w:hanging="360"/>
      </w:pPr>
    </w:lvl>
    <w:lvl w:ilvl="5" w:tplc="BFCA372E" w:tentative="1">
      <w:start w:val="1"/>
      <w:numFmt w:val="decimal"/>
      <w:lvlText w:val="%6."/>
      <w:lvlJc w:val="left"/>
      <w:pPr>
        <w:tabs>
          <w:tab w:val="num" w:pos="4320"/>
        </w:tabs>
        <w:ind w:left="4320" w:hanging="360"/>
      </w:pPr>
    </w:lvl>
    <w:lvl w:ilvl="6" w:tplc="2A545F48" w:tentative="1">
      <w:start w:val="1"/>
      <w:numFmt w:val="decimal"/>
      <w:lvlText w:val="%7."/>
      <w:lvlJc w:val="left"/>
      <w:pPr>
        <w:tabs>
          <w:tab w:val="num" w:pos="5040"/>
        </w:tabs>
        <w:ind w:left="5040" w:hanging="360"/>
      </w:pPr>
    </w:lvl>
    <w:lvl w:ilvl="7" w:tplc="B01837D8" w:tentative="1">
      <w:start w:val="1"/>
      <w:numFmt w:val="decimal"/>
      <w:lvlText w:val="%8."/>
      <w:lvlJc w:val="left"/>
      <w:pPr>
        <w:tabs>
          <w:tab w:val="num" w:pos="5760"/>
        </w:tabs>
        <w:ind w:left="5760" w:hanging="360"/>
      </w:pPr>
    </w:lvl>
    <w:lvl w:ilvl="8" w:tplc="AE80F2B6" w:tentative="1">
      <w:start w:val="1"/>
      <w:numFmt w:val="decimal"/>
      <w:lvlText w:val="%9."/>
      <w:lvlJc w:val="left"/>
      <w:pPr>
        <w:tabs>
          <w:tab w:val="num" w:pos="6480"/>
        </w:tabs>
        <w:ind w:left="6480" w:hanging="360"/>
      </w:pPr>
    </w:lvl>
  </w:abstractNum>
  <w:abstractNum w:abstractNumId="17" w15:restartNumberingAfterBreak="0">
    <w:nsid w:val="6B183D82"/>
    <w:multiLevelType w:val="multilevel"/>
    <w:tmpl w:val="AB8E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5C65AC"/>
    <w:multiLevelType w:val="multilevel"/>
    <w:tmpl w:val="7F26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423117"/>
    <w:multiLevelType w:val="hybridMultilevel"/>
    <w:tmpl w:val="0212E64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3B0028A"/>
    <w:multiLevelType w:val="hybridMultilevel"/>
    <w:tmpl w:val="0CBE166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4326479"/>
    <w:multiLevelType w:val="hybridMultilevel"/>
    <w:tmpl w:val="4FD279B2"/>
    <w:lvl w:ilvl="0" w:tplc="42D08826">
      <w:start w:val="1"/>
      <w:numFmt w:val="bullet"/>
      <w:pStyle w:val="Lijstalinea"/>
      <w:lvlText w:val=""/>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22" w15:restartNumberingAfterBreak="0">
    <w:nsid w:val="77AF4856"/>
    <w:multiLevelType w:val="hybridMultilevel"/>
    <w:tmpl w:val="B0C6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395656">
    <w:abstractNumId w:val="21"/>
  </w:num>
  <w:num w:numId="2" w16cid:durableId="407658533">
    <w:abstractNumId w:val="21"/>
  </w:num>
  <w:num w:numId="3" w16cid:durableId="12346237">
    <w:abstractNumId w:val="14"/>
  </w:num>
  <w:num w:numId="4" w16cid:durableId="102112140">
    <w:abstractNumId w:val="15"/>
  </w:num>
  <w:num w:numId="5" w16cid:durableId="526992689">
    <w:abstractNumId w:val="16"/>
  </w:num>
  <w:num w:numId="6" w16cid:durableId="1447193269">
    <w:abstractNumId w:val="11"/>
  </w:num>
  <w:num w:numId="7" w16cid:durableId="3677349">
    <w:abstractNumId w:val="22"/>
  </w:num>
  <w:num w:numId="8" w16cid:durableId="515581376">
    <w:abstractNumId w:val="13"/>
  </w:num>
  <w:num w:numId="9" w16cid:durableId="1382898743">
    <w:abstractNumId w:val="9"/>
  </w:num>
  <w:num w:numId="10" w16cid:durableId="1736779454">
    <w:abstractNumId w:val="4"/>
  </w:num>
  <w:num w:numId="11" w16cid:durableId="808280327">
    <w:abstractNumId w:val="18"/>
  </w:num>
  <w:num w:numId="12" w16cid:durableId="68770201">
    <w:abstractNumId w:val="1"/>
  </w:num>
  <w:num w:numId="13" w16cid:durableId="1232351415">
    <w:abstractNumId w:val="0"/>
  </w:num>
  <w:num w:numId="14" w16cid:durableId="764038714">
    <w:abstractNumId w:val="2"/>
  </w:num>
  <w:num w:numId="15" w16cid:durableId="424762698">
    <w:abstractNumId w:val="10"/>
  </w:num>
  <w:num w:numId="16" w16cid:durableId="685448264">
    <w:abstractNumId w:val="3"/>
  </w:num>
  <w:num w:numId="17" w16cid:durableId="1230766302">
    <w:abstractNumId w:val="6"/>
  </w:num>
  <w:num w:numId="18" w16cid:durableId="1824615402">
    <w:abstractNumId w:val="17"/>
  </w:num>
  <w:num w:numId="19" w16cid:durableId="1032876610">
    <w:abstractNumId w:val="7"/>
  </w:num>
  <w:num w:numId="20" w16cid:durableId="893007226">
    <w:abstractNumId w:val="5"/>
  </w:num>
  <w:num w:numId="21" w16cid:durableId="981236171">
    <w:abstractNumId w:val="8"/>
  </w:num>
  <w:num w:numId="22" w16cid:durableId="898325298">
    <w:abstractNumId w:val="12"/>
  </w:num>
  <w:num w:numId="23" w16cid:durableId="1213269875">
    <w:abstractNumId w:val="20"/>
  </w:num>
  <w:num w:numId="24" w16cid:durableId="7104928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3D"/>
    <w:rsid w:val="00021409"/>
    <w:rsid w:val="00022873"/>
    <w:rsid w:val="00024EDF"/>
    <w:rsid w:val="0002558A"/>
    <w:rsid w:val="000378D5"/>
    <w:rsid w:val="00040B1D"/>
    <w:rsid w:val="0005423D"/>
    <w:rsid w:val="00073113"/>
    <w:rsid w:val="00084EAB"/>
    <w:rsid w:val="0009456E"/>
    <w:rsid w:val="000C36B9"/>
    <w:rsid w:val="000D3AA7"/>
    <w:rsid w:val="000D5921"/>
    <w:rsid w:val="001162F8"/>
    <w:rsid w:val="00154BA3"/>
    <w:rsid w:val="001B7163"/>
    <w:rsid w:val="001E5AA2"/>
    <w:rsid w:val="001F0CDA"/>
    <w:rsid w:val="0021772C"/>
    <w:rsid w:val="00217EA4"/>
    <w:rsid w:val="0026199F"/>
    <w:rsid w:val="002978D1"/>
    <w:rsid w:val="002E701A"/>
    <w:rsid w:val="002F7592"/>
    <w:rsid w:val="00307EC4"/>
    <w:rsid w:val="00346B70"/>
    <w:rsid w:val="00353F07"/>
    <w:rsid w:val="0036260A"/>
    <w:rsid w:val="003A62CD"/>
    <w:rsid w:val="004007F8"/>
    <w:rsid w:val="004061BE"/>
    <w:rsid w:val="00454178"/>
    <w:rsid w:val="004821B2"/>
    <w:rsid w:val="004842D9"/>
    <w:rsid w:val="004A4F71"/>
    <w:rsid w:val="004A55B6"/>
    <w:rsid w:val="004B4358"/>
    <w:rsid w:val="004C05DF"/>
    <w:rsid w:val="004C5CF0"/>
    <w:rsid w:val="004E720F"/>
    <w:rsid w:val="00536434"/>
    <w:rsid w:val="0056445C"/>
    <w:rsid w:val="00577CE0"/>
    <w:rsid w:val="005C3E5F"/>
    <w:rsid w:val="006000E1"/>
    <w:rsid w:val="00632E96"/>
    <w:rsid w:val="0064746E"/>
    <w:rsid w:val="00665125"/>
    <w:rsid w:val="00667965"/>
    <w:rsid w:val="006D5C6A"/>
    <w:rsid w:val="0073630F"/>
    <w:rsid w:val="00742D22"/>
    <w:rsid w:val="00771890"/>
    <w:rsid w:val="0077765B"/>
    <w:rsid w:val="007D02B1"/>
    <w:rsid w:val="007E0E68"/>
    <w:rsid w:val="007E38CF"/>
    <w:rsid w:val="007E3BFD"/>
    <w:rsid w:val="007F777D"/>
    <w:rsid w:val="0080438D"/>
    <w:rsid w:val="00807FF6"/>
    <w:rsid w:val="00845D41"/>
    <w:rsid w:val="00850493"/>
    <w:rsid w:val="00873555"/>
    <w:rsid w:val="00875834"/>
    <w:rsid w:val="00884A17"/>
    <w:rsid w:val="008912C8"/>
    <w:rsid w:val="008A05A0"/>
    <w:rsid w:val="008F251C"/>
    <w:rsid w:val="008F288C"/>
    <w:rsid w:val="009B3316"/>
    <w:rsid w:val="009B4C52"/>
    <w:rsid w:val="009C2E01"/>
    <w:rsid w:val="009E5DAC"/>
    <w:rsid w:val="00A17941"/>
    <w:rsid w:val="00A35C04"/>
    <w:rsid w:val="00A61351"/>
    <w:rsid w:val="00A67C75"/>
    <w:rsid w:val="00AB67E5"/>
    <w:rsid w:val="00AC75E1"/>
    <w:rsid w:val="00B2154A"/>
    <w:rsid w:val="00B21C8D"/>
    <w:rsid w:val="00B24F27"/>
    <w:rsid w:val="00B4186A"/>
    <w:rsid w:val="00B530A0"/>
    <w:rsid w:val="00B672F1"/>
    <w:rsid w:val="00B743C5"/>
    <w:rsid w:val="00BA2BA9"/>
    <w:rsid w:val="00BC6835"/>
    <w:rsid w:val="00BF4A68"/>
    <w:rsid w:val="00CB2AA5"/>
    <w:rsid w:val="00CC28AF"/>
    <w:rsid w:val="00CE6F80"/>
    <w:rsid w:val="00D30FD7"/>
    <w:rsid w:val="00D524BE"/>
    <w:rsid w:val="00D71A2E"/>
    <w:rsid w:val="00D9707F"/>
    <w:rsid w:val="00E201D0"/>
    <w:rsid w:val="00E466F1"/>
    <w:rsid w:val="00E92E0F"/>
    <w:rsid w:val="00F244AF"/>
    <w:rsid w:val="00F315EE"/>
    <w:rsid w:val="00F646DC"/>
    <w:rsid w:val="00F719BB"/>
    <w:rsid w:val="00F734D9"/>
    <w:rsid w:val="00F9359F"/>
    <w:rsid w:val="00FB2BFB"/>
    <w:rsid w:val="00FD7BFE"/>
    <w:rsid w:val="00FF6E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DF968"/>
  <w15:chartTrackingRefBased/>
  <w15:docId w15:val="{1FFDC357-F696-48B2-B724-13988056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Hebrew" w:eastAsiaTheme="minorHAnsi" w:hAnsi="Open Sans Hebrew" w:cs="Open Sans Hebrew"/>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6E2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Subtielebenadrukking">
    <w:name w:val="Subtle Emphasis"/>
    <w:basedOn w:val="Standaardalinea-lettertype"/>
    <w:uiPriority w:val="19"/>
    <w:qFormat/>
    <w:rsid w:val="00F646DC"/>
    <w:rPr>
      <w:b/>
      <w:i w:val="0"/>
      <w:iCs/>
      <w:color w:val="404040" w:themeColor="text1" w:themeTint="BF"/>
    </w:rPr>
  </w:style>
  <w:style w:type="paragraph" w:customStyle="1" w:styleId="HeadDoc">
    <w:name w:val="Head Doc"/>
    <w:basedOn w:val="Standaard"/>
    <w:link w:val="HeadDocChar"/>
    <w:autoRedefine/>
    <w:qFormat/>
    <w:rsid w:val="00F646DC"/>
    <w:pPr>
      <w:bidi/>
      <w:ind w:left="-625"/>
      <w:jc w:val="both"/>
    </w:pPr>
    <w:rPr>
      <w:rFonts w:ascii="Assistant" w:hAnsi="Assistant"/>
      <w:b/>
      <w:color w:val="000000"/>
      <w:sz w:val="26"/>
      <w:szCs w:val="24"/>
    </w:rPr>
  </w:style>
  <w:style w:type="character" w:customStyle="1" w:styleId="HeadDocChar">
    <w:name w:val="Head Doc Char"/>
    <w:basedOn w:val="Standaardalinea-lettertype"/>
    <w:link w:val="HeadDoc"/>
    <w:rsid w:val="00F646DC"/>
    <w:rPr>
      <w:rFonts w:ascii="Assistant" w:hAnsi="Assistant"/>
      <w:b/>
      <w:color w:val="000000"/>
      <w:sz w:val="26"/>
      <w:szCs w:val="24"/>
    </w:rPr>
  </w:style>
  <w:style w:type="paragraph" w:customStyle="1" w:styleId="Bullets">
    <w:name w:val="Bullets"/>
    <w:basedOn w:val="Lijstalinea"/>
    <w:link w:val="BulletsChar"/>
    <w:autoRedefine/>
    <w:qFormat/>
    <w:rsid w:val="00F646DC"/>
    <w:pPr>
      <w:numPr>
        <w:numId w:val="3"/>
      </w:numPr>
      <w:bidi/>
      <w:jc w:val="both"/>
    </w:pPr>
    <w:rPr>
      <w:rFonts w:ascii="Assistant" w:hAnsi="Assistant" w:cs="Arial"/>
      <w:color w:val="000000"/>
      <w:sz w:val="26"/>
      <w:szCs w:val="24"/>
    </w:rPr>
  </w:style>
  <w:style w:type="character" w:customStyle="1" w:styleId="BulletsChar">
    <w:name w:val="Bullets Char"/>
    <w:basedOn w:val="Standaardalinea-lettertype"/>
    <w:link w:val="Bullets"/>
    <w:rsid w:val="00F646DC"/>
    <w:rPr>
      <w:rFonts w:ascii="Assistant" w:hAnsi="Assistant" w:cs="Arial"/>
      <w:color w:val="000000"/>
      <w:sz w:val="26"/>
      <w:szCs w:val="24"/>
    </w:rPr>
  </w:style>
  <w:style w:type="paragraph" w:styleId="Lijstalinea">
    <w:name w:val="List Paragraph"/>
    <w:basedOn w:val="Standaard"/>
    <w:uiPriority w:val="34"/>
    <w:qFormat/>
    <w:rsid w:val="00F646DC"/>
    <w:pPr>
      <w:numPr>
        <w:numId w:val="2"/>
      </w:numPr>
      <w:contextualSpacing/>
    </w:pPr>
  </w:style>
  <w:style w:type="character" w:styleId="Hyperlink">
    <w:name w:val="Hyperlink"/>
    <w:basedOn w:val="Standaardalinea-lettertype"/>
    <w:uiPriority w:val="99"/>
    <w:unhideWhenUsed/>
    <w:rsid w:val="00BC6835"/>
    <w:rPr>
      <w:color w:val="0563C1" w:themeColor="hyperlink"/>
      <w:u w:val="single"/>
    </w:rPr>
  </w:style>
  <w:style w:type="paragraph" w:styleId="Voetnoottekst">
    <w:name w:val="footnote text"/>
    <w:basedOn w:val="Standaard"/>
    <w:link w:val="VoetnoottekstChar"/>
    <w:uiPriority w:val="99"/>
    <w:semiHidden/>
    <w:unhideWhenUsed/>
    <w:rsid w:val="00A6135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61351"/>
    <w:rPr>
      <w:sz w:val="20"/>
      <w:szCs w:val="20"/>
    </w:rPr>
  </w:style>
  <w:style w:type="character" w:styleId="Voetnootmarkering">
    <w:name w:val="footnote reference"/>
    <w:basedOn w:val="Standaardalinea-lettertype"/>
    <w:uiPriority w:val="99"/>
    <w:semiHidden/>
    <w:unhideWhenUsed/>
    <w:rsid w:val="00A61351"/>
    <w:rPr>
      <w:vertAlign w:val="superscript"/>
    </w:rPr>
  </w:style>
  <w:style w:type="paragraph" w:styleId="Eindnoottekst">
    <w:name w:val="endnote text"/>
    <w:basedOn w:val="Standaard"/>
    <w:link w:val="EindnoottekstChar"/>
    <w:uiPriority w:val="99"/>
    <w:semiHidden/>
    <w:unhideWhenUsed/>
    <w:rsid w:val="00850493"/>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850493"/>
    <w:rPr>
      <w:sz w:val="20"/>
      <w:szCs w:val="20"/>
    </w:rPr>
  </w:style>
  <w:style w:type="paragraph" w:styleId="Koptekst">
    <w:name w:val="header"/>
    <w:basedOn w:val="Standaard"/>
    <w:link w:val="KoptekstChar"/>
    <w:uiPriority w:val="99"/>
    <w:unhideWhenUsed/>
    <w:rsid w:val="00FD7BFE"/>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FD7BFE"/>
  </w:style>
  <w:style w:type="paragraph" w:styleId="Voettekst">
    <w:name w:val="footer"/>
    <w:basedOn w:val="Standaard"/>
    <w:link w:val="VoettekstChar"/>
    <w:uiPriority w:val="99"/>
    <w:unhideWhenUsed/>
    <w:rsid w:val="00FD7BFE"/>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FD7BFE"/>
  </w:style>
  <w:style w:type="table" w:styleId="Tabelraster">
    <w:name w:val="Table Grid"/>
    <w:basedOn w:val="Standaardtabel"/>
    <w:uiPriority w:val="39"/>
    <w:rsid w:val="00FD7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536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0946">
      <w:bodyDiv w:val="1"/>
      <w:marLeft w:val="0"/>
      <w:marRight w:val="0"/>
      <w:marTop w:val="0"/>
      <w:marBottom w:val="0"/>
      <w:divBdr>
        <w:top w:val="none" w:sz="0" w:space="0" w:color="auto"/>
        <w:left w:val="none" w:sz="0" w:space="0" w:color="auto"/>
        <w:bottom w:val="none" w:sz="0" w:space="0" w:color="auto"/>
        <w:right w:val="none" w:sz="0" w:space="0" w:color="auto"/>
      </w:divBdr>
      <w:divsChild>
        <w:div w:id="1921524058">
          <w:marLeft w:val="547"/>
          <w:marRight w:val="0"/>
          <w:marTop w:val="0"/>
          <w:marBottom w:val="0"/>
          <w:divBdr>
            <w:top w:val="none" w:sz="0" w:space="0" w:color="auto"/>
            <w:left w:val="none" w:sz="0" w:space="0" w:color="auto"/>
            <w:bottom w:val="none" w:sz="0" w:space="0" w:color="auto"/>
            <w:right w:val="none" w:sz="0" w:space="0" w:color="auto"/>
          </w:divBdr>
        </w:div>
      </w:divsChild>
    </w:div>
    <w:div w:id="117384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uex-my.sharepoint.com/personal/gfeit_tauex_tau_ac_il/_layouts/15/Doc.aspx?sourcedoc=%7BC222981F-FA3A-4315-A5AA-B165122019F7%7D&amp;file=Lead%20Discussion.docx&amp;action=default&amp;mobileredirect=tr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auex-my.sharepoint.com/personal/gfeit_tauex_tau_ac_il/_layouts/15/Doc.aspx?sourcedoc=%7BC222981F-FA3A-4315-A5AA-B165122019F7%7D&amp;file=Lead%20Discussion.docx&amp;action=default&amp;mobileredirect=true" TargetMode="External"/><Relationship Id="rId4" Type="http://schemas.openxmlformats.org/officeDocument/2006/relationships/settings" Target="settings.xml"/><Relationship Id="rId9" Type="http://schemas.openxmlformats.org/officeDocument/2006/relationships/hyperlink" Target="https://tauex-my.sharepoint.com/personal/gfeit_tauex_tau_ac_il/_layouts/15/Doc.aspx?sourcedoc=%7BC222981F-FA3A-4315-A5AA-B165122019F7%7D&amp;file=Lead%20Discussion.docx&amp;action=default&amp;mobileredirect=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DEA4A-D489-48A5-AB80-374DA96D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 Feit</dc:creator>
  <cp:keywords/>
  <dc:description/>
  <cp:lastModifiedBy>Barry Hoolwerf</cp:lastModifiedBy>
  <cp:revision>2</cp:revision>
  <dcterms:created xsi:type="dcterms:W3CDTF">2026-02-27T10:32:00Z</dcterms:created>
  <dcterms:modified xsi:type="dcterms:W3CDTF">2026-02-27T10:32:00Z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3842999e20460c7ff5f8241fd4fc4deff6cc778b3df9c010930472901d6708b4</vt:lpwstr>
  </property>
</Properties>
</file>