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ECC3" w14:textId="77777777" w:rsidR="00150ED2" w:rsidRPr="00D909D0" w:rsidRDefault="00150ED2">
      <w:pPr>
        <w:rPr>
          <w:rFonts w:eastAsia="Times New Roman" w:cstheme="minorHAnsi"/>
          <w:b/>
          <w:bCs/>
          <w:kern w:val="0"/>
          <w:sz w:val="20"/>
          <w:szCs w:val="20"/>
          <w:lang w:val="en-US"/>
          <w14:ligatures w14:val="none"/>
        </w:rPr>
      </w:pPr>
    </w:p>
    <w:p w14:paraId="7D056B34" w14:textId="0636BAAB" w:rsidR="00150ED2" w:rsidRPr="00D909D0" w:rsidRDefault="00150ED2" w:rsidP="00D909D0">
      <w:pPr>
        <w:pStyle w:val="NormalWeb"/>
        <w:shd w:val="clear" w:color="auto" w:fill="FFFFFF"/>
        <w:jc w:val="center"/>
        <w:rPr>
          <w:rFonts w:asciiTheme="minorHAnsi" w:hAnsiTheme="minorHAnsi" w:cstheme="minorHAnsi"/>
          <w:sz w:val="20"/>
          <w:szCs w:val="20"/>
        </w:rPr>
      </w:pPr>
      <w:r w:rsidRPr="00D909D0">
        <w:rPr>
          <w:rFonts w:asciiTheme="minorHAnsi" w:hAnsiTheme="minorHAnsi" w:cstheme="minorHAnsi"/>
          <w:b/>
          <w:bCs/>
          <w:color w:val="242424"/>
          <w:sz w:val="36"/>
          <w:szCs w:val="36"/>
        </w:rPr>
        <w:t>Evaluating Philanthropic Environment in 33 European Countries during 2018</w:t>
      </w:r>
      <w:r w:rsidR="00D22319" w:rsidRPr="00D909D0">
        <w:rPr>
          <w:rFonts w:asciiTheme="minorHAnsi" w:hAnsiTheme="minorHAnsi" w:cstheme="minorHAnsi"/>
          <w:b/>
          <w:bCs/>
          <w:color w:val="242424"/>
          <w:sz w:val="36"/>
          <w:szCs w:val="36"/>
        </w:rPr>
        <w:t>–</w:t>
      </w:r>
      <w:r w:rsidRPr="00D909D0">
        <w:rPr>
          <w:rFonts w:asciiTheme="minorHAnsi" w:hAnsiTheme="minorHAnsi" w:cstheme="minorHAnsi"/>
          <w:b/>
          <w:bCs/>
          <w:color w:val="242424"/>
          <w:sz w:val="36"/>
          <w:szCs w:val="36"/>
        </w:rPr>
        <w:t>2020</w:t>
      </w:r>
    </w:p>
    <w:p w14:paraId="2D1647F0" w14:textId="77777777" w:rsidR="00150ED2" w:rsidRPr="00D909D0" w:rsidRDefault="00150ED2" w:rsidP="00150ED2">
      <w:pPr>
        <w:pStyle w:val="NoSpacing"/>
        <w:rPr>
          <w:rFonts w:cstheme="minorHAnsi"/>
          <w:b/>
          <w:bCs/>
          <w:sz w:val="20"/>
          <w:szCs w:val="20"/>
        </w:rPr>
      </w:pPr>
    </w:p>
    <w:p w14:paraId="1206F3D5" w14:textId="0563E8DF" w:rsidR="00150ED2" w:rsidRPr="00D909D0" w:rsidRDefault="008671CA" w:rsidP="008671CA">
      <w:pPr>
        <w:pStyle w:val="NoSpacing"/>
        <w:rPr>
          <w:rFonts w:cstheme="minorHAnsi"/>
          <w:sz w:val="20"/>
          <w:szCs w:val="20"/>
        </w:rPr>
      </w:pPr>
      <w:r w:rsidRPr="008671CA">
        <w:rPr>
          <w:rFonts w:cstheme="minorHAnsi"/>
          <w:b/>
          <w:bCs/>
          <w:sz w:val="20"/>
          <w:szCs w:val="20"/>
        </w:rPr>
        <w:t xml:space="preserve">         </w:t>
      </w:r>
      <w:r w:rsidR="00150ED2" w:rsidRPr="00D909D0">
        <w:rPr>
          <w:rFonts w:cstheme="minorHAnsi"/>
          <w:sz w:val="20"/>
          <w:szCs w:val="20"/>
        </w:rPr>
        <w:t xml:space="preserve">Kinga Horvath </w:t>
      </w:r>
      <w:r w:rsidR="00150ED2" w:rsidRPr="00D909D0">
        <w:rPr>
          <w:rFonts w:cstheme="minorHAnsi"/>
          <w:sz w:val="20"/>
          <w:szCs w:val="20"/>
        </w:rPr>
        <w:tab/>
        <w:t xml:space="preserve">Indiana University, Lilly Family School of Philanthropy   </w:t>
      </w:r>
      <w:r w:rsidRPr="008671CA">
        <w:rPr>
          <w:rFonts w:cstheme="minorHAnsi"/>
          <w:sz w:val="20"/>
          <w:szCs w:val="20"/>
        </w:rPr>
        <w:t xml:space="preserve"> </w:t>
      </w:r>
      <w:r w:rsidR="00150ED2" w:rsidRPr="00D909D0">
        <w:rPr>
          <w:rFonts w:cstheme="minorHAnsi"/>
          <w:sz w:val="20"/>
          <w:szCs w:val="20"/>
        </w:rPr>
        <w:t>horvathk@iu.edu</w:t>
      </w:r>
    </w:p>
    <w:p w14:paraId="2FC4F6CA" w14:textId="24935E92" w:rsidR="00150ED2" w:rsidRPr="00D909D0" w:rsidRDefault="00150ED2" w:rsidP="00D909D0">
      <w:pPr>
        <w:pStyle w:val="NoSpacing"/>
        <w:jc w:val="center"/>
        <w:rPr>
          <w:rFonts w:cstheme="minorHAnsi"/>
          <w:sz w:val="20"/>
          <w:szCs w:val="20"/>
        </w:rPr>
      </w:pPr>
      <w:r w:rsidRPr="00D909D0">
        <w:rPr>
          <w:rFonts w:cstheme="minorHAnsi"/>
          <w:sz w:val="20"/>
          <w:szCs w:val="20"/>
        </w:rPr>
        <w:t>Edward Vaughan        Indiana University, Lilly Family School of Philanthropy    emvaugha@indiana.edu</w:t>
      </w:r>
    </w:p>
    <w:p w14:paraId="323C7701" w14:textId="64E96AC2" w:rsidR="00150ED2" w:rsidRPr="00D909D0" w:rsidRDefault="008671CA" w:rsidP="008671CA">
      <w:pPr>
        <w:pStyle w:val="NoSpacing"/>
        <w:rPr>
          <w:rFonts w:cstheme="minorHAnsi"/>
          <w:sz w:val="20"/>
          <w:szCs w:val="20"/>
        </w:rPr>
      </w:pPr>
      <w:r w:rsidRPr="008671CA">
        <w:rPr>
          <w:rFonts w:cstheme="minorHAnsi"/>
          <w:sz w:val="20"/>
          <w:szCs w:val="20"/>
        </w:rPr>
        <w:t xml:space="preserve">         </w:t>
      </w:r>
      <w:proofErr w:type="spellStart"/>
      <w:r w:rsidR="00150ED2" w:rsidRPr="00D909D0">
        <w:rPr>
          <w:rFonts w:cstheme="minorHAnsi"/>
          <w:sz w:val="20"/>
          <w:szCs w:val="20"/>
        </w:rPr>
        <w:t>Xiaonan</w:t>
      </w:r>
      <w:proofErr w:type="spellEnd"/>
      <w:r w:rsidR="00150ED2" w:rsidRPr="00D909D0">
        <w:rPr>
          <w:rFonts w:cstheme="minorHAnsi"/>
          <w:sz w:val="20"/>
          <w:szCs w:val="20"/>
        </w:rPr>
        <w:t xml:space="preserve"> Kou</w:t>
      </w:r>
      <w:r w:rsidR="00150ED2" w:rsidRPr="00D909D0">
        <w:rPr>
          <w:rFonts w:cstheme="minorHAnsi"/>
          <w:sz w:val="20"/>
          <w:szCs w:val="20"/>
        </w:rPr>
        <w:tab/>
        <w:t xml:space="preserve">Indiana University, Lilly Family School of Philanthropy    </w:t>
      </w:r>
      <w:r w:rsidRPr="008671CA">
        <w:rPr>
          <w:rFonts w:cstheme="minorHAnsi"/>
          <w:sz w:val="20"/>
          <w:szCs w:val="20"/>
        </w:rPr>
        <w:t xml:space="preserve"> </w:t>
      </w:r>
      <w:r w:rsidR="00150ED2" w:rsidRPr="00D909D0">
        <w:rPr>
          <w:rFonts w:cstheme="minorHAnsi"/>
          <w:sz w:val="20"/>
          <w:szCs w:val="20"/>
        </w:rPr>
        <w:t>koux@iupui.edu</w:t>
      </w:r>
    </w:p>
    <w:p w14:paraId="7A5B7B6D" w14:textId="2BBC8F6C" w:rsidR="00150ED2" w:rsidRPr="00D909D0" w:rsidRDefault="008671CA" w:rsidP="008671CA">
      <w:pPr>
        <w:pStyle w:val="NoSpacing"/>
        <w:rPr>
          <w:rFonts w:cstheme="minorHAnsi"/>
          <w:color w:val="242424"/>
          <w:sz w:val="20"/>
          <w:szCs w:val="20"/>
        </w:rPr>
      </w:pPr>
      <w:r w:rsidRPr="008671CA">
        <w:rPr>
          <w:rFonts w:cstheme="minorHAnsi"/>
          <w:sz w:val="20"/>
          <w:szCs w:val="20"/>
        </w:rPr>
        <w:t xml:space="preserve">         </w:t>
      </w:r>
      <w:r w:rsidR="00150ED2" w:rsidRPr="00D909D0">
        <w:rPr>
          <w:rFonts w:cstheme="minorHAnsi"/>
          <w:sz w:val="20"/>
          <w:szCs w:val="20"/>
        </w:rPr>
        <w:t xml:space="preserve">Karly Murat-Prater     Indiana University, Lilly Family School of Philanthropy    </w:t>
      </w:r>
      <w:r w:rsidRPr="008671CA">
        <w:rPr>
          <w:rFonts w:cstheme="minorHAnsi"/>
          <w:sz w:val="20"/>
          <w:szCs w:val="20"/>
        </w:rPr>
        <w:t xml:space="preserve"> </w:t>
      </w:r>
      <w:r w:rsidR="00150ED2" w:rsidRPr="00D909D0">
        <w:rPr>
          <w:rFonts w:cstheme="minorHAnsi"/>
          <w:sz w:val="20"/>
          <w:szCs w:val="20"/>
        </w:rPr>
        <w:t>kdmuratp@iu.edu</w:t>
      </w:r>
    </w:p>
    <w:p w14:paraId="229B0793" w14:textId="77777777" w:rsidR="00150ED2" w:rsidRPr="00D909D0" w:rsidRDefault="00150ED2" w:rsidP="00150ED2">
      <w:pPr>
        <w:pStyle w:val="NormalWeb"/>
        <w:shd w:val="clear" w:color="auto" w:fill="FFFFFF"/>
        <w:rPr>
          <w:rFonts w:asciiTheme="minorHAnsi" w:hAnsiTheme="minorHAnsi" w:cstheme="minorHAnsi"/>
          <w:b/>
          <w:bCs/>
          <w:color w:val="242424"/>
          <w:sz w:val="20"/>
          <w:szCs w:val="20"/>
        </w:rPr>
      </w:pPr>
    </w:p>
    <w:p w14:paraId="11D99D06" w14:textId="5F01E8B7" w:rsidR="008671CA" w:rsidRPr="00D909D0" w:rsidRDefault="008671CA" w:rsidP="008671CA">
      <w:pPr>
        <w:pStyle w:val="Heading1"/>
        <w:numPr>
          <w:ilvl w:val="0"/>
          <w:numId w:val="13"/>
        </w:numPr>
        <w:rPr>
          <w:rFonts w:asciiTheme="minorHAnsi" w:hAnsiTheme="minorHAnsi" w:cstheme="minorHAnsi"/>
          <w:sz w:val="20"/>
          <w:szCs w:val="20"/>
          <w:lang w:val="en-US"/>
        </w:rPr>
      </w:pPr>
      <w:bookmarkStart w:id="0" w:name="_Toc138462028"/>
      <w:r w:rsidRPr="00D909D0">
        <w:rPr>
          <w:rFonts w:asciiTheme="minorHAnsi" w:hAnsiTheme="minorHAnsi" w:cstheme="minorHAnsi"/>
          <w:sz w:val="20"/>
          <w:szCs w:val="20"/>
          <w:lang w:val="en-US"/>
        </w:rPr>
        <w:t>Abstract</w:t>
      </w:r>
      <w:bookmarkEnd w:id="0"/>
    </w:p>
    <w:p w14:paraId="4071D660" w14:textId="77777777" w:rsidR="008671CA" w:rsidRPr="008671CA" w:rsidRDefault="008671CA" w:rsidP="008671CA">
      <w:pPr>
        <w:rPr>
          <w:rFonts w:cstheme="minorHAnsi"/>
          <w:sz w:val="20"/>
          <w:szCs w:val="20"/>
          <w:lang w:val="en-US"/>
        </w:rPr>
      </w:pPr>
      <w:r w:rsidRPr="008671CA">
        <w:rPr>
          <w:rFonts w:cstheme="minorHAnsi"/>
          <w:sz w:val="20"/>
          <w:szCs w:val="20"/>
          <w:lang w:val="en-US"/>
        </w:rPr>
        <w:t xml:space="preserve">This paper examines the philanthropic environment in 2018-2020 in 33 European countries. It analyzes the economic, political, regulatory, and socio-cultural incentives and barriers to philanthropy in Europe. </w:t>
      </w:r>
    </w:p>
    <w:p w14:paraId="6A3A0786" w14:textId="77777777" w:rsidR="008671CA" w:rsidRPr="008671CA" w:rsidRDefault="008671CA" w:rsidP="008671CA">
      <w:pPr>
        <w:rPr>
          <w:rFonts w:cstheme="minorHAnsi"/>
          <w:sz w:val="20"/>
          <w:szCs w:val="20"/>
          <w:lang w:val="en-US"/>
        </w:rPr>
      </w:pPr>
      <w:r w:rsidRPr="008671CA">
        <w:rPr>
          <w:rFonts w:cstheme="minorHAnsi"/>
          <w:sz w:val="20"/>
          <w:szCs w:val="20"/>
          <w:lang w:val="en-US"/>
        </w:rPr>
        <w:t>Given philanthropy’s unique role in supporting sustainable development, there is a growing interest in understanding the conditions in which philanthropy can thrive and the barriers that constrain philanthropic activities in a country. This topic has become even more imperative since the beginning of the pandemic when communities worldwide faced unprecedented challenges. Prior research suggests that an enabling philanthropic environment is largely shaped by external factors in a country, such as “the legal and regulatory framework,” political stability, perception of corruption, government effectiveness, economic conditions, and socio-cultural characteristics (Thindwa et al., 2003; Moore &amp; Rutzen, 2011; Anand &amp; Hayling, 2014; Epperly &amp; Lee, 2015; Garcia, et al., 2019). However, there is still very limited cross-country comparative research examining various external factors and the philanthropic environment.</w:t>
      </w:r>
    </w:p>
    <w:p w14:paraId="4F3F9A09" w14:textId="52DD5634" w:rsidR="008671CA" w:rsidRPr="008671CA" w:rsidRDefault="008671CA" w:rsidP="008671CA">
      <w:pPr>
        <w:rPr>
          <w:rFonts w:cstheme="minorHAnsi"/>
          <w:sz w:val="20"/>
          <w:szCs w:val="20"/>
          <w:lang w:val="en-US"/>
        </w:rPr>
      </w:pPr>
      <w:r w:rsidRPr="008671CA">
        <w:rPr>
          <w:rFonts w:cstheme="minorHAnsi"/>
          <w:sz w:val="20"/>
          <w:szCs w:val="20"/>
          <w:lang w:val="en-US"/>
        </w:rPr>
        <w:t>This study is a comprehensive effort to examine the enabling environment for philanthropy in Europe and other regions pre- and during the pandemic. Data were collected using expert questionnaires at the country and regional levels. The questionnaire contains eleven indicator questions in order to assess the environment on six factors—ease of operating a philanthropic organization; tax incentives for giving; cross-border philanthropic flows; political environment; economic conditions; and socio-cultural environment. Along with information-rich narratives, the research also provides overall scores for each factor at the country- and regional levels.</w:t>
      </w:r>
    </w:p>
    <w:p w14:paraId="56053CDC" w14:textId="77777777" w:rsidR="008671CA" w:rsidRPr="008671CA" w:rsidRDefault="008671CA" w:rsidP="008671CA">
      <w:pPr>
        <w:rPr>
          <w:rFonts w:cstheme="minorHAnsi"/>
          <w:sz w:val="20"/>
          <w:szCs w:val="20"/>
          <w:lang w:val="en-US"/>
        </w:rPr>
      </w:pPr>
      <w:r w:rsidRPr="008671CA">
        <w:rPr>
          <w:rFonts w:cstheme="minorHAnsi"/>
          <w:sz w:val="20"/>
          <w:szCs w:val="20"/>
          <w:lang w:val="en-US"/>
        </w:rPr>
        <w:t>Our analysis reveals positive and negative changes in philanthropy occurred between 2014-2017 and 2018-2020 at the country and regional levels within Europe. The paper identifies key themes that shaped philanthropy in Europe from 2018 to 2020, provides an outlook of future developments in philanthropy across the continent, and compares philanthropic environment in Europe to that in other regions.</w:t>
      </w:r>
    </w:p>
    <w:p w14:paraId="51C49DA5" w14:textId="21FCABD9" w:rsidR="008671CA" w:rsidRPr="00D909D0" w:rsidRDefault="008671CA" w:rsidP="00D909D0">
      <w:pPr>
        <w:rPr>
          <w:rFonts w:cstheme="minorHAnsi"/>
          <w:sz w:val="20"/>
          <w:szCs w:val="20"/>
          <w:lang w:val="en-US"/>
        </w:rPr>
      </w:pPr>
      <w:r w:rsidRPr="008671CA">
        <w:rPr>
          <w:rFonts w:cstheme="minorHAnsi"/>
          <w:sz w:val="20"/>
          <w:szCs w:val="20"/>
          <w:lang w:val="en-US"/>
        </w:rPr>
        <w:t>The study serves as a useful tool for the development of policies that support the growth of philanthropy by enhancing our understanding of how different factors interact to improve or constrain the philanthropic environment at the country- and regional levels.</w:t>
      </w:r>
    </w:p>
    <w:p w14:paraId="29FB337A" w14:textId="19FCC9E2" w:rsidR="00150ED2" w:rsidRPr="00D909D0" w:rsidRDefault="00150ED2" w:rsidP="00D909D0">
      <w:pPr>
        <w:pStyle w:val="Heading1"/>
        <w:numPr>
          <w:ilvl w:val="0"/>
          <w:numId w:val="13"/>
        </w:numPr>
        <w:rPr>
          <w:rFonts w:asciiTheme="minorHAnsi" w:hAnsiTheme="minorHAnsi" w:cstheme="minorHAnsi"/>
          <w:sz w:val="20"/>
          <w:szCs w:val="20"/>
          <w:lang w:val="en-US"/>
        </w:rPr>
      </w:pPr>
      <w:bookmarkStart w:id="1" w:name="_Toc138462029"/>
      <w:r w:rsidRPr="00D909D0">
        <w:rPr>
          <w:rFonts w:asciiTheme="minorHAnsi" w:hAnsiTheme="minorHAnsi" w:cstheme="minorHAnsi"/>
          <w:sz w:val="20"/>
          <w:szCs w:val="20"/>
          <w:lang w:val="en-US"/>
        </w:rPr>
        <w:t>Introduction</w:t>
      </w:r>
      <w:bookmarkEnd w:id="1"/>
    </w:p>
    <w:p w14:paraId="6778D473" w14:textId="399B3BBA" w:rsidR="00CD1CE6" w:rsidRPr="00D909D0" w:rsidRDefault="00CD1CE6" w:rsidP="00CD1CE6">
      <w:pPr>
        <w:rPr>
          <w:rFonts w:cstheme="minorHAnsi"/>
          <w:bCs/>
          <w:sz w:val="20"/>
          <w:szCs w:val="20"/>
          <w:lang w:val="en-US"/>
        </w:rPr>
      </w:pPr>
      <w:r w:rsidRPr="00D909D0">
        <w:rPr>
          <w:rFonts w:cstheme="minorHAnsi"/>
          <w:sz w:val="20"/>
          <w:szCs w:val="20"/>
          <w:lang w:val="en-US"/>
        </w:rPr>
        <w:t xml:space="preserve">This paper reveals </w:t>
      </w:r>
      <w:r w:rsidR="00612781" w:rsidRPr="00D909D0">
        <w:rPr>
          <w:rFonts w:cstheme="minorHAnsi"/>
          <w:sz w:val="20"/>
          <w:szCs w:val="20"/>
          <w:lang w:val="en-US"/>
        </w:rPr>
        <w:t xml:space="preserve">the </w:t>
      </w:r>
      <w:r w:rsidRPr="00D909D0">
        <w:rPr>
          <w:rFonts w:cstheme="minorHAnsi"/>
          <w:sz w:val="20"/>
          <w:szCs w:val="20"/>
          <w:lang w:val="en-US"/>
        </w:rPr>
        <w:t xml:space="preserve">current landscape of the </w:t>
      </w:r>
      <w:r w:rsidR="00212570" w:rsidRPr="00D909D0">
        <w:rPr>
          <w:rFonts w:cstheme="minorHAnsi"/>
          <w:sz w:val="20"/>
          <w:szCs w:val="20"/>
          <w:lang w:val="en-US"/>
        </w:rPr>
        <w:t>European philanthropy</w:t>
      </w:r>
      <w:r w:rsidRPr="00D909D0">
        <w:rPr>
          <w:rFonts w:cstheme="minorHAnsi"/>
          <w:bCs/>
          <w:sz w:val="20"/>
          <w:szCs w:val="20"/>
          <w:lang w:val="en-US"/>
        </w:rPr>
        <w:t xml:space="preserve"> by examini</w:t>
      </w:r>
      <w:r w:rsidR="00612781" w:rsidRPr="00D909D0">
        <w:rPr>
          <w:rFonts w:cstheme="minorHAnsi"/>
          <w:bCs/>
          <w:sz w:val="20"/>
          <w:szCs w:val="20"/>
          <w:lang w:val="en-US"/>
        </w:rPr>
        <w:t>ng</w:t>
      </w:r>
      <w:r w:rsidRPr="00D909D0">
        <w:rPr>
          <w:rFonts w:cstheme="minorHAnsi"/>
          <w:bCs/>
          <w:sz w:val="20"/>
          <w:szCs w:val="20"/>
          <w:lang w:val="en-US"/>
        </w:rPr>
        <w:t xml:space="preserve"> the philanthropic environment </w:t>
      </w:r>
      <w:r w:rsidR="00D22319" w:rsidRPr="00D909D0">
        <w:rPr>
          <w:rFonts w:cstheme="minorHAnsi"/>
          <w:bCs/>
          <w:sz w:val="20"/>
          <w:szCs w:val="20"/>
          <w:lang w:val="en-US"/>
        </w:rPr>
        <w:t>during the period of</w:t>
      </w:r>
      <w:r w:rsidRPr="00D909D0">
        <w:rPr>
          <w:rFonts w:cstheme="minorHAnsi"/>
          <w:bCs/>
          <w:sz w:val="20"/>
          <w:szCs w:val="20"/>
          <w:lang w:val="en-US"/>
        </w:rPr>
        <w:t xml:space="preserve"> 2018</w:t>
      </w:r>
      <w:r w:rsidR="0064517C" w:rsidRPr="00D909D0">
        <w:rPr>
          <w:rFonts w:cstheme="minorHAnsi"/>
          <w:bCs/>
          <w:sz w:val="20"/>
          <w:szCs w:val="20"/>
          <w:lang w:val="en-US"/>
        </w:rPr>
        <w:t>–</w:t>
      </w:r>
      <w:r w:rsidRPr="00D909D0">
        <w:rPr>
          <w:rFonts w:cstheme="minorHAnsi"/>
          <w:bCs/>
          <w:sz w:val="20"/>
          <w:szCs w:val="20"/>
          <w:lang w:val="en-US"/>
        </w:rPr>
        <w:t>2020 in 33 European countries</w:t>
      </w:r>
      <w:r w:rsidR="008671CA">
        <w:rPr>
          <w:rFonts w:cstheme="minorHAnsi"/>
          <w:bCs/>
          <w:sz w:val="20"/>
          <w:szCs w:val="20"/>
          <w:lang w:val="en-US"/>
        </w:rPr>
        <w:t xml:space="preserve"> (See Appendix A)</w:t>
      </w:r>
      <w:r w:rsidRPr="00D909D0">
        <w:rPr>
          <w:rFonts w:cstheme="minorHAnsi"/>
          <w:bCs/>
          <w:sz w:val="20"/>
          <w:szCs w:val="20"/>
          <w:lang w:val="en-US"/>
        </w:rPr>
        <w:t xml:space="preserve">. </w:t>
      </w:r>
      <w:r w:rsidR="008671CA" w:rsidRPr="008671CA">
        <w:rPr>
          <w:rFonts w:cstheme="minorHAnsi"/>
          <w:bCs/>
          <w:sz w:val="20"/>
          <w:szCs w:val="20"/>
          <w:lang w:val="en-US"/>
        </w:rPr>
        <w:t>Building upon a previous study which examined the philanthropic environment during the period of 2014-2017 in Europe, this paper also provides comparisons between the two studies</w:t>
      </w:r>
      <w:r w:rsidR="008671CA">
        <w:rPr>
          <w:rFonts w:cstheme="minorHAnsi"/>
          <w:bCs/>
          <w:sz w:val="20"/>
          <w:szCs w:val="20"/>
          <w:lang w:val="en-US"/>
        </w:rPr>
        <w:t>.</w:t>
      </w:r>
    </w:p>
    <w:p w14:paraId="217B4095" w14:textId="134F1561" w:rsidR="00CD1CE6" w:rsidRPr="00D909D0" w:rsidRDefault="00CD1CE6" w:rsidP="00CD1CE6">
      <w:pPr>
        <w:rPr>
          <w:rFonts w:cstheme="minorHAnsi"/>
          <w:bCs/>
          <w:sz w:val="20"/>
          <w:szCs w:val="20"/>
          <w:lang w:val="en-US"/>
        </w:rPr>
      </w:pPr>
      <w:r w:rsidRPr="00D909D0">
        <w:rPr>
          <w:rFonts w:cstheme="minorHAnsi"/>
          <w:bCs/>
          <w:sz w:val="20"/>
          <w:szCs w:val="20"/>
          <w:lang w:val="en-US"/>
        </w:rPr>
        <w:lastRenderedPageBreak/>
        <w:t>Given philanthropy’s unique role in supporting sustainable development, there is a growing interest in understanding the conditions in which philanthropy can thrive and the barriers that constrain philanthropic activities in a country. This topic has become even more imperative since the beginning of the pandemic when communities worldwide faced unprecedented challenges. Prior research suggests that an enabling philanthropic environment is largely shaped by external factors in a country, such as “the legal and regulatory framework,” political stability, perception of corruption, government effectiveness, economic conditions, and socio-cultural characteristics (Thindwa et al., 2003; Moore &amp; Rutzen, 2011; Anand &amp; Hayling, 2014; Epperly &amp; Lee, 2015; Garcia et al., 2019). However, there is still very limited cross-country comparative research examining various external factors and the philanthropic environment.</w:t>
      </w:r>
    </w:p>
    <w:p w14:paraId="106950D3" w14:textId="6B59BA45" w:rsidR="00CD1CE6" w:rsidRPr="00D909D0" w:rsidRDefault="00CD1CE6" w:rsidP="00CD1CE6">
      <w:pPr>
        <w:rPr>
          <w:rFonts w:cstheme="minorHAnsi"/>
          <w:bCs/>
          <w:sz w:val="20"/>
          <w:szCs w:val="20"/>
          <w:lang w:val="en-US"/>
        </w:rPr>
      </w:pPr>
      <w:r w:rsidRPr="00D909D0">
        <w:rPr>
          <w:rFonts w:cstheme="minorHAnsi"/>
          <w:bCs/>
          <w:sz w:val="20"/>
          <w:szCs w:val="20"/>
          <w:lang w:val="en-US"/>
        </w:rPr>
        <w:t>This study is a comprehensive effort to examine the enabling environment for philanthropy in Europe</w:t>
      </w:r>
      <w:r w:rsidR="008671CA">
        <w:rPr>
          <w:rFonts w:cstheme="minorHAnsi"/>
          <w:bCs/>
          <w:sz w:val="20"/>
          <w:szCs w:val="20"/>
          <w:lang w:val="en-US"/>
        </w:rPr>
        <w:t xml:space="preserve"> </w:t>
      </w:r>
      <w:r w:rsidR="00612781" w:rsidRPr="00D909D0">
        <w:rPr>
          <w:rFonts w:cstheme="minorHAnsi"/>
          <w:bCs/>
          <w:sz w:val="20"/>
          <w:szCs w:val="20"/>
          <w:lang w:val="en-US"/>
        </w:rPr>
        <w:t>before</w:t>
      </w:r>
      <w:r w:rsidRPr="00D909D0">
        <w:rPr>
          <w:rFonts w:cstheme="minorHAnsi"/>
          <w:bCs/>
          <w:sz w:val="20"/>
          <w:szCs w:val="20"/>
          <w:lang w:val="en-US"/>
        </w:rPr>
        <w:t xml:space="preserve"> and during the pandemic. Data were collected using expert questionnaires at the country and regional levels. The questionnaire contains eleven indicator questions in order to assess the environment on six factors</w:t>
      </w:r>
      <w:r w:rsidR="00612781" w:rsidRPr="00D909D0">
        <w:rPr>
          <w:rFonts w:cstheme="minorHAnsi"/>
          <w:bCs/>
          <w:sz w:val="20"/>
          <w:szCs w:val="20"/>
          <w:lang w:val="en-US"/>
        </w:rPr>
        <w:t xml:space="preserve">: </w:t>
      </w:r>
      <w:r w:rsidRPr="00D909D0">
        <w:rPr>
          <w:rFonts w:cstheme="minorHAnsi"/>
          <w:bCs/>
          <w:sz w:val="20"/>
          <w:szCs w:val="20"/>
          <w:lang w:val="en-US"/>
        </w:rPr>
        <w:t>ease of operating a philanthropic organization; tax incentives for giving; cross-border philanthropic flows; political environment; economic conditions; and socio-cultural environment. Along with information-rich narratives, the research also provides overall scores for each factor at the country and regional levels.</w:t>
      </w:r>
    </w:p>
    <w:p w14:paraId="09579DD9" w14:textId="5553331E" w:rsidR="00F42600" w:rsidRPr="00D909D0" w:rsidRDefault="00FE6910" w:rsidP="00F42600">
      <w:pPr>
        <w:rPr>
          <w:rFonts w:cstheme="minorHAnsi"/>
          <w:sz w:val="20"/>
          <w:szCs w:val="20"/>
          <w:lang w:val="en-US"/>
        </w:rPr>
      </w:pPr>
      <w:r w:rsidRPr="00D909D0">
        <w:rPr>
          <w:rFonts w:cstheme="minorHAnsi"/>
          <w:sz w:val="20"/>
          <w:szCs w:val="20"/>
          <w:lang w:val="en-US"/>
        </w:rPr>
        <w:t>The European philanthropic environment</w:t>
      </w:r>
      <w:r w:rsidR="00F42600" w:rsidRPr="00D909D0">
        <w:rPr>
          <w:rFonts w:cstheme="minorHAnsi"/>
          <w:sz w:val="20"/>
          <w:szCs w:val="20"/>
          <w:lang w:val="en-US"/>
        </w:rPr>
        <w:t xml:space="preserve"> showed modest</w:t>
      </w:r>
      <w:r w:rsidRPr="00D909D0">
        <w:rPr>
          <w:rFonts w:cstheme="minorHAnsi"/>
          <w:sz w:val="20"/>
          <w:szCs w:val="20"/>
          <w:lang w:val="en-US"/>
        </w:rPr>
        <w:t xml:space="preserve"> </w:t>
      </w:r>
      <w:r w:rsidR="00F42600" w:rsidRPr="00D909D0">
        <w:rPr>
          <w:rFonts w:cstheme="minorHAnsi"/>
          <w:sz w:val="20"/>
          <w:szCs w:val="20"/>
          <w:lang w:val="en-US"/>
        </w:rPr>
        <w:t xml:space="preserve">improvement at the </w:t>
      </w:r>
      <w:r w:rsidRPr="00D909D0">
        <w:rPr>
          <w:rFonts w:cstheme="minorHAnsi"/>
          <w:sz w:val="20"/>
          <w:szCs w:val="20"/>
          <w:lang w:val="en-US"/>
        </w:rPr>
        <w:t xml:space="preserve">continental </w:t>
      </w:r>
      <w:r w:rsidR="00F42600" w:rsidRPr="00D909D0">
        <w:rPr>
          <w:rFonts w:cstheme="minorHAnsi"/>
          <w:sz w:val="20"/>
          <w:szCs w:val="20"/>
          <w:lang w:val="en-US"/>
        </w:rPr>
        <w:t>level</w:t>
      </w:r>
      <w:r w:rsidRPr="00D909D0">
        <w:rPr>
          <w:rFonts w:cstheme="minorHAnsi"/>
          <w:sz w:val="20"/>
          <w:szCs w:val="20"/>
          <w:lang w:val="en-US"/>
        </w:rPr>
        <w:t xml:space="preserve"> from 3.99 in the 2014</w:t>
      </w:r>
      <w:r w:rsidR="0064517C" w:rsidRPr="00D909D0">
        <w:rPr>
          <w:rFonts w:cstheme="minorHAnsi"/>
          <w:sz w:val="20"/>
          <w:szCs w:val="20"/>
          <w:lang w:val="en-US"/>
        </w:rPr>
        <w:t>–</w:t>
      </w:r>
      <w:r w:rsidRPr="00D909D0">
        <w:rPr>
          <w:rFonts w:cstheme="minorHAnsi"/>
          <w:sz w:val="20"/>
          <w:szCs w:val="20"/>
          <w:lang w:val="en-US"/>
        </w:rPr>
        <w:t>2017 time period to 4.09 in the 2018</w:t>
      </w:r>
      <w:r w:rsidR="0064517C" w:rsidRPr="00D909D0">
        <w:rPr>
          <w:rFonts w:cstheme="minorHAnsi"/>
          <w:sz w:val="20"/>
          <w:szCs w:val="20"/>
          <w:lang w:val="en-US"/>
        </w:rPr>
        <w:t>–</w:t>
      </w:r>
      <w:r w:rsidRPr="00D909D0">
        <w:rPr>
          <w:rFonts w:cstheme="minorHAnsi"/>
          <w:sz w:val="20"/>
          <w:szCs w:val="20"/>
          <w:lang w:val="en-US"/>
        </w:rPr>
        <w:t>2020 time period.</w:t>
      </w:r>
      <w:r w:rsidR="00F42600" w:rsidRPr="00D909D0">
        <w:rPr>
          <w:rFonts w:cstheme="minorHAnsi"/>
          <w:sz w:val="20"/>
          <w:szCs w:val="20"/>
          <w:lang w:val="en-US"/>
        </w:rPr>
        <w:t xml:space="preserve"> </w:t>
      </w:r>
      <w:r w:rsidRPr="00D909D0">
        <w:rPr>
          <w:rFonts w:cstheme="minorHAnsi"/>
          <w:sz w:val="20"/>
          <w:szCs w:val="20"/>
          <w:lang w:val="en-US"/>
        </w:rPr>
        <w:t>However, this improvement was not</w:t>
      </w:r>
      <w:r w:rsidR="00F42600" w:rsidRPr="00D909D0">
        <w:rPr>
          <w:rFonts w:cstheme="minorHAnsi"/>
          <w:sz w:val="20"/>
          <w:szCs w:val="20"/>
          <w:lang w:val="en-US"/>
        </w:rPr>
        <w:t xml:space="preserve"> unifor</w:t>
      </w:r>
      <w:r w:rsidR="00612781" w:rsidRPr="00D909D0">
        <w:rPr>
          <w:rFonts w:cstheme="minorHAnsi"/>
          <w:sz w:val="20"/>
          <w:szCs w:val="20"/>
          <w:lang w:val="en-US"/>
        </w:rPr>
        <w:t>m</w:t>
      </w:r>
      <w:r w:rsidR="00F42600" w:rsidRPr="00D909D0">
        <w:rPr>
          <w:rFonts w:cstheme="minorHAnsi"/>
          <w:sz w:val="20"/>
          <w:szCs w:val="20"/>
          <w:lang w:val="en-US"/>
        </w:rPr>
        <w:t xml:space="preserve"> </w:t>
      </w:r>
      <w:r w:rsidRPr="00D909D0">
        <w:rPr>
          <w:rFonts w:cstheme="minorHAnsi"/>
          <w:sz w:val="20"/>
          <w:szCs w:val="20"/>
          <w:lang w:val="en-US"/>
        </w:rPr>
        <w:t>across Europe. While the East</w:t>
      </w:r>
      <w:r w:rsidR="00612781" w:rsidRPr="00D909D0">
        <w:rPr>
          <w:rFonts w:cstheme="minorHAnsi"/>
          <w:sz w:val="20"/>
          <w:szCs w:val="20"/>
          <w:lang w:val="en-US"/>
        </w:rPr>
        <w:t>—</w:t>
      </w:r>
      <w:r w:rsidRPr="00D909D0">
        <w:rPr>
          <w:rFonts w:cstheme="minorHAnsi"/>
          <w:sz w:val="20"/>
          <w:szCs w:val="20"/>
          <w:lang w:val="en-US"/>
        </w:rPr>
        <w:t xml:space="preserve">including </w:t>
      </w:r>
      <w:r w:rsidR="0064517C" w:rsidRPr="00D909D0">
        <w:rPr>
          <w:rFonts w:cstheme="minorHAnsi"/>
          <w:sz w:val="20"/>
          <w:szCs w:val="20"/>
          <w:lang w:val="en-US"/>
        </w:rPr>
        <w:t>the</w:t>
      </w:r>
      <w:r w:rsidRPr="00D909D0">
        <w:rPr>
          <w:rFonts w:cstheme="minorHAnsi"/>
          <w:sz w:val="20"/>
          <w:szCs w:val="20"/>
          <w:lang w:val="en-US"/>
        </w:rPr>
        <w:t xml:space="preserve"> Balkan</w:t>
      </w:r>
      <w:r w:rsidR="0064517C" w:rsidRPr="00D909D0">
        <w:rPr>
          <w:rFonts w:cstheme="minorHAnsi"/>
          <w:sz w:val="20"/>
          <w:szCs w:val="20"/>
          <w:lang w:val="en-US"/>
        </w:rPr>
        <w:t>s</w:t>
      </w:r>
      <w:r w:rsidRPr="00D909D0">
        <w:rPr>
          <w:rFonts w:cstheme="minorHAnsi"/>
          <w:sz w:val="20"/>
          <w:szCs w:val="20"/>
          <w:lang w:val="en-US"/>
        </w:rPr>
        <w:t>, Central Europe, and Southern Europe (a total of 20 countries)</w:t>
      </w:r>
      <w:r w:rsidR="00612781" w:rsidRPr="00D909D0">
        <w:rPr>
          <w:rFonts w:cstheme="minorHAnsi"/>
          <w:sz w:val="20"/>
          <w:szCs w:val="20"/>
          <w:lang w:val="en-US"/>
        </w:rPr>
        <w:t>—</w:t>
      </w:r>
      <w:r w:rsidRPr="00D909D0">
        <w:rPr>
          <w:rFonts w:cstheme="minorHAnsi"/>
          <w:sz w:val="20"/>
          <w:szCs w:val="20"/>
          <w:lang w:val="en-US"/>
        </w:rPr>
        <w:t>faced a slight decline, the West</w:t>
      </w:r>
      <w:r w:rsidR="00612781" w:rsidRPr="00D909D0">
        <w:rPr>
          <w:rFonts w:cstheme="minorHAnsi"/>
          <w:sz w:val="20"/>
          <w:szCs w:val="20"/>
          <w:lang w:val="en-US"/>
        </w:rPr>
        <w:t>—</w:t>
      </w:r>
      <w:r w:rsidRPr="00D909D0">
        <w:rPr>
          <w:rFonts w:cstheme="minorHAnsi"/>
          <w:sz w:val="20"/>
          <w:szCs w:val="20"/>
          <w:lang w:val="en-US"/>
        </w:rPr>
        <w:t>Western Europe and Northern Europe (a total of 13 countries)</w:t>
      </w:r>
      <w:r w:rsidR="00612781" w:rsidRPr="00D909D0">
        <w:rPr>
          <w:rFonts w:cstheme="minorHAnsi"/>
          <w:sz w:val="20"/>
          <w:szCs w:val="20"/>
          <w:lang w:val="en-US"/>
        </w:rPr>
        <w:t>—</w:t>
      </w:r>
      <w:r w:rsidRPr="00D909D0">
        <w:rPr>
          <w:rFonts w:cstheme="minorHAnsi"/>
          <w:sz w:val="20"/>
          <w:szCs w:val="20"/>
          <w:lang w:val="en-US"/>
        </w:rPr>
        <w:t xml:space="preserve">experienced a modest improvement in the overall score for philanthropy. </w:t>
      </w:r>
    </w:p>
    <w:p w14:paraId="1673D8DF" w14:textId="02EFEC94" w:rsidR="00F42600" w:rsidRPr="00D909D0" w:rsidRDefault="00F42600" w:rsidP="00F42600">
      <w:pPr>
        <w:rPr>
          <w:rFonts w:cstheme="minorHAnsi"/>
          <w:sz w:val="20"/>
          <w:szCs w:val="20"/>
          <w:lang w:val="en-US"/>
        </w:rPr>
      </w:pPr>
      <w:r w:rsidRPr="00D909D0">
        <w:rPr>
          <w:rFonts w:cstheme="minorHAnsi"/>
          <w:sz w:val="20"/>
          <w:szCs w:val="20"/>
          <w:lang w:val="en-US"/>
        </w:rPr>
        <w:t>Country and regional reports suggest that a consistent and</w:t>
      </w:r>
      <w:r w:rsidR="00FE6910" w:rsidRPr="00D909D0">
        <w:rPr>
          <w:rFonts w:cstheme="minorHAnsi"/>
          <w:sz w:val="20"/>
          <w:szCs w:val="20"/>
          <w:lang w:val="en-US"/>
        </w:rPr>
        <w:t xml:space="preserve"> </w:t>
      </w:r>
      <w:r w:rsidRPr="00D909D0">
        <w:rPr>
          <w:rFonts w:cstheme="minorHAnsi"/>
          <w:sz w:val="20"/>
          <w:szCs w:val="20"/>
          <w:lang w:val="en-US"/>
        </w:rPr>
        <w:t>enabling regulatory environment, state collaboration, and</w:t>
      </w:r>
      <w:r w:rsidR="00FE6910" w:rsidRPr="00D909D0">
        <w:rPr>
          <w:rFonts w:cstheme="minorHAnsi"/>
          <w:sz w:val="20"/>
          <w:szCs w:val="20"/>
          <w:lang w:val="en-US"/>
        </w:rPr>
        <w:t xml:space="preserve"> </w:t>
      </w:r>
      <w:r w:rsidRPr="00D909D0">
        <w:rPr>
          <w:rFonts w:cstheme="minorHAnsi"/>
          <w:sz w:val="20"/>
          <w:szCs w:val="20"/>
          <w:lang w:val="en-US"/>
        </w:rPr>
        <w:t>strong philanthropic traditions and societal values are essential</w:t>
      </w:r>
      <w:r w:rsidR="00FE6910" w:rsidRPr="00D909D0">
        <w:rPr>
          <w:rFonts w:cstheme="minorHAnsi"/>
          <w:sz w:val="20"/>
          <w:szCs w:val="20"/>
          <w:lang w:val="en-US"/>
        </w:rPr>
        <w:t xml:space="preserve"> </w:t>
      </w:r>
      <w:r w:rsidRPr="00D909D0">
        <w:rPr>
          <w:rFonts w:cstheme="minorHAnsi"/>
          <w:sz w:val="20"/>
          <w:szCs w:val="20"/>
          <w:lang w:val="en-US"/>
        </w:rPr>
        <w:t>to nurture philanthropy.</w:t>
      </w:r>
      <w:r w:rsidR="00FE6910" w:rsidRPr="00D909D0">
        <w:rPr>
          <w:rFonts w:cstheme="minorHAnsi"/>
          <w:sz w:val="20"/>
          <w:szCs w:val="20"/>
          <w:lang w:val="en-US"/>
        </w:rPr>
        <w:t xml:space="preserve"> </w:t>
      </w:r>
      <w:r w:rsidR="00CD1CE6" w:rsidRPr="00D909D0">
        <w:rPr>
          <w:rFonts w:cstheme="minorHAnsi"/>
          <w:sz w:val="20"/>
          <w:szCs w:val="20"/>
          <w:lang w:val="en-US"/>
        </w:rPr>
        <w:t>While i</w:t>
      </w:r>
      <w:r w:rsidR="00FE6910" w:rsidRPr="00D909D0">
        <w:rPr>
          <w:rFonts w:cstheme="minorHAnsi"/>
          <w:sz w:val="20"/>
          <w:szCs w:val="20"/>
          <w:lang w:val="en-US"/>
        </w:rPr>
        <w:t xml:space="preserve">n Europe, a continent where each of the </w:t>
      </w:r>
      <w:r w:rsidR="00CD1CE6" w:rsidRPr="00D909D0">
        <w:rPr>
          <w:rFonts w:cstheme="minorHAnsi"/>
          <w:sz w:val="20"/>
          <w:szCs w:val="20"/>
          <w:lang w:val="en-US"/>
        </w:rPr>
        <w:t>six</w:t>
      </w:r>
      <w:r w:rsidR="00FE6910" w:rsidRPr="00D909D0">
        <w:rPr>
          <w:rFonts w:cstheme="minorHAnsi"/>
          <w:sz w:val="20"/>
          <w:szCs w:val="20"/>
          <w:lang w:val="en-US"/>
        </w:rPr>
        <w:t xml:space="preserve"> factors </w:t>
      </w:r>
      <w:r w:rsidR="00CD1CE6" w:rsidRPr="00D909D0">
        <w:rPr>
          <w:rFonts w:cstheme="minorHAnsi"/>
          <w:sz w:val="20"/>
          <w:szCs w:val="20"/>
          <w:lang w:val="en-US"/>
        </w:rPr>
        <w:t>measured in this paper</w:t>
      </w:r>
      <w:r w:rsidR="00612781" w:rsidRPr="00D909D0">
        <w:rPr>
          <w:rFonts w:cstheme="minorHAnsi"/>
          <w:sz w:val="20"/>
          <w:szCs w:val="20"/>
          <w:lang w:val="en-US"/>
        </w:rPr>
        <w:t>—</w:t>
      </w:r>
      <w:r w:rsidR="00FE6910" w:rsidRPr="00D909D0">
        <w:rPr>
          <w:rFonts w:cstheme="minorHAnsi"/>
          <w:sz w:val="20"/>
          <w:szCs w:val="20"/>
          <w:lang w:val="en-US"/>
        </w:rPr>
        <w:t>ease of operating a philanthropic organi</w:t>
      </w:r>
      <w:r w:rsidR="00612781" w:rsidRPr="00D909D0">
        <w:rPr>
          <w:rFonts w:cstheme="minorHAnsi"/>
          <w:sz w:val="20"/>
          <w:szCs w:val="20"/>
          <w:lang w:val="en-US"/>
        </w:rPr>
        <w:t>z</w:t>
      </w:r>
      <w:r w:rsidR="00FE6910" w:rsidRPr="00D909D0">
        <w:rPr>
          <w:rFonts w:cstheme="minorHAnsi"/>
          <w:sz w:val="20"/>
          <w:szCs w:val="20"/>
          <w:lang w:val="en-US"/>
        </w:rPr>
        <w:t>ation, tax incentives, cross-border philanthropy, political environment, economic environment, and socio-economic environment</w:t>
      </w:r>
      <w:r w:rsidR="00612781" w:rsidRPr="00D909D0">
        <w:rPr>
          <w:rFonts w:cstheme="minorHAnsi"/>
          <w:sz w:val="20"/>
          <w:szCs w:val="20"/>
          <w:lang w:val="en-US"/>
        </w:rPr>
        <w:t>—</w:t>
      </w:r>
      <w:r w:rsidR="00CD1CE6" w:rsidRPr="00D909D0">
        <w:rPr>
          <w:rFonts w:cstheme="minorHAnsi"/>
          <w:sz w:val="20"/>
          <w:szCs w:val="20"/>
          <w:lang w:val="en-US"/>
        </w:rPr>
        <w:t>show a moderate improvement from the 2014</w:t>
      </w:r>
      <w:r w:rsidR="0064517C" w:rsidRPr="00D909D0">
        <w:rPr>
          <w:rFonts w:cstheme="minorHAnsi"/>
          <w:sz w:val="20"/>
          <w:szCs w:val="20"/>
          <w:lang w:val="en-US"/>
        </w:rPr>
        <w:t>–</w:t>
      </w:r>
      <w:r w:rsidR="00CD1CE6" w:rsidRPr="00D909D0">
        <w:rPr>
          <w:rFonts w:cstheme="minorHAnsi"/>
          <w:sz w:val="20"/>
          <w:szCs w:val="20"/>
          <w:lang w:val="en-US"/>
        </w:rPr>
        <w:t>2017 time period to the 2018</w:t>
      </w:r>
      <w:r w:rsidR="0064517C" w:rsidRPr="00D909D0">
        <w:rPr>
          <w:rFonts w:cstheme="minorHAnsi"/>
          <w:sz w:val="20"/>
          <w:szCs w:val="20"/>
          <w:lang w:val="en-US"/>
        </w:rPr>
        <w:t>–</w:t>
      </w:r>
      <w:r w:rsidR="00CD1CE6" w:rsidRPr="00D909D0">
        <w:rPr>
          <w:rFonts w:cstheme="minorHAnsi"/>
          <w:sz w:val="20"/>
          <w:szCs w:val="20"/>
          <w:lang w:val="en-US"/>
        </w:rPr>
        <w:t>2020 time period, country-level data provides timely and relevant information about issues that are likely to threaten the philanthropic environment in the old continent.</w:t>
      </w:r>
    </w:p>
    <w:p w14:paraId="7932C3C2" w14:textId="32CCC722" w:rsidR="008671CA" w:rsidRDefault="007D162C" w:rsidP="00F42600">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Looking ahead, the future of philanthropy is likely to be characterized by collaboration, new technologies, and digitalization of giving across </w:t>
      </w:r>
      <w:r w:rsidR="00CD1CE6" w:rsidRPr="00D909D0">
        <w:rPr>
          <w:rFonts w:eastAsia="Times New Roman" w:cstheme="minorHAnsi"/>
          <w:kern w:val="0"/>
          <w:sz w:val="20"/>
          <w:szCs w:val="20"/>
          <w:lang w:val="en-US"/>
          <w14:ligatures w14:val="none"/>
        </w:rPr>
        <w:t>Europe.</w:t>
      </w:r>
      <w:r w:rsidR="00826430" w:rsidRPr="00D909D0">
        <w:rPr>
          <w:rFonts w:eastAsia="Times New Roman" w:cstheme="minorHAnsi"/>
          <w:kern w:val="0"/>
          <w:sz w:val="20"/>
          <w:szCs w:val="20"/>
          <w:lang w:val="en-US"/>
          <w14:ligatures w14:val="none"/>
        </w:rPr>
        <w:t xml:space="preserve"> In the continent there are still significant score variability between countries, but regional initiatives</w:t>
      </w:r>
      <w:r w:rsidR="00612781" w:rsidRPr="00D909D0">
        <w:rPr>
          <w:rFonts w:eastAsia="Times New Roman" w:cstheme="minorHAnsi"/>
          <w:kern w:val="0"/>
          <w:sz w:val="20"/>
          <w:szCs w:val="20"/>
          <w:lang w:val="en-US"/>
          <w14:ligatures w14:val="none"/>
        </w:rPr>
        <w:t>—</w:t>
      </w:r>
      <w:r w:rsidR="00826430" w:rsidRPr="00D909D0">
        <w:rPr>
          <w:rFonts w:eastAsia="Times New Roman" w:cstheme="minorHAnsi"/>
          <w:kern w:val="0"/>
          <w:sz w:val="20"/>
          <w:szCs w:val="20"/>
          <w:lang w:val="en-US"/>
          <w14:ligatures w14:val="none"/>
        </w:rPr>
        <w:t xml:space="preserve">such as </w:t>
      </w:r>
      <w:proofErr w:type="spellStart"/>
      <w:r w:rsidR="00826430" w:rsidRPr="00D909D0">
        <w:rPr>
          <w:rFonts w:eastAsia="Times New Roman" w:cstheme="minorHAnsi"/>
          <w:kern w:val="0"/>
          <w:sz w:val="20"/>
          <w:szCs w:val="20"/>
          <w:lang w:val="en-US"/>
          <w14:ligatures w14:val="none"/>
        </w:rPr>
        <w:t>Philea</w:t>
      </w:r>
      <w:proofErr w:type="spellEnd"/>
      <w:r w:rsidR="00826430" w:rsidRPr="00D909D0">
        <w:rPr>
          <w:rFonts w:eastAsia="Times New Roman" w:cstheme="minorHAnsi"/>
          <w:kern w:val="0"/>
          <w:sz w:val="20"/>
          <w:szCs w:val="20"/>
          <w:lang w:val="en-US"/>
          <w14:ligatures w14:val="none"/>
        </w:rPr>
        <w:t>, ERNOP, and Transnational Giving Europe</w:t>
      </w:r>
      <w:r w:rsidR="00612781" w:rsidRPr="00D909D0">
        <w:rPr>
          <w:rFonts w:eastAsia="Times New Roman" w:cstheme="minorHAnsi"/>
          <w:kern w:val="0"/>
          <w:sz w:val="20"/>
          <w:szCs w:val="20"/>
          <w:lang w:val="en-US"/>
          <w14:ligatures w14:val="none"/>
        </w:rPr>
        <w:t>—</w:t>
      </w:r>
      <w:r w:rsidR="00826430" w:rsidRPr="00D909D0">
        <w:rPr>
          <w:rFonts w:eastAsia="Times New Roman" w:cstheme="minorHAnsi"/>
          <w:kern w:val="0"/>
          <w:sz w:val="20"/>
          <w:szCs w:val="20"/>
          <w:lang w:val="en-US"/>
          <w14:ligatures w14:val="none"/>
        </w:rPr>
        <w:t xml:space="preserve">seem to lead to a more effective European-level advocacy for philanthropy that can not only enhance the philanthropic infrastructure in the </w:t>
      </w:r>
      <w:r w:rsidR="00612781" w:rsidRPr="00D909D0">
        <w:rPr>
          <w:rFonts w:eastAsia="Times New Roman" w:cstheme="minorHAnsi"/>
          <w:kern w:val="0"/>
          <w:sz w:val="20"/>
          <w:szCs w:val="20"/>
          <w:lang w:val="en-US"/>
          <w14:ligatures w14:val="none"/>
        </w:rPr>
        <w:t>continent but</w:t>
      </w:r>
      <w:r w:rsidR="00826430" w:rsidRPr="00D909D0">
        <w:rPr>
          <w:rFonts w:eastAsia="Times New Roman" w:cstheme="minorHAnsi"/>
          <w:kern w:val="0"/>
          <w:sz w:val="20"/>
          <w:szCs w:val="20"/>
          <w:lang w:val="en-US"/>
          <w14:ligatures w14:val="none"/>
        </w:rPr>
        <w:t xml:space="preserve"> might also increase the public knowledge about and trust towards philanthropic organizations. </w:t>
      </w:r>
    </w:p>
    <w:p w14:paraId="44564444" w14:textId="2D08B888" w:rsidR="00150ED2" w:rsidRPr="00D909D0" w:rsidRDefault="00150ED2" w:rsidP="00D909D0">
      <w:pPr>
        <w:pStyle w:val="Heading1"/>
        <w:numPr>
          <w:ilvl w:val="0"/>
          <w:numId w:val="13"/>
        </w:numPr>
        <w:rPr>
          <w:sz w:val="20"/>
          <w:szCs w:val="20"/>
          <w:lang w:val="en-US"/>
        </w:rPr>
      </w:pPr>
      <w:bookmarkStart w:id="2" w:name="_Toc138462030"/>
      <w:r w:rsidRPr="00D909D0">
        <w:rPr>
          <w:sz w:val="20"/>
          <w:szCs w:val="20"/>
          <w:lang w:val="en-US"/>
        </w:rPr>
        <w:t>Methodology</w:t>
      </w:r>
      <w:bookmarkEnd w:id="2"/>
    </w:p>
    <w:p w14:paraId="43A04DD9" w14:textId="638DB081" w:rsidR="00150ED2" w:rsidRPr="00D909D0" w:rsidRDefault="00150ED2" w:rsidP="00150ED2">
      <w:pPr>
        <w:rPr>
          <w:rFonts w:cstheme="minorHAnsi"/>
          <w:sz w:val="20"/>
          <w:szCs w:val="20"/>
          <w:lang w:val="en-US"/>
        </w:rPr>
      </w:pPr>
      <w:r w:rsidRPr="00D909D0">
        <w:rPr>
          <w:rFonts w:cstheme="minorHAnsi"/>
          <w:sz w:val="20"/>
          <w:szCs w:val="20"/>
          <w:lang w:val="en-US"/>
        </w:rPr>
        <w:t xml:space="preserve">This paper measures the philanthropic environment </w:t>
      </w:r>
      <w:r w:rsidR="000D26B2" w:rsidRPr="00D909D0">
        <w:rPr>
          <w:rFonts w:cstheme="minorHAnsi"/>
          <w:sz w:val="20"/>
          <w:szCs w:val="20"/>
          <w:lang w:val="en-US"/>
        </w:rPr>
        <w:t xml:space="preserve">between 2018 and 2020 </w:t>
      </w:r>
      <w:r w:rsidRPr="00D909D0">
        <w:rPr>
          <w:rFonts w:cstheme="minorHAnsi"/>
          <w:sz w:val="20"/>
          <w:szCs w:val="20"/>
          <w:lang w:val="en-US"/>
        </w:rPr>
        <w:t xml:space="preserve">within and across </w:t>
      </w:r>
      <w:r w:rsidR="00650761" w:rsidRPr="00D909D0">
        <w:rPr>
          <w:rFonts w:cstheme="minorHAnsi"/>
          <w:sz w:val="20"/>
          <w:szCs w:val="20"/>
          <w:lang w:val="en-US"/>
        </w:rPr>
        <w:t xml:space="preserve">33 European countries </w:t>
      </w:r>
      <w:r w:rsidRPr="00D909D0">
        <w:rPr>
          <w:rFonts w:cstheme="minorHAnsi"/>
          <w:sz w:val="20"/>
          <w:szCs w:val="20"/>
          <w:lang w:val="en-US"/>
        </w:rPr>
        <w:t>which were included in the</w:t>
      </w:r>
      <w:r w:rsidRPr="00D909D0">
        <w:rPr>
          <w:rFonts w:cstheme="minorHAnsi"/>
          <w:i/>
          <w:iCs/>
          <w:sz w:val="20"/>
          <w:szCs w:val="20"/>
          <w:lang w:val="en-US"/>
        </w:rPr>
        <w:t xml:space="preserve"> 202</w:t>
      </w:r>
      <w:r w:rsidR="00650761" w:rsidRPr="00D909D0">
        <w:rPr>
          <w:rFonts w:cstheme="minorHAnsi"/>
          <w:i/>
          <w:iCs/>
          <w:sz w:val="20"/>
          <w:szCs w:val="20"/>
          <w:lang w:val="en-US"/>
        </w:rPr>
        <w:t xml:space="preserve">2 Global Philanthropy Environment Index </w:t>
      </w:r>
      <w:r w:rsidR="00650761" w:rsidRPr="00D909D0">
        <w:rPr>
          <w:rFonts w:cstheme="minorHAnsi"/>
          <w:sz w:val="20"/>
          <w:szCs w:val="20"/>
          <w:lang w:val="en-US"/>
        </w:rPr>
        <w:t>(GPEI)</w:t>
      </w:r>
      <w:r w:rsidRPr="00D909D0">
        <w:rPr>
          <w:rFonts w:cstheme="minorHAnsi"/>
          <w:sz w:val="20"/>
          <w:szCs w:val="20"/>
          <w:lang w:val="en-US"/>
        </w:rPr>
        <w:t xml:space="preserve"> researched and published by the Indiana University Lilly Family School of Philanthropy.</w:t>
      </w:r>
      <w:r w:rsidR="00650761" w:rsidRPr="00D909D0">
        <w:rPr>
          <w:rFonts w:cstheme="minorHAnsi"/>
          <w:sz w:val="20"/>
          <w:szCs w:val="20"/>
          <w:lang w:val="en-US"/>
        </w:rPr>
        <w:t xml:space="preserve"> </w:t>
      </w:r>
      <w:r w:rsidRPr="00D909D0">
        <w:rPr>
          <w:rFonts w:cstheme="minorHAnsi"/>
          <w:sz w:val="20"/>
          <w:szCs w:val="20"/>
          <w:lang w:val="en-US"/>
        </w:rPr>
        <w:t>The</w:t>
      </w:r>
      <w:r w:rsidR="00650761" w:rsidRPr="00D909D0">
        <w:rPr>
          <w:rFonts w:cstheme="minorHAnsi"/>
          <w:sz w:val="20"/>
          <w:szCs w:val="20"/>
          <w:lang w:val="en-US"/>
        </w:rPr>
        <w:t xml:space="preserve"> </w:t>
      </w:r>
      <w:r w:rsidRPr="00D909D0">
        <w:rPr>
          <w:rFonts w:cstheme="minorHAnsi"/>
          <w:sz w:val="20"/>
          <w:szCs w:val="20"/>
          <w:lang w:val="en-US"/>
        </w:rPr>
        <w:t xml:space="preserve">GPEI includes regulatory, political, economic, and socio-cultural factors, as well as incentives and barriers to </w:t>
      </w:r>
      <w:r w:rsidR="00650761" w:rsidRPr="00D909D0">
        <w:rPr>
          <w:rFonts w:cstheme="minorHAnsi"/>
          <w:sz w:val="20"/>
          <w:szCs w:val="20"/>
          <w:lang w:val="en-US"/>
        </w:rPr>
        <w:t>domestic and cross-border giving</w:t>
      </w:r>
      <w:r w:rsidRPr="00D909D0">
        <w:rPr>
          <w:rFonts w:cstheme="minorHAnsi"/>
          <w:sz w:val="20"/>
          <w:szCs w:val="20"/>
          <w:lang w:val="en-US"/>
        </w:rPr>
        <w:t>.</w:t>
      </w:r>
    </w:p>
    <w:p w14:paraId="3A2F8961" w14:textId="79524CF5" w:rsidR="00BA5500" w:rsidRPr="00D909D0" w:rsidRDefault="00BA5500" w:rsidP="00BA5500">
      <w:pPr>
        <w:rPr>
          <w:rFonts w:cstheme="minorHAnsi"/>
          <w:b/>
          <w:bCs/>
          <w:sz w:val="20"/>
          <w:szCs w:val="20"/>
          <w:lang w:val="en-US"/>
        </w:rPr>
      </w:pPr>
      <w:r w:rsidRPr="00D909D0">
        <w:rPr>
          <w:rFonts w:cstheme="minorHAnsi"/>
          <w:b/>
          <w:bCs/>
          <w:sz w:val="20"/>
          <w:szCs w:val="20"/>
          <w:lang w:val="en-US"/>
        </w:rPr>
        <w:t>EUROPEAN COUNTRIES INCLUDED IN THE GLOBAL PHILANTHROPIC ENVIORNMENT INDEX</w:t>
      </w:r>
    </w:p>
    <w:p w14:paraId="07924CA0" w14:textId="6517A315" w:rsidR="00BA5500" w:rsidRPr="00D909D0" w:rsidRDefault="00F42600" w:rsidP="00150ED2">
      <w:pPr>
        <w:rPr>
          <w:rFonts w:cstheme="minorHAnsi"/>
          <w:sz w:val="20"/>
          <w:szCs w:val="20"/>
          <w:lang w:val="en-US"/>
        </w:rPr>
      </w:pPr>
      <w:r w:rsidRPr="00D909D0">
        <w:rPr>
          <w:rFonts w:cstheme="minorHAnsi"/>
          <w:noProof/>
          <w:sz w:val="20"/>
          <w:szCs w:val="20"/>
          <w:lang w:val="en-US"/>
        </w:rPr>
        <w:lastRenderedPageBreak/>
        <w:drawing>
          <wp:inline distT="0" distB="0" distL="0" distR="0" wp14:anchorId="56D85052" wp14:editId="33097B38">
            <wp:extent cx="5731510" cy="3989070"/>
            <wp:effectExtent l="0" t="0" r="2540" b="0"/>
            <wp:docPr id="11522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2148" name="Picture 115221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989070"/>
                    </a:xfrm>
                    <a:prstGeom prst="rect">
                      <a:avLst/>
                    </a:prstGeom>
                  </pic:spPr>
                </pic:pic>
              </a:graphicData>
            </a:graphic>
          </wp:inline>
        </w:drawing>
      </w:r>
    </w:p>
    <w:p w14:paraId="77D75D5D" w14:textId="4BB3749E" w:rsidR="00150ED2" w:rsidRPr="00D909D0" w:rsidRDefault="00650761" w:rsidP="00150ED2">
      <w:pPr>
        <w:rPr>
          <w:rFonts w:cstheme="minorHAnsi"/>
          <w:b/>
          <w:bCs/>
          <w:i/>
          <w:iCs/>
          <w:sz w:val="20"/>
          <w:szCs w:val="20"/>
          <w:lang w:val="en-US"/>
        </w:rPr>
      </w:pPr>
      <w:r w:rsidRPr="00D909D0">
        <w:rPr>
          <w:rFonts w:cstheme="minorHAnsi"/>
          <w:b/>
          <w:bCs/>
          <w:i/>
          <w:iCs/>
          <w:sz w:val="20"/>
          <w:szCs w:val="20"/>
          <w:lang w:val="en-US"/>
        </w:rPr>
        <w:t>Data</w:t>
      </w:r>
    </w:p>
    <w:p w14:paraId="1C25A954" w14:textId="44A574F4" w:rsidR="00150ED2" w:rsidRPr="00D909D0" w:rsidRDefault="00150ED2" w:rsidP="00150ED2">
      <w:pPr>
        <w:rPr>
          <w:rFonts w:cstheme="minorHAnsi"/>
          <w:sz w:val="20"/>
          <w:szCs w:val="20"/>
          <w:lang w:val="en-US"/>
        </w:rPr>
      </w:pPr>
      <w:r w:rsidRPr="00D909D0">
        <w:rPr>
          <w:rFonts w:cstheme="minorHAnsi"/>
          <w:sz w:val="20"/>
          <w:szCs w:val="20"/>
          <w:lang w:val="en-US"/>
        </w:rPr>
        <w:t xml:space="preserve">To gather the necessary country-level data for the GPEI, a questionnaire is completed by one or more experts from each of the countries represented. The country experts have extensive knowledge and experience of the sector in their respective countries, and most are based in those countries. </w:t>
      </w:r>
    </w:p>
    <w:p w14:paraId="7B7C167C" w14:textId="57CFC71D" w:rsidR="0064517C" w:rsidRPr="00D909D0" w:rsidRDefault="008671CA" w:rsidP="00150ED2">
      <w:pPr>
        <w:rPr>
          <w:rFonts w:cstheme="minorHAnsi"/>
          <w:sz w:val="20"/>
          <w:szCs w:val="20"/>
          <w:lang w:val="en-US"/>
        </w:rPr>
      </w:pPr>
      <w:r w:rsidRPr="00D909D0">
        <w:rPr>
          <w:rFonts w:cstheme="minorHAnsi"/>
          <w:noProof/>
          <w:sz w:val="20"/>
          <w:szCs w:val="20"/>
          <w:lang w:val="en-US"/>
        </w:rPr>
        <w:lastRenderedPageBreak/>
        <mc:AlternateContent>
          <mc:Choice Requires="wps">
            <w:drawing>
              <wp:anchor distT="45720" distB="45720" distL="114300" distR="114300" simplePos="0" relativeHeight="251663360" behindDoc="0" locked="0" layoutInCell="1" allowOverlap="1" wp14:anchorId="644B0C73" wp14:editId="63E38E56">
                <wp:simplePos x="0" y="0"/>
                <wp:positionH relativeFrom="margin">
                  <wp:align>left</wp:align>
                </wp:positionH>
                <wp:positionV relativeFrom="paragraph">
                  <wp:posOffset>1343025</wp:posOffset>
                </wp:positionV>
                <wp:extent cx="5760720" cy="60121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12180"/>
                        </a:xfrm>
                        <a:prstGeom prst="rect">
                          <a:avLst/>
                        </a:prstGeom>
                        <a:solidFill>
                          <a:srgbClr val="006298"/>
                        </a:solidFill>
                        <a:ln w="9525">
                          <a:noFill/>
                          <a:miter lim="800000"/>
                          <a:headEnd/>
                          <a:tailEnd/>
                        </a:ln>
                      </wps:spPr>
                      <wps:txbx>
                        <w:txbxContent>
                          <w:p w14:paraId="2BAF298E" w14:textId="77777777" w:rsidR="00BA5500" w:rsidRPr="00D909D0" w:rsidRDefault="00BA5500" w:rsidP="00BA5500">
                            <w:pPr>
                              <w:rPr>
                                <w:b/>
                                <w:bCs/>
                                <w:color w:val="FFFFFF" w:themeColor="background1"/>
                                <w:sz w:val="20"/>
                                <w:szCs w:val="20"/>
                                <w:lang w:val="en-US"/>
                              </w:rPr>
                            </w:pPr>
                            <w:r w:rsidRPr="00D909D0">
                              <w:rPr>
                                <w:b/>
                                <w:bCs/>
                                <w:color w:val="FFFFFF" w:themeColor="background1"/>
                                <w:sz w:val="20"/>
                                <w:szCs w:val="20"/>
                                <w:lang w:val="en-US"/>
                              </w:rPr>
                              <w:t>What are the Indicator Questions of the Global Philanthropy Environment Index?</w:t>
                            </w:r>
                          </w:p>
                          <w:p w14:paraId="79D9F02B"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1. Ease of Operating a Philanthropic Organizations</w:t>
                            </w:r>
                          </w:p>
                          <w:p w14:paraId="38DF9BAE"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 xml:space="preserve">This factor encompasses laws and regulations covering the formation, operation, and dissolution of philanthropic organizations. The scoring of the factor is based on the following three questions: </w:t>
                            </w:r>
                          </w:p>
                          <w:p w14:paraId="75643800"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can individuals form and incorporate the organizations defined?</w:t>
                            </w:r>
                          </w:p>
                          <w:p w14:paraId="20C55761"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are philanthropic organizations free to operate without excessive government interference?</w:t>
                            </w:r>
                          </w:p>
                          <w:p w14:paraId="4DB5F5FC"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is there government discretion in shutting down philanthropic organizations?</w:t>
                            </w:r>
                          </w:p>
                          <w:p w14:paraId="58AAA4E7"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2. Tax Incentives</w:t>
                            </w:r>
                          </w:p>
                          <w:p w14:paraId="25852263"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This factor covers policies that govern taxes and potential deductions on making and receiving donations. The following two questions guide the scoring:</w:t>
                            </w:r>
                          </w:p>
                          <w:p w14:paraId="7F84FC17" w14:textId="77777777" w:rsidR="00BA5500" w:rsidRPr="00D909D0" w:rsidRDefault="00BA5500" w:rsidP="00BA5500">
                            <w:pPr>
                              <w:pStyle w:val="ListParagraph"/>
                              <w:numPr>
                                <w:ilvl w:val="0"/>
                                <w:numId w:val="2"/>
                              </w:numPr>
                              <w:rPr>
                                <w:color w:val="FFFFFF" w:themeColor="background1"/>
                                <w:sz w:val="20"/>
                                <w:szCs w:val="20"/>
                                <w:lang w:val="en-US"/>
                              </w:rPr>
                            </w:pPr>
                            <w:r w:rsidRPr="00D909D0">
                              <w:rPr>
                                <w:color w:val="FFFFFF" w:themeColor="background1"/>
                                <w:sz w:val="20"/>
                                <w:szCs w:val="20"/>
                                <w:lang w:val="en-US"/>
                              </w:rPr>
                              <w:t>To what extent is the tax system favorable to making charitable donations?</w:t>
                            </w:r>
                          </w:p>
                          <w:p w14:paraId="2BC7ED2D" w14:textId="77777777" w:rsidR="00BA5500" w:rsidRPr="00D909D0" w:rsidRDefault="00BA5500" w:rsidP="00BA5500">
                            <w:pPr>
                              <w:pStyle w:val="ListParagraph"/>
                              <w:numPr>
                                <w:ilvl w:val="0"/>
                                <w:numId w:val="2"/>
                              </w:numPr>
                              <w:rPr>
                                <w:color w:val="FFFFFF" w:themeColor="background1"/>
                                <w:sz w:val="20"/>
                                <w:szCs w:val="20"/>
                                <w:lang w:val="en-US"/>
                              </w:rPr>
                            </w:pPr>
                            <w:r w:rsidRPr="00D909D0">
                              <w:rPr>
                                <w:color w:val="FFFFFF" w:themeColor="background1"/>
                                <w:sz w:val="20"/>
                                <w:szCs w:val="20"/>
                                <w:lang w:val="en-US"/>
                              </w:rPr>
                              <w:t>To what extent is the tax system favorable to philanthropic organizations in receiving charitable donations?</w:t>
                            </w:r>
                          </w:p>
                          <w:p w14:paraId="2FE2A3B3"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3. Cross-border Philanthropy</w:t>
                            </w:r>
                          </w:p>
                          <w:p w14:paraId="24AEE764"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 xml:space="preserve">This factor addresses incentives and barriers in making and receiving cross-border donations. There are two indicator questions: </w:t>
                            </w:r>
                          </w:p>
                          <w:p w14:paraId="64EFA73D" w14:textId="77777777" w:rsidR="00BA5500" w:rsidRPr="00D909D0" w:rsidRDefault="00BA5500" w:rsidP="00BA5500">
                            <w:pPr>
                              <w:pStyle w:val="ListParagraph"/>
                              <w:numPr>
                                <w:ilvl w:val="0"/>
                                <w:numId w:val="3"/>
                              </w:numPr>
                              <w:rPr>
                                <w:color w:val="FFFFFF" w:themeColor="background1"/>
                                <w:sz w:val="20"/>
                                <w:szCs w:val="20"/>
                                <w:lang w:val="en-US"/>
                              </w:rPr>
                            </w:pPr>
                            <w:r w:rsidRPr="00D909D0">
                              <w:rPr>
                                <w:color w:val="FFFFFF" w:themeColor="background1"/>
                                <w:sz w:val="20"/>
                                <w:szCs w:val="20"/>
                                <w:lang w:val="en-US"/>
                              </w:rPr>
                              <w:t>To what extent is the legal regulatory environment favorable to sending cross-border donations?</w:t>
                            </w:r>
                          </w:p>
                          <w:p w14:paraId="63B8620C" w14:textId="376F2E1B" w:rsidR="00826430" w:rsidRPr="00D909D0" w:rsidRDefault="00BA5500" w:rsidP="00826430">
                            <w:pPr>
                              <w:pStyle w:val="ListParagraph"/>
                              <w:numPr>
                                <w:ilvl w:val="0"/>
                                <w:numId w:val="3"/>
                              </w:numPr>
                              <w:rPr>
                                <w:color w:val="FFFFFF" w:themeColor="background1"/>
                                <w:sz w:val="20"/>
                                <w:szCs w:val="20"/>
                                <w:lang w:val="en-US"/>
                              </w:rPr>
                            </w:pPr>
                            <w:r w:rsidRPr="00D909D0">
                              <w:rPr>
                                <w:color w:val="FFFFFF" w:themeColor="background1"/>
                                <w:sz w:val="20"/>
                                <w:szCs w:val="20"/>
                                <w:lang w:val="en-US"/>
                              </w:rPr>
                              <w:t>To what extent is the legal regulatory environment favorable to receiving cross-border donations?</w:t>
                            </w:r>
                          </w:p>
                          <w:p w14:paraId="77D00006" w14:textId="77777777" w:rsidR="00826430" w:rsidRPr="00D909D0" w:rsidRDefault="00826430" w:rsidP="00826430">
                            <w:pPr>
                              <w:pStyle w:val="NoSpacing"/>
                              <w:rPr>
                                <w:i/>
                                <w:iCs/>
                                <w:color w:val="FFFFFF" w:themeColor="background1"/>
                                <w:sz w:val="20"/>
                                <w:szCs w:val="20"/>
                              </w:rPr>
                            </w:pPr>
                            <w:r w:rsidRPr="00D909D0">
                              <w:rPr>
                                <w:i/>
                                <w:iCs/>
                                <w:color w:val="FFFFFF" w:themeColor="background1"/>
                                <w:sz w:val="20"/>
                                <w:szCs w:val="20"/>
                              </w:rPr>
                              <w:t>4. Political Environment</w:t>
                            </w:r>
                          </w:p>
                          <w:p w14:paraId="019DD6BA" w14:textId="77777777" w:rsidR="00826430" w:rsidRPr="00D909D0" w:rsidRDefault="00826430" w:rsidP="00826430">
                            <w:pPr>
                              <w:rPr>
                                <w:color w:val="FFFFFF" w:themeColor="background1"/>
                                <w:sz w:val="20"/>
                                <w:szCs w:val="20"/>
                                <w:lang w:val="en-US"/>
                              </w:rPr>
                            </w:pPr>
                            <w:r w:rsidRPr="00D909D0">
                              <w:rPr>
                                <w:color w:val="FFFFFF" w:themeColor="background1"/>
                                <w:sz w:val="20"/>
                                <w:szCs w:val="20"/>
                                <w:lang w:val="en-US"/>
                              </w:rPr>
                              <w:t>The factor is composed of two key aspects: the relationship the government has with the philanthropic sector, and the policies and practices that govern the sector. These are represented by the following questions:</w:t>
                            </w:r>
                          </w:p>
                          <w:p w14:paraId="1F434A74" w14:textId="77777777" w:rsidR="00826430" w:rsidRPr="00D909D0" w:rsidRDefault="00826430" w:rsidP="00826430">
                            <w:pPr>
                              <w:pStyle w:val="ListParagraph"/>
                              <w:numPr>
                                <w:ilvl w:val="0"/>
                                <w:numId w:val="10"/>
                              </w:numPr>
                              <w:rPr>
                                <w:color w:val="FFFFFF" w:themeColor="background1"/>
                                <w:sz w:val="20"/>
                                <w:szCs w:val="20"/>
                                <w:lang w:val="en-US"/>
                              </w:rPr>
                            </w:pPr>
                            <w:r w:rsidRPr="00D909D0">
                              <w:rPr>
                                <w:color w:val="FFFFFF" w:themeColor="background1"/>
                                <w:sz w:val="20"/>
                                <w:szCs w:val="20"/>
                                <w:lang w:val="en-US"/>
                              </w:rPr>
                              <w:t>To what extent is the political environment favorable for philanthropy?</w:t>
                            </w:r>
                          </w:p>
                          <w:p w14:paraId="738C1669" w14:textId="77777777" w:rsidR="00826430" w:rsidRDefault="00826430" w:rsidP="00826430">
                            <w:pPr>
                              <w:pStyle w:val="ListParagraph"/>
                              <w:numPr>
                                <w:ilvl w:val="0"/>
                                <w:numId w:val="10"/>
                              </w:numPr>
                              <w:rPr>
                                <w:color w:val="FFFFFF" w:themeColor="background1"/>
                                <w:sz w:val="20"/>
                                <w:szCs w:val="20"/>
                                <w:lang w:val="en-US"/>
                              </w:rPr>
                            </w:pPr>
                            <w:r w:rsidRPr="00D909D0">
                              <w:rPr>
                                <w:color w:val="FFFFFF" w:themeColor="background1"/>
                                <w:sz w:val="20"/>
                                <w:szCs w:val="20"/>
                                <w:lang w:val="en-US"/>
                              </w:rPr>
                              <w:t>To what extent are public policies and practices favorable for philanthropy?</w:t>
                            </w:r>
                          </w:p>
                          <w:p w14:paraId="59DA2FF1" w14:textId="77777777" w:rsidR="008671CA" w:rsidRPr="00F6620D" w:rsidRDefault="008671CA" w:rsidP="008671CA">
                            <w:pPr>
                              <w:pStyle w:val="NoSpacing"/>
                              <w:rPr>
                                <w:i/>
                                <w:iCs/>
                                <w:color w:val="FFFFFF" w:themeColor="background1"/>
                                <w:sz w:val="20"/>
                                <w:szCs w:val="20"/>
                              </w:rPr>
                            </w:pPr>
                            <w:r w:rsidRPr="00F6620D">
                              <w:rPr>
                                <w:i/>
                                <w:iCs/>
                                <w:color w:val="FFFFFF" w:themeColor="background1"/>
                                <w:sz w:val="20"/>
                                <w:szCs w:val="20"/>
                              </w:rPr>
                              <w:t>5. Economic Environment</w:t>
                            </w:r>
                          </w:p>
                          <w:p w14:paraId="226E2584" w14:textId="77777777" w:rsidR="008671CA" w:rsidRPr="00F6620D" w:rsidRDefault="008671CA" w:rsidP="008671CA">
                            <w:pPr>
                              <w:rPr>
                                <w:color w:val="FFFFFF" w:themeColor="background1"/>
                                <w:sz w:val="20"/>
                                <w:szCs w:val="20"/>
                                <w:lang w:val="en-US"/>
                              </w:rPr>
                            </w:pPr>
                            <w:r w:rsidRPr="00F6620D">
                              <w:rPr>
                                <w:color w:val="FFFFFF" w:themeColor="background1"/>
                                <w:sz w:val="20"/>
                                <w:szCs w:val="20"/>
                                <w:lang w:val="en-US"/>
                              </w:rPr>
                              <w:t xml:space="preserve">This factor looks at the economic conditions within a country and how these either promote or hinder both individual and institutional philanthropy. This factor consists of a single question: </w:t>
                            </w:r>
                          </w:p>
                          <w:p w14:paraId="76A2012E" w14:textId="77777777" w:rsidR="008671CA" w:rsidRPr="00F6620D" w:rsidRDefault="008671CA" w:rsidP="008671CA">
                            <w:pPr>
                              <w:pStyle w:val="ListParagraph"/>
                              <w:numPr>
                                <w:ilvl w:val="0"/>
                                <w:numId w:val="11"/>
                              </w:numPr>
                              <w:rPr>
                                <w:color w:val="FFFFFF" w:themeColor="background1"/>
                                <w:sz w:val="20"/>
                                <w:szCs w:val="20"/>
                                <w:lang w:val="en-US"/>
                              </w:rPr>
                            </w:pPr>
                            <w:r w:rsidRPr="00F6620D">
                              <w:rPr>
                                <w:color w:val="FFFFFF" w:themeColor="background1"/>
                                <w:sz w:val="20"/>
                                <w:szCs w:val="20"/>
                                <w:lang w:val="en-US"/>
                              </w:rPr>
                              <w:t>To what extent is the economic context favorable for philanthropy?</w:t>
                            </w:r>
                          </w:p>
                          <w:p w14:paraId="125E7608" w14:textId="77777777" w:rsidR="008671CA" w:rsidRPr="00D909D0" w:rsidRDefault="008671CA" w:rsidP="00D909D0">
                            <w:pPr>
                              <w:rPr>
                                <w:color w:val="FFFFFF" w:themeColor="background1"/>
                                <w:sz w:val="20"/>
                                <w:szCs w:val="20"/>
                                <w:lang w:val="en-US"/>
                              </w:rPr>
                            </w:pPr>
                          </w:p>
                          <w:p w14:paraId="2288DE97" w14:textId="77777777" w:rsidR="00826430" w:rsidRPr="00826430" w:rsidRDefault="00826430" w:rsidP="00826430">
                            <w:pPr>
                              <w:rPr>
                                <w:color w:val="FFFFFF" w:themeColor="background1"/>
                                <w:lang w:val="en-US"/>
                              </w:rPr>
                            </w:pPr>
                          </w:p>
                          <w:p w14:paraId="0299D878" w14:textId="77777777" w:rsidR="00BA5500" w:rsidRDefault="00BA5500" w:rsidP="00BA5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B0C73" id="_x0000_t202" coordsize="21600,21600" o:spt="202" path="m,l,21600r21600,l21600,xe">
                <v:stroke joinstyle="miter"/>
                <v:path gradientshapeok="t" o:connecttype="rect"/>
              </v:shapetype>
              <v:shape id="Text Box 10" o:spid="_x0000_s1026" type="#_x0000_t202" style="position:absolute;margin-left:0;margin-top:105.75pt;width:453.6pt;height:47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" fillcolor="#006298" stroked="f">
                <v:textbox>
                  <w:txbxContent>
                    <w:p w14:paraId="2BAF298E" w14:textId="77777777" w:rsidR="00BA5500" w:rsidRPr="00D909D0" w:rsidRDefault="00BA5500" w:rsidP="00BA5500">
                      <w:pPr>
                        <w:rPr>
                          <w:b/>
                          <w:bCs/>
                          <w:color w:val="FFFFFF" w:themeColor="background1"/>
                          <w:sz w:val="20"/>
                          <w:szCs w:val="20"/>
                          <w:lang w:val="en-US"/>
                        </w:rPr>
                      </w:pPr>
                      <w:r w:rsidRPr="00D909D0">
                        <w:rPr>
                          <w:b/>
                          <w:bCs/>
                          <w:color w:val="FFFFFF" w:themeColor="background1"/>
                          <w:sz w:val="20"/>
                          <w:szCs w:val="20"/>
                          <w:lang w:val="en-US"/>
                        </w:rPr>
                        <w:t>What are the Indicator Questions of the Global Philanthropy Environment Index?</w:t>
                      </w:r>
                    </w:p>
                    <w:p w14:paraId="79D9F02B"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1. Ease of Operating a Philanthropic Organizations</w:t>
                      </w:r>
                    </w:p>
                    <w:p w14:paraId="38DF9BAE"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 xml:space="preserve">This factor encompasses laws and regulations covering the formation, operation, and dissolution of philanthropic organizations. The scoring of the factor is based on the following three questions: </w:t>
                      </w:r>
                    </w:p>
                    <w:p w14:paraId="75643800"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can individuals form and incorporate the organizations defined?</w:t>
                      </w:r>
                    </w:p>
                    <w:p w14:paraId="20C55761"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are philanthropic organizations free to operate without excessive government interference?</w:t>
                      </w:r>
                    </w:p>
                    <w:p w14:paraId="4DB5F5FC" w14:textId="77777777" w:rsidR="00BA5500" w:rsidRPr="00D909D0" w:rsidRDefault="00BA5500" w:rsidP="00BA5500">
                      <w:pPr>
                        <w:pStyle w:val="ListParagraph"/>
                        <w:numPr>
                          <w:ilvl w:val="0"/>
                          <w:numId w:val="1"/>
                        </w:numPr>
                        <w:rPr>
                          <w:color w:val="FFFFFF" w:themeColor="background1"/>
                          <w:sz w:val="20"/>
                          <w:szCs w:val="20"/>
                          <w:lang w:val="en-US"/>
                        </w:rPr>
                      </w:pPr>
                      <w:r w:rsidRPr="00D909D0">
                        <w:rPr>
                          <w:color w:val="FFFFFF" w:themeColor="background1"/>
                          <w:sz w:val="20"/>
                          <w:szCs w:val="20"/>
                          <w:lang w:val="en-US"/>
                        </w:rPr>
                        <w:t>To what extent is there government discretion in shutting down philanthropic organizations?</w:t>
                      </w:r>
                    </w:p>
                    <w:p w14:paraId="58AAA4E7"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2. Tax Incentives</w:t>
                      </w:r>
                    </w:p>
                    <w:p w14:paraId="25852263"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This factor covers policies that govern taxes and potential deductions on making and receiving donations. The following two questions guide the scoring:</w:t>
                      </w:r>
                    </w:p>
                    <w:p w14:paraId="7F84FC17" w14:textId="77777777" w:rsidR="00BA5500" w:rsidRPr="00D909D0" w:rsidRDefault="00BA5500" w:rsidP="00BA5500">
                      <w:pPr>
                        <w:pStyle w:val="ListParagraph"/>
                        <w:numPr>
                          <w:ilvl w:val="0"/>
                          <w:numId w:val="2"/>
                        </w:numPr>
                        <w:rPr>
                          <w:color w:val="FFFFFF" w:themeColor="background1"/>
                          <w:sz w:val="20"/>
                          <w:szCs w:val="20"/>
                          <w:lang w:val="en-US"/>
                        </w:rPr>
                      </w:pPr>
                      <w:r w:rsidRPr="00D909D0">
                        <w:rPr>
                          <w:color w:val="FFFFFF" w:themeColor="background1"/>
                          <w:sz w:val="20"/>
                          <w:szCs w:val="20"/>
                          <w:lang w:val="en-US"/>
                        </w:rPr>
                        <w:t>To what extent is the tax system favorable to making charitable donations?</w:t>
                      </w:r>
                    </w:p>
                    <w:p w14:paraId="2BC7ED2D" w14:textId="77777777" w:rsidR="00BA5500" w:rsidRPr="00D909D0" w:rsidRDefault="00BA5500" w:rsidP="00BA5500">
                      <w:pPr>
                        <w:pStyle w:val="ListParagraph"/>
                        <w:numPr>
                          <w:ilvl w:val="0"/>
                          <w:numId w:val="2"/>
                        </w:numPr>
                        <w:rPr>
                          <w:color w:val="FFFFFF" w:themeColor="background1"/>
                          <w:sz w:val="20"/>
                          <w:szCs w:val="20"/>
                          <w:lang w:val="en-US"/>
                        </w:rPr>
                      </w:pPr>
                      <w:r w:rsidRPr="00D909D0">
                        <w:rPr>
                          <w:color w:val="FFFFFF" w:themeColor="background1"/>
                          <w:sz w:val="20"/>
                          <w:szCs w:val="20"/>
                          <w:lang w:val="en-US"/>
                        </w:rPr>
                        <w:t>To what extent is the tax system favorable to philanthropic organizations in receiving charitable donations?</w:t>
                      </w:r>
                    </w:p>
                    <w:p w14:paraId="2FE2A3B3" w14:textId="77777777" w:rsidR="00BA5500" w:rsidRPr="00D909D0" w:rsidRDefault="00BA5500" w:rsidP="00BA5500">
                      <w:pPr>
                        <w:pStyle w:val="NoSpacing"/>
                        <w:rPr>
                          <w:i/>
                          <w:iCs/>
                          <w:color w:val="FFFFFF" w:themeColor="background1"/>
                          <w:sz w:val="20"/>
                          <w:szCs w:val="20"/>
                        </w:rPr>
                      </w:pPr>
                      <w:r w:rsidRPr="00D909D0">
                        <w:rPr>
                          <w:i/>
                          <w:iCs/>
                          <w:color w:val="FFFFFF" w:themeColor="background1"/>
                          <w:sz w:val="20"/>
                          <w:szCs w:val="20"/>
                        </w:rPr>
                        <w:t>3. Cross-border Philanthropy</w:t>
                      </w:r>
                    </w:p>
                    <w:p w14:paraId="24AEE764" w14:textId="77777777" w:rsidR="00BA5500" w:rsidRPr="00D909D0" w:rsidRDefault="00BA5500" w:rsidP="00BA5500">
                      <w:pPr>
                        <w:rPr>
                          <w:color w:val="FFFFFF" w:themeColor="background1"/>
                          <w:sz w:val="20"/>
                          <w:szCs w:val="20"/>
                          <w:lang w:val="en-US"/>
                        </w:rPr>
                      </w:pPr>
                      <w:r w:rsidRPr="00D909D0">
                        <w:rPr>
                          <w:color w:val="FFFFFF" w:themeColor="background1"/>
                          <w:sz w:val="20"/>
                          <w:szCs w:val="20"/>
                          <w:lang w:val="en-US"/>
                        </w:rPr>
                        <w:t xml:space="preserve">This factor addresses incentives and barriers in making and receiving cross-border donations. There are two indicator questions: </w:t>
                      </w:r>
                    </w:p>
                    <w:p w14:paraId="64EFA73D" w14:textId="77777777" w:rsidR="00BA5500" w:rsidRPr="00D909D0" w:rsidRDefault="00BA5500" w:rsidP="00BA5500">
                      <w:pPr>
                        <w:pStyle w:val="ListParagraph"/>
                        <w:numPr>
                          <w:ilvl w:val="0"/>
                          <w:numId w:val="3"/>
                        </w:numPr>
                        <w:rPr>
                          <w:color w:val="FFFFFF" w:themeColor="background1"/>
                          <w:sz w:val="20"/>
                          <w:szCs w:val="20"/>
                          <w:lang w:val="en-US"/>
                        </w:rPr>
                      </w:pPr>
                      <w:r w:rsidRPr="00D909D0">
                        <w:rPr>
                          <w:color w:val="FFFFFF" w:themeColor="background1"/>
                          <w:sz w:val="20"/>
                          <w:szCs w:val="20"/>
                          <w:lang w:val="en-US"/>
                        </w:rPr>
                        <w:t>To what extent is the legal regulatory environment favorable to sending cross-border donations?</w:t>
                      </w:r>
                    </w:p>
                    <w:p w14:paraId="63B8620C" w14:textId="376F2E1B" w:rsidR="00826430" w:rsidRPr="00D909D0" w:rsidRDefault="00BA5500" w:rsidP="00826430">
                      <w:pPr>
                        <w:pStyle w:val="ListParagraph"/>
                        <w:numPr>
                          <w:ilvl w:val="0"/>
                          <w:numId w:val="3"/>
                        </w:numPr>
                        <w:rPr>
                          <w:color w:val="FFFFFF" w:themeColor="background1"/>
                          <w:sz w:val="20"/>
                          <w:szCs w:val="20"/>
                          <w:lang w:val="en-US"/>
                        </w:rPr>
                      </w:pPr>
                      <w:r w:rsidRPr="00D909D0">
                        <w:rPr>
                          <w:color w:val="FFFFFF" w:themeColor="background1"/>
                          <w:sz w:val="20"/>
                          <w:szCs w:val="20"/>
                          <w:lang w:val="en-US"/>
                        </w:rPr>
                        <w:t>To what extent is the legal regulatory environment favorable to receiving cross-border donations?</w:t>
                      </w:r>
                    </w:p>
                    <w:p w14:paraId="77D00006" w14:textId="77777777" w:rsidR="00826430" w:rsidRPr="00D909D0" w:rsidRDefault="00826430" w:rsidP="00826430">
                      <w:pPr>
                        <w:pStyle w:val="NoSpacing"/>
                        <w:rPr>
                          <w:i/>
                          <w:iCs/>
                          <w:color w:val="FFFFFF" w:themeColor="background1"/>
                          <w:sz w:val="20"/>
                          <w:szCs w:val="20"/>
                        </w:rPr>
                      </w:pPr>
                      <w:r w:rsidRPr="00D909D0">
                        <w:rPr>
                          <w:i/>
                          <w:iCs/>
                          <w:color w:val="FFFFFF" w:themeColor="background1"/>
                          <w:sz w:val="20"/>
                          <w:szCs w:val="20"/>
                        </w:rPr>
                        <w:t>4. Political Environment</w:t>
                      </w:r>
                    </w:p>
                    <w:p w14:paraId="019DD6BA" w14:textId="77777777" w:rsidR="00826430" w:rsidRPr="00D909D0" w:rsidRDefault="00826430" w:rsidP="00826430">
                      <w:pPr>
                        <w:rPr>
                          <w:color w:val="FFFFFF" w:themeColor="background1"/>
                          <w:sz w:val="20"/>
                          <w:szCs w:val="20"/>
                          <w:lang w:val="en-US"/>
                        </w:rPr>
                      </w:pPr>
                      <w:r w:rsidRPr="00D909D0">
                        <w:rPr>
                          <w:color w:val="FFFFFF" w:themeColor="background1"/>
                          <w:sz w:val="20"/>
                          <w:szCs w:val="20"/>
                          <w:lang w:val="en-US"/>
                        </w:rPr>
                        <w:t>The factor is composed of two key aspects: the relationship the government has with the philanthropic sector, and the policies and practices that govern the sector. These are represented by the following questions:</w:t>
                      </w:r>
                    </w:p>
                    <w:p w14:paraId="1F434A74" w14:textId="77777777" w:rsidR="00826430" w:rsidRPr="00D909D0" w:rsidRDefault="00826430" w:rsidP="00826430">
                      <w:pPr>
                        <w:pStyle w:val="ListParagraph"/>
                        <w:numPr>
                          <w:ilvl w:val="0"/>
                          <w:numId w:val="10"/>
                        </w:numPr>
                        <w:rPr>
                          <w:color w:val="FFFFFF" w:themeColor="background1"/>
                          <w:sz w:val="20"/>
                          <w:szCs w:val="20"/>
                          <w:lang w:val="en-US"/>
                        </w:rPr>
                      </w:pPr>
                      <w:r w:rsidRPr="00D909D0">
                        <w:rPr>
                          <w:color w:val="FFFFFF" w:themeColor="background1"/>
                          <w:sz w:val="20"/>
                          <w:szCs w:val="20"/>
                          <w:lang w:val="en-US"/>
                        </w:rPr>
                        <w:t>To what extent is the political environment favorable for philanthropy?</w:t>
                      </w:r>
                    </w:p>
                    <w:p w14:paraId="738C1669" w14:textId="77777777" w:rsidR="00826430" w:rsidRDefault="00826430" w:rsidP="00826430">
                      <w:pPr>
                        <w:pStyle w:val="ListParagraph"/>
                        <w:numPr>
                          <w:ilvl w:val="0"/>
                          <w:numId w:val="10"/>
                        </w:numPr>
                        <w:rPr>
                          <w:color w:val="FFFFFF" w:themeColor="background1"/>
                          <w:sz w:val="20"/>
                          <w:szCs w:val="20"/>
                          <w:lang w:val="en-US"/>
                        </w:rPr>
                      </w:pPr>
                      <w:r w:rsidRPr="00D909D0">
                        <w:rPr>
                          <w:color w:val="FFFFFF" w:themeColor="background1"/>
                          <w:sz w:val="20"/>
                          <w:szCs w:val="20"/>
                          <w:lang w:val="en-US"/>
                        </w:rPr>
                        <w:t>To what extent are public policies and practices favorable for philanthropy?</w:t>
                      </w:r>
                    </w:p>
                    <w:p w14:paraId="59DA2FF1" w14:textId="77777777" w:rsidR="008671CA" w:rsidRPr="00F6620D" w:rsidRDefault="008671CA" w:rsidP="008671CA">
                      <w:pPr>
                        <w:pStyle w:val="NoSpacing"/>
                        <w:rPr>
                          <w:i/>
                          <w:iCs/>
                          <w:color w:val="FFFFFF" w:themeColor="background1"/>
                          <w:sz w:val="20"/>
                          <w:szCs w:val="20"/>
                        </w:rPr>
                      </w:pPr>
                      <w:r w:rsidRPr="00F6620D">
                        <w:rPr>
                          <w:i/>
                          <w:iCs/>
                          <w:color w:val="FFFFFF" w:themeColor="background1"/>
                          <w:sz w:val="20"/>
                          <w:szCs w:val="20"/>
                        </w:rPr>
                        <w:t>5. Economic Environment</w:t>
                      </w:r>
                    </w:p>
                    <w:p w14:paraId="226E2584" w14:textId="77777777" w:rsidR="008671CA" w:rsidRPr="00F6620D" w:rsidRDefault="008671CA" w:rsidP="008671CA">
                      <w:pPr>
                        <w:rPr>
                          <w:color w:val="FFFFFF" w:themeColor="background1"/>
                          <w:sz w:val="20"/>
                          <w:szCs w:val="20"/>
                          <w:lang w:val="en-US"/>
                        </w:rPr>
                      </w:pPr>
                      <w:r w:rsidRPr="00F6620D">
                        <w:rPr>
                          <w:color w:val="FFFFFF" w:themeColor="background1"/>
                          <w:sz w:val="20"/>
                          <w:szCs w:val="20"/>
                          <w:lang w:val="en-US"/>
                        </w:rPr>
                        <w:t xml:space="preserve">This factor looks at the economic conditions within a country and how these either promote or hinder both individual and institutional philanthropy. This factor consists of a single question: </w:t>
                      </w:r>
                    </w:p>
                    <w:p w14:paraId="76A2012E" w14:textId="77777777" w:rsidR="008671CA" w:rsidRPr="00F6620D" w:rsidRDefault="008671CA" w:rsidP="008671CA">
                      <w:pPr>
                        <w:pStyle w:val="ListParagraph"/>
                        <w:numPr>
                          <w:ilvl w:val="0"/>
                          <w:numId w:val="11"/>
                        </w:numPr>
                        <w:rPr>
                          <w:color w:val="FFFFFF" w:themeColor="background1"/>
                          <w:sz w:val="20"/>
                          <w:szCs w:val="20"/>
                          <w:lang w:val="en-US"/>
                        </w:rPr>
                      </w:pPr>
                      <w:r w:rsidRPr="00F6620D">
                        <w:rPr>
                          <w:color w:val="FFFFFF" w:themeColor="background1"/>
                          <w:sz w:val="20"/>
                          <w:szCs w:val="20"/>
                          <w:lang w:val="en-US"/>
                        </w:rPr>
                        <w:t>To what extent is the economic context favorable for philanthropy?</w:t>
                      </w:r>
                    </w:p>
                    <w:p w14:paraId="125E7608" w14:textId="77777777" w:rsidR="008671CA" w:rsidRPr="00D909D0" w:rsidRDefault="008671CA" w:rsidP="00D909D0">
                      <w:pPr>
                        <w:rPr>
                          <w:color w:val="FFFFFF" w:themeColor="background1"/>
                          <w:sz w:val="20"/>
                          <w:szCs w:val="20"/>
                          <w:lang w:val="en-US"/>
                        </w:rPr>
                      </w:pPr>
                    </w:p>
                    <w:p w14:paraId="2288DE97" w14:textId="77777777" w:rsidR="00826430" w:rsidRPr="00826430" w:rsidRDefault="00826430" w:rsidP="00826430">
                      <w:pPr>
                        <w:rPr>
                          <w:color w:val="FFFFFF" w:themeColor="background1"/>
                          <w:lang w:val="en-US"/>
                        </w:rPr>
                      </w:pPr>
                    </w:p>
                    <w:p w14:paraId="0299D878" w14:textId="77777777" w:rsidR="00BA5500" w:rsidRDefault="00BA5500" w:rsidP="00BA5500"/>
                  </w:txbxContent>
                </v:textbox>
                <w10:wrap type="square" anchorx="margin"/>
              </v:shape>
            </w:pict>
          </mc:Fallback>
        </mc:AlternateContent>
      </w:r>
      <w:r w:rsidR="00150ED2" w:rsidRPr="00D909D0">
        <w:rPr>
          <w:rFonts w:cstheme="minorHAnsi"/>
          <w:sz w:val="20"/>
          <w:szCs w:val="20"/>
          <w:lang w:val="en-US"/>
        </w:rPr>
        <w:t>The survey contains 11 questions used to develop scores for the six main factors measured by the index.</w:t>
      </w:r>
      <w:r w:rsidR="00650761" w:rsidRPr="00D909D0">
        <w:rPr>
          <w:rStyle w:val="FootnoteReference"/>
          <w:rFonts w:cstheme="minorHAnsi"/>
          <w:sz w:val="20"/>
          <w:szCs w:val="20"/>
          <w:lang w:val="en-US"/>
        </w:rPr>
        <w:t xml:space="preserve"> </w:t>
      </w:r>
      <w:r w:rsidR="00650761" w:rsidRPr="00D909D0">
        <w:rPr>
          <w:rStyle w:val="FootnoteReference"/>
          <w:rFonts w:cstheme="minorHAnsi"/>
          <w:sz w:val="20"/>
          <w:szCs w:val="20"/>
          <w:lang w:val="en-US"/>
        </w:rPr>
        <w:footnoteReference w:id="1"/>
      </w:r>
      <w:r w:rsidR="00150ED2" w:rsidRPr="00D909D0">
        <w:rPr>
          <w:rFonts w:cstheme="minorHAnsi"/>
          <w:sz w:val="20"/>
          <w:szCs w:val="20"/>
          <w:lang w:val="en-US"/>
        </w:rPr>
        <w:t xml:space="preserve"> For each question, the expert provides a narrative of roughly 300 words along with a score on a scale from 1 to 5 using a scoring guideline provided with the survey. A score of 1 indicates a very unfavorable environment, while a score of 5 indicates a very favorable environment. The six indicator scores are then averaged to create an overall score for the country’s philanthropic environment. The experts also provided information about the reality of the philanthropic environment within the </w:t>
      </w:r>
      <w:r w:rsidR="007A33F4" w:rsidRPr="00D909D0">
        <w:rPr>
          <w:rFonts w:cstheme="minorHAnsi"/>
          <w:sz w:val="20"/>
          <w:szCs w:val="20"/>
          <w:lang w:val="en-US"/>
        </w:rPr>
        <w:t>c</w:t>
      </w:r>
      <w:r w:rsidR="00150ED2" w:rsidRPr="00D909D0">
        <w:rPr>
          <w:rFonts w:cstheme="minorHAnsi"/>
          <w:sz w:val="20"/>
          <w:szCs w:val="20"/>
          <w:lang w:val="en-US"/>
        </w:rPr>
        <w:t xml:space="preserve">ountry, including the impact of laws and regulations, experience within the philanthropic sector, and insights about what factors matter within each </w:t>
      </w:r>
      <w:r w:rsidR="007A33F4" w:rsidRPr="00D909D0">
        <w:rPr>
          <w:rFonts w:cstheme="minorHAnsi"/>
          <w:sz w:val="20"/>
          <w:szCs w:val="20"/>
          <w:lang w:val="en-US"/>
        </w:rPr>
        <w:t>country</w:t>
      </w:r>
      <w:r w:rsidR="00150ED2" w:rsidRPr="00D909D0">
        <w:rPr>
          <w:rFonts w:cstheme="minorHAnsi"/>
          <w:sz w:val="20"/>
          <w:szCs w:val="20"/>
          <w:lang w:val="en-US"/>
        </w:rPr>
        <w:t xml:space="preserve">. </w:t>
      </w:r>
    </w:p>
    <w:p w14:paraId="768E1B24" w14:textId="6F9F3C9F" w:rsidR="00BA5500" w:rsidRPr="00D909D0" w:rsidRDefault="008671CA" w:rsidP="00BA5500">
      <w:pPr>
        <w:rPr>
          <w:rFonts w:cstheme="minorHAnsi"/>
          <w:b/>
          <w:bCs/>
          <w:sz w:val="20"/>
          <w:szCs w:val="20"/>
          <w:lang w:val="en-US"/>
        </w:rPr>
      </w:pPr>
      <w:r w:rsidRPr="00D909D0">
        <w:rPr>
          <w:rFonts w:cstheme="minorHAnsi"/>
          <w:noProof/>
          <w:sz w:val="20"/>
          <w:szCs w:val="20"/>
          <w:lang w:val="en-US"/>
        </w:rPr>
        <mc:AlternateContent>
          <mc:Choice Requires="wps">
            <w:drawing>
              <wp:anchor distT="45720" distB="45720" distL="114300" distR="114300" simplePos="0" relativeHeight="251661312" behindDoc="0" locked="0" layoutInCell="1" allowOverlap="1" wp14:anchorId="1868AD56" wp14:editId="4AE59613">
                <wp:simplePos x="0" y="0"/>
                <wp:positionH relativeFrom="margin">
                  <wp:align>left</wp:align>
                </wp:positionH>
                <wp:positionV relativeFrom="paragraph">
                  <wp:posOffset>266700</wp:posOffset>
                </wp:positionV>
                <wp:extent cx="5760720" cy="18669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66900"/>
                        </a:xfrm>
                        <a:prstGeom prst="rect">
                          <a:avLst/>
                        </a:prstGeom>
                        <a:solidFill>
                          <a:srgbClr val="006298"/>
                        </a:solidFill>
                        <a:ln w="9525">
                          <a:noFill/>
                          <a:miter lim="800000"/>
                          <a:headEnd/>
                          <a:tailEnd/>
                        </a:ln>
                      </wps:spPr>
                      <wps:txbx>
                        <w:txbxContent>
                          <w:p w14:paraId="5D4C9B8C" w14:textId="77777777" w:rsidR="008671CA" w:rsidRPr="00F6620D" w:rsidRDefault="008671CA" w:rsidP="008671CA">
                            <w:pPr>
                              <w:pStyle w:val="NoSpacing"/>
                              <w:rPr>
                                <w:i/>
                                <w:iCs/>
                                <w:color w:val="FFFFFF" w:themeColor="background1"/>
                                <w:sz w:val="20"/>
                                <w:szCs w:val="20"/>
                              </w:rPr>
                            </w:pPr>
                            <w:r w:rsidRPr="00F6620D">
                              <w:rPr>
                                <w:i/>
                                <w:iCs/>
                                <w:color w:val="FFFFFF" w:themeColor="background1"/>
                                <w:sz w:val="20"/>
                                <w:szCs w:val="20"/>
                              </w:rPr>
                              <w:t>6. Socio-Cultural Environment</w:t>
                            </w:r>
                          </w:p>
                          <w:p w14:paraId="5EF83A2D" w14:textId="77777777" w:rsidR="008671CA" w:rsidRPr="00F6620D" w:rsidRDefault="008671CA" w:rsidP="008671CA">
                            <w:pPr>
                              <w:rPr>
                                <w:color w:val="FFFFFF" w:themeColor="background1"/>
                                <w:sz w:val="20"/>
                                <w:szCs w:val="20"/>
                                <w:lang w:val="en-US"/>
                              </w:rPr>
                            </w:pPr>
                            <w:r w:rsidRPr="00F6620D">
                              <w:rPr>
                                <w:color w:val="FFFFFF" w:themeColor="background1"/>
                                <w:sz w:val="20"/>
                                <w:szCs w:val="20"/>
                                <w:lang w:val="en-US"/>
                              </w:rPr>
                              <w:t>This final factor examines how social values influence key conditions for philanthropy such as philanthropic traditions, public trust, awareness of philanthropy, and perceptions of philanthropic organizations. This factor also includes one question:</w:t>
                            </w:r>
                          </w:p>
                          <w:p w14:paraId="73DCB4E6" w14:textId="77777777" w:rsidR="008671CA" w:rsidRPr="00F6620D" w:rsidRDefault="008671CA" w:rsidP="008671CA">
                            <w:pPr>
                              <w:pStyle w:val="ListParagraph"/>
                              <w:numPr>
                                <w:ilvl w:val="0"/>
                                <w:numId w:val="12"/>
                              </w:numPr>
                              <w:rPr>
                                <w:color w:val="FFFFFF" w:themeColor="background1"/>
                                <w:sz w:val="20"/>
                                <w:szCs w:val="20"/>
                                <w:lang w:val="en-US"/>
                              </w:rPr>
                            </w:pPr>
                            <w:r w:rsidRPr="00F6620D">
                              <w:rPr>
                                <w:color w:val="FFFFFF" w:themeColor="background1"/>
                                <w:sz w:val="20"/>
                                <w:szCs w:val="20"/>
                                <w:lang w:val="en-US"/>
                              </w:rPr>
                              <w:t>To what extent are socio-cultural values and practices favorable for philanthropy?</w:t>
                            </w:r>
                          </w:p>
                          <w:p w14:paraId="1EAE5F65" w14:textId="342C6779" w:rsidR="007A33F4" w:rsidRPr="00D909D0" w:rsidRDefault="007A33F4" w:rsidP="007A33F4">
                            <w:pPr>
                              <w:rPr>
                                <w:color w:val="FFFFFF" w:themeColor="background1"/>
                                <w:sz w:val="20"/>
                                <w:szCs w:val="20"/>
                                <w:lang w:val="en-US"/>
                              </w:rPr>
                            </w:pPr>
                            <w:r w:rsidRPr="00D909D0">
                              <w:rPr>
                                <w:color w:val="FFFFFF" w:themeColor="background1"/>
                                <w:sz w:val="20"/>
                                <w:szCs w:val="20"/>
                                <w:lang w:val="en-US"/>
                              </w:rPr>
                              <w:t>Beyond the six primary indicators, the survey also asks experts to provide information about areas such as legal forms of philanthropic organizations, most supported causes, average registration time and cost, major events affecting philanthropy, and recommendations for improvement. (Based on Indiana University Lilly Family School of Philanthropy, 2022)</w:t>
                            </w:r>
                          </w:p>
                          <w:p w14:paraId="4A372C09" w14:textId="082B35EC" w:rsidR="007A33F4" w:rsidRPr="007A33F4" w:rsidRDefault="007A33F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8AD56" id="Text Box 9" o:spid="_x0000_s1027" type="#_x0000_t202" style="position:absolute;margin-left:0;margin-top:21pt;width:453.6pt;height:14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" fillcolor="#006298" stroked="f">
                <v:textbox>
                  <w:txbxContent>
                    <w:p w14:paraId="5D4C9B8C" w14:textId="77777777" w:rsidR="008671CA" w:rsidRPr="00F6620D" w:rsidRDefault="008671CA" w:rsidP="008671CA">
                      <w:pPr>
                        <w:pStyle w:val="NoSpacing"/>
                        <w:rPr>
                          <w:i/>
                          <w:iCs/>
                          <w:color w:val="FFFFFF" w:themeColor="background1"/>
                          <w:sz w:val="20"/>
                          <w:szCs w:val="20"/>
                        </w:rPr>
                      </w:pPr>
                      <w:r w:rsidRPr="00F6620D">
                        <w:rPr>
                          <w:i/>
                          <w:iCs/>
                          <w:color w:val="FFFFFF" w:themeColor="background1"/>
                          <w:sz w:val="20"/>
                          <w:szCs w:val="20"/>
                        </w:rPr>
                        <w:t>6. Socio-Cultural Environment</w:t>
                      </w:r>
                    </w:p>
                    <w:p w14:paraId="5EF83A2D" w14:textId="77777777" w:rsidR="008671CA" w:rsidRPr="00F6620D" w:rsidRDefault="008671CA" w:rsidP="008671CA">
                      <w:pPr>
                        <w:rPr>
                          <w:color w:val="FFFFFF" w:themeColor="background1"/>
                          <w:sz w:val="20"/>
                          <w:szCs w:val="20"/>
                          <w:lang w:val="en-US"/>
                        </w:rPr>
                      </w:pPr>
                      <w:r w:rsidRPr="00F6620D">
                        <w:rPr>
                          <w:color w:val="FFFFFF" w:themeColor="background1"/>
                          <w:sz w:val="20"/>
                          <w:szCs w:val="20"/>
                          <w:lang w:val="en-US"/>
                        </w:rPr>
                        <w:t>This final factor examines how social values influence key conditions for philanthropy such as philanthropic traditions, public trust, awareness of philanthropy, and perceptions of philanthropic organizations. This factor also includes one question:</w:t>
                      </w:r>
                    </w:p>
                    <w:p w14:paraId="73DCB4E6" w14:textId="77777777" w:rsidR="008671CA" w:rsidRPr="00F6620D" w:rsidRDefault="008671CA" w:rsidP="008671CA">
                      <w:pPr>
                        <w:pStyle w:val="ListParagraph"/>
                        <w:numPr>
                          <w:ilvl w:val="0"/>
                          <w:numId w:val="12"/>
                        </w:numPr>
                        <w:rPr>
                          <w:color w:val="FFFFFF" w:themeColor="background1"/>
                          <w:sz w:val="20"/>
                          <w:szCs w:val="20"/>
                          <w:lang w:val="en-US"/>
                        </w:rPr>
                      </w:pPr>
                      <w:r w:rsidRPr="00F6620D">
                        <w:rPr>
                          <w:color w:val="FFFFFF" w:themeColor="background1"/>
                          <w:sz w:val="20"/>
                          <w:szCs w:val="20"/>
                          <w:lang w:val="en-US"/>
                        </w:rPr>
                        <w:t>To what extent are socio-cultural values and practices favorable for philanthropy?</w:t>
                      </w:r>
                    </w:p>
                    <w:p w14:paraId="1EAE5F65" w14:textId="342C6779" w:rsidR="007A33F4" w:rsidRPr="00D909D0" w:rsidRDefault="007A33F4" w:rsidP="007A33F4">
                      <w:pPr>
                        <w:rPr>
                          <w:color w:val="FFFFFF" w:themeColor="background1"/>
                          <w:sz w:val="20"/>
                          <w:szCs w:val="20"/>
                          <w:lang w:val="en-US"/>
                        </w:rPr>
                      </w:pPr>
                      <w:r w:rsidRPr="00D909D0">
                        <w:rPr>
                          <w:color w:val="FFFFFF" w:themeColor="background1"/>
                          <w:sz w:val="20"/>
                          <w:szCs w:val="20"/>
                          <w:lang w:val="en-US"/>
                        </w:rPr>
                        <w:t>Beyond the six primary indicators, the survey also asks experts to provide information about areas such as legal forms of philanthropic organizations, most supported causes, average registration time and cost, major events affecting philanthropy, and recommendations for improvement. (Based on Indiana University Lilly Family School of Philanthropy, 2022)</w:t>
                      </w:r>
                    </w:p>
                    <w:p w14:paraId="4A372C09" w14:textId="082B35EC" w:rsidR="007A33F4" w:rsidRPr="007A33F4" w:rsidRDefault="007A33F4">
                      <w:pPr>
                        <w:rPr>
                          <w:lang w:val="en-US"/>
                        </w:rPr>
                      </w:pPr>
                    </w:p>
                  </w:txbxContent>
                </v:textbox>
                <w10:wrap type="square" anchorx="margin"/>
              </v:shape>
            </w:pict>
          </mc:Fallback>
        </mc:AlternateContent>
      </w:r>
    </w:p>
    <w:p w14:paraId="6CC84E57" w14:textId="244469E5" w:rsidR="007A33F4" w:rsidRPr="00D909D0" w:rsidRDefault="007A33F4" w:rsidP="00150ED2">
      <w:pPr>
        <w:rPr>
          <w:rFonts w:cstheme="minorHAnsi"/>
          <w:sz w:val="20"/>
          <w:szCs w:val="20"/>
          <w:lang w:val="en-US"/>
        </w:rPr>
      </w:pPr>
    </w:p>
    <w:p w14:paraId="6902F4DA" w14:textId="6A732834" w:rsidR="00150ED2" w:rsidRPr="00D909D0" w:rsidRDefault="00150ED2" w:rsidP="00150ED2">
      <w:pPr>
        <w:rPr>
          <w:rFonts w:cstheme="minorHAnsi"/>
          <w:b/>
          <w:bCs/>
          <w:sz w:val="20"/>
          <w:szCs w:val="20"/>
          <w:lang w:val="en-US"/>
        </w:rPr>
      </w:pPr>
      <w:r w:rsidRPr="00D909D0">
        <w:rPr>
          <w:rFonts w:cstheme="minorHAnsi"/>
          <w:b/>
          <w:bCs/>
          <w:i/>
          <w:iCs/>
          <w:sz w:val="20"/>
          <w:szCs w:val="20"/>
          <w:lang w:val="en-US"/>
        </w:rPr>
        <w:t xml:space="preserve">Review </w:t>
      </w:r>
      <w:r w:rsidR="008671CA" w:rsidRPr="00D909D0">
        <w:rPr>
          <w:rFonts w:cstheme="minorHAnsi"/>
          <w:b/>
          <w:bCs/>
          <w:i/>
          <w:iCs/>
          <w:sz w:val="20"/>
          <w:szCs w:val="20"/>
          <w:lang w:val="en-US"/>
        </w:rPr>
        <w:t>p</w:t>
      </w:r>
      <w:r w:rsidRPr="00D909D0">
        <w:rPr>
          <w:rFonts w:cstheme="minorHAnsi"/>
          <w:b/>
          <w:bCs/>
          <w:i/>
          <w:iCs/>
          <w:sz w:val="20"/>
          <w:szCs w:val="20"/>
          <w:lang w:val="en-US"/>
        </w:rPr>
        <w:t>rocess</w:t>
      </w:r>
    </w:p>
    <w:p w14:paraId="317840CA" w14:textId="5EDA393E" w:rsidR="00150ED2" w:rsidRPr="00D909D0" w:rsidRDefault="00BA5500" w:rsidP="00150ED2">
      <w:pPr>
        <w:rPr>
          <w:rFonts w:cstheme="minorHAnsi"/>
          <w:sz w:val="20"/>
          <w:szCs w:val="20"/>
          <w:lang w:val="en-US"/>
        </w:rPr>
      </w:pPr>
      <w:r w:rsidRPr="00D909D0">
        <w:rPr>
          <w:rFonts w:cstheme="minorHAnsi"/>
          <w:sz w:val="20"/>
          <w:szCs w:val="20"/>
          <w:lang w:val="en-US"/>
        </w:rPr>
        <w:lastRenderedPageBreak/>
        <w:t>After</w:t>
      </w:r>
      <w:r w:rsidR="00150ED2" w:rsidRPr="00D909D0">
        <w:rPr>
          <w:rFonts w:cstheme="minorHAnsi"/>
          <w:sz w:val="20"/>
          <w:szCs w:val="20"/>
          <w:lang w:val="en-US"/>
        </w:rPr>
        <w:t xml:space="preserve"> questionnaires </w:t>
      </w:r>
      <w:r w:rsidR="00477B2B" w:rsidRPr="00D909D0">
        <w:rPr>
          <w:rFonts w:cstheme="minorHAnsi"/>
          <w:sz w:val="20"/>
          <w:szCs w:val="20"/>
          <w:lang w:val="en-US"/>
        </w:rPr>
        <w:t xml:space="preserve">were </w:t>
      </w:r>
      <w:r w:rsidR="00150ED2" w:rsidRPr="00D909D0">
        <w:rPr>
          <w:rFonts w:cstheme="minorHAnsi"/>
          <w:sz w:val="20"/>
          <w:szCs w:val="20"/>
          <w:lang w:val="en-US"/>
        </w:rPr>
        <w:t xml:space="preserve">completed and collected, the Indiana University Lilly Family School of Philanthropy research team reviewed the scores and narratives and conducted additional research to verify the information provided. In certain cases, additional information was provided by the country experts following this initial review. </w:t>
      </w:r>
    </w:p>
    <w:p w14:paraId="6D5A46F1" w14:textId="74D2DE01" w:rsidR="00150ED2" w:rsidRPr="00D909D0" w:rsidRDefault="00150ED2" w:rsidP="00150ED2">
      <w:pPr>
        <w:rPr>
          <w:rFonts w:cstheme="minorHAnsi"/>
          <w:sz w:val="20"/>
          <w:szCs w:val="20"/>
          <w:lang w:val="en-US"/>
        </w:rPr>
      </w:pPr>
      <w:r w:rsidRPr="00D909D0">
        <w:rPr>
          <w:rFonts w:cstheme="minorHAnsi"/>
          <w:sz w:val="20"/>
          <w:szCs w:val="20"/>
          <w:lang w:val="en-US"/>
        </w:rPr>
        <w:t xml:space="preserve">The reviewed questionnaires were then sent to the respective regional reviewers to validate the scores. In total, there were </w:t>
      </w:r>
      <w:r w:rsidR="00376937" w:rsidRPr="00D909D0">
        <w:rPr>
          <w:rFonts w:cstheme="minorHAnsi"/>
          <w:sz w:val="20"/>
          <w:szCs w:val="20"/>
          <w:lang w:val="en-US"/>
        </w:rPr>
        <w:t>five</w:t>
      </w:r>
      <w:r w:rsidR="00650761" w:rsidRPr="00D909D0">
        <w:rPr>
          <w:rFonts w:cstheme="minorHAnsi"/>
          <w:sz w:val="20"/>
          <w:szCs w:val="20"/>
          <w:lang w:val="en-US"/>
        </w:rPr>
        <w:t xml:space="preserve"> European</w:t>
      </w:r>
      <w:r w:rsidRPr="00D909D0">
        <w:rPr>
          <w:rFonts w:cstheme="minorHAnsi"/>
          <w:sz w:val="20"/>
          <w:szCs w:val="20"/>
          <w:lang w:val="en-US"/>
        </w:rPr>
        <w:t xml:space="preserve"> regions, each with a dedicated regional expert.</w:t>
      </w:r>
      <w:r w:rsidR="00BA5500" w:rsidRPr="00D909D0">
        <w:rPr>
          <w:rFonts w:cstheme="minorHAnsi"/>
          <w:sz w:val="20"/>
          <w:szCs w:val="20"/>
          <w:lang w:val="en-US"/>
        </w:rPr>
        <w:t xml:space="preserve"> </w:t>
      </w:r>
      <w:r w:rsidR="005726BF" w:rsidRPr="00D909D0">
        <w:rPr>
          <w:rFonts w:cstheme="minorHAnsi"/>
          <w:sz w:val="20"/>
          <w:szCs w:val="20"/>
          <w:lang w:val="en-US"/>
        </w:rPr>
        <w:t>Additionally</w:t>
      </w:r>
      <w:r w:rsidR="00BA5500" w:rsidRPr="00D909D0">
        <w:rPr>
          <w:rFonts w:cstheme="minorHAnsi"/>
          <w:sz w:val="20"/>
          <w:szCs w:val="20"/>
          <w:lang w:val="en-US"/>
        </w:rPr>
        <w:t xml:space="preserve">, </w:t>
      </w:r>
      <w:r w:rsidR="00B81692" w:rsidRPr="00D909D0">
        <w:rPr>
          <w:rFonts w:cstheme="minorHAnsi"/>
          <w:sz w:val="20"/>
          <w:szCs w:val="20"/>
          <w:lang w:val="en-US"/>
        </w:rPr>
        <w:t>Türkiye</w:t>
      </w:r>
      <w:r w:rsidR="00BA5500" w:rsidRPr="00D909D0">
        <w:rPr>
          <w:rFonts w:cstheme="minorHAnsi"/>
          <w:sz w:val="20"/>
          <w:szCs w:val="20"/>
          <w:lang w:val="en-US"/>
        </w:rPr>
        <w:t xml:space="preserve"> was part of the Middle East and Northern Africa region, while Russia was one of countries from the Central Asia and South Caucasus region. </w:t>
      </w:r>
      <w:r w:rsidRPr="00D909D0">
        <w:rPr>
          <w:rFonts w:cstheme="minorHAnsi"/>
          <w:sz w:val="20"/>
          <w:szCs w:val="20"/>
          <w:lang w:val="en-US"/>
        </w:rPr>
        <w:t>Once the regional reviewer read the narrative and reviewed the scores, they developed a short report of the developments and trends in the entire region. Each regional reviewer also convened a meeting with the country experts and a member of the research team to discuss the developments in the regions, review any questions about the regional expert’s comments, and to provide feedback on how to improve the GPEI in the future.</w:t>
      </w:r>
    </w:p>
    <w:p w14:paraId="31B0ECB8" w14:textId="589BCE70" w:rsidR="00826430" w:rsidRPr="00D909D0" w:rsidRDefault="00150ED2" w:rsidP="00150ED2">
      <w:pPr>
        <w:rPr>
          <w:rFonts w:cstheme="minorHAnsi"/>
          <w:sz w:val="20"/>
          <w:szCs w:val="20"/>
          <w:lang w:val="en-US"/>
        </w:rPr>
      </w:pPr>
      <w:r w:rsidRPr="00D909D0">
        <w:rPr>
          <w:rFonts w:cstheme="minorHAnsi"/>
          <w:sz w:val="20"/>
          <w:szCs w:val="20"/>
          <w:lang w:val="en-US"/>
        </w:rPr>
        <w:t>In the final step, the Global Advisory Council reviewed the scores and narratives from a global perspective and provided feedback about potential final adjustments. Following this step, the research team calculated the final values for each factor by country and by region and finalized the index.</w:t>
      </w:r>
    </w:p>
    <w:p w14:paraId="321B425E" w14:textId="6C4B851D" w:rsidR="00150ED2" w:rsidRPr="00D909D0" w:rsidRDefault="00150ED2" w:rsidP="00D909D0">
      <w:pPr>
        <w:pStyle w:val="Heading1"/>
        <w:numPr>
          <w:ilvl w:val="0"/>
          <w:numId w:val="13"/>
        </w:numPr>
        <w:rPr>
          <w:rFonts w:asciiTheme="minorHAnsi" w:hAnsiTheme="minorHAnsi" w:cstheme="minorHAnsi"/>
          <w:sz w:val="20"/>
          <w:szCs w:val="20"/>
          <w:lang w:val="en-US"/>
        </w:rPr>
      </w:pPr>
      <w:bookmarkStart w:id="3" w:name="_Toc138462031"/>
      <w:r w:rsidRPr="00D909D0">
        <w:rPr>
          <w:rFonts w:asciiTheme="minorHAnsi" w:hAnsiTheme="minorHAnsi" w:cstheme="minorHAnsi"/>
          <w:sz w:val="20"/>
          <w:szCs w:val="20"/>
          <w:lang w:val="en-US"/>
        </w:rPr>
        <w:t xml:space="preserve">Key </w:t>
      </w:r>
      <w:r w:rsidR="008671CA">
        <w:rPr>
          <w:rFonts w:asciiTheme="minorHAnsi" w:hAnsiTheme="minorHAnsi" w:cstheme="minorHAnsi"/>
          <w:sz w:val="20"/>
          <w:szCs w:val="20"/>
          <w:lang w:val="en-US"/>
        </w:rPr>
        <w:t>f</w:t>
      </w:r>
      <w:r w:rsidRPr="00D909D0">
        <w:rPr>
          <w:rFonts w:asciiTheme="minorHAnsi" w:hAnsiTheme="minorHAnsi" w:cstheme="minorHAnsi"/>
          <w:sz w:val="20"/>
          <w:szCs w:val="20"/>
          <w:lang w:val="en-US"/>
        </w:rPr>
        <w:t>indings</w:t>
      </w:r>
      <w:bookmarkEnd w:id="3"/>
    </w:p>
    <w:p w14:paraId="7DA65151" w14:textId="7300BD29" w:rsidR="000D26B2" w:rsidRPr="00D909D0" w:rsidRDefault="000D26B2" w:rsidP="000E7BE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Between 2018 and 2020, the world observed numerous natural and human-made disasters, economic shocks, migration crises, and the start of the COVID-1</w:t>
      </w:r>
      <w:r w:rsidR="00477B2B" w:rsidRPr="00D909D0">
        <w:rPr>
          <w:rFonts w:eastAsia="Times New Roman" w:cstheme="minorHAnsi"/>
          <w:kern w:val="0"/>
          <w:sz w:val="20"/>
          <w:szCs w:val="20"/>
          <w:lang w:val="en-US"/>
          <w14:ligatures w14:val="none"/>
        </w:rPr>
        <w:t>9</w:t>
      </w:r>
      <w:r w:rsidRPr="00D909D0">
        <w:rPr>
          <w:rFonts w:eastAsia="Times New Roman" w:cstheme="minorHAnsi"/>
          <w:kern w:val="0"/>
          <w:sz w:val="20"/>
          <w:szCs w:val="20"/>
          <w:lang w:val="en-US"/>
          <w14:ligatures w14:val="none"/>
        </w:rPr>
        <w:t xml:space="preserve"> pandemic. While people around the world responded</w:t>
      </w:r>
      <w:r w:rsidR="00212570" w:rsidRPr="00D909D0">
        <w:rPr>
          <w:rFonts w:eastAsia="Times New Roman" w:cstheme="minorHAnsi"/>
          <w:kern w:val="0"/>
          <w:sz w:val="20"/>
          <w:szCs w:val="20"/>
          <w:lang w:val="en-US"/>
          <w14:ligatures w14:val="none"/>
        </w:rPr>
        <w:t xml:space="preserve"> to</w:t>
      </w:r>
      <w:r w:rsidRPr="00D909D0">
        <w:rPr>
          <w:rFonts w:eastAsia="Times New Roman" w:cstheme="minorHAnsi"/>
          <w:kern w:val="0"/>
          <w:sz w:val="20"/>
          <w:szCs w:val="20"/>
          <w:lang w:val="en-US"/>
          <w14:ligatures w14:val="none"/>
        </w:rPr>
        <w:t xml:space="preserve"> these challenges by helping others through giving, volunteering, and practicing other forms of generosity, the environment for philanthropy needs further attention in order to provide an enabling and supportive ecosystem for generosity worldwide. </w:t>
      </w:r>
    </w:p>
    <w:p w14:paraId="7895087E" w14:textId="7E65B55E" w:rsidR="000D26B2" w:rsidRPr="00D909D0" w:rsidRDefault="000D26B2" w:rsidP="000E7BE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In Europe</w:t>
      </w:r>
      <w:r w:rsidR="00E04793" w:rsidRPr="00D909D0">
        <w:rPr>
          <w:rFonts w:eastAsia="Times New Roman" w:cstheme="minorHAnsi"/>
          <w:kern w:val="0"/>
          <w:sz w:val="20"/>
          <w:szCs w:val="20"/>
          <w:lang w:val="en-US"/>
          <w14:ligatures w14:val="none"/>
        </w:rPr>
        <w:t>, 86 percent of the 33 countries</w:t>
      </w:r>
      <w:r w:rsidRPr="00D909D0">
        <w:rPr>
          <w:rFonts w:eastAsia="Times New Roman" w:cstheme="minorHAnsi"/>
          <w:kern w:val="0"/>
          <w:sz w:val="20"/>
          <w:szCs w:val="20"/>
          <w:lang w:val="en-US"/>
          <w14:ligatures w14:val="none"/>
        </w:rPr>
        <w:t xml:space="preserve"> had a favorable environment for philanthropy</w:t>
      </w:r>
      <w:r w:rsidR="00E04793" w:rsidRPr="00D909D0">
        <w:rPr>
          <w:rFonts w:eastAsia="Times New Roman" w:cstheme="minorHAnsi"/>
          <w:kern w:val="0"/>
          <w:sz w:val="20"/>
          <w:szCs w:val="20"/>
          <w:lang w:val="en-US"/>
          <w14:ligatures w14:val="none"/>
        </w:rPr>
        <w:t xml:space="preserve"> in 2018</w:t>
      </w:r>
      <w:r w:rsidR="0064517C" w:rsidRPr="00D909D0">
        <w:rPr>
          <w:rFonts w:eastAsia="Times New Roman" w:cstheme="minorHAnsi"/>
          <w:kern w:val="0"/>
          <w:sz w:val="20"/>
          <w:szCs w:val="20"/>
          <w:lang w:val="en-US"/>
          <w14:ligatures w14:val="none"/>
        </w:rPr>
        <w:t>–</w:t>
      </w:r>
      <w:r w:rsidR="00E04793" w:rsidRPr="00D909D0">
        <w:rPr>
          <w:rFonts w:eastAsia="Times New Roman" w:cstheme="minorHAnsi"/>
          <w:kern w:val="0"/>
          <w:sz w:val="20"/>
          <w:szCs w:val="20"/>
          <w:lang w:val="en-US"/>
          <w14:ligatures w14:val="none"/>
        </w:rPr>
        <w:t>2020,</w:t>
      </w:r>
      <w:r w:rsidR="00212570" w:rsidRPr="00D909D0">
        <w:rPr>
          <w:rFonts w:eastAsia="Times New Roman" w:cstheme="minorHAnsi"/>
          <w:kern w:val="0"/>
          <w:sz w:val="20"/>
          <w:szCs w:val="20"/>
          <w:lang w:val="en-US"/>
          <w14:ligatures w14:val="none"/>
        </w:rPr>
        <w:t xml:space="preserve"> while</w:t>
      </w:r>
      <w:r w:rsidR="00E04793" w:rsidRPr="00D909D0">
        <w:rPr>
          <w:rFonts w:eastAsia="Times New Roman" w:cstheme="minorHAnsi"/>
          <w:kern w:val="0"/>
          <w:sz w:val="20"/>
          <w:szCs w:val="20"/>
          <w:lang w:val="en-US"/>
          <w14:ligatures w14:val="none"/>
        </w:rPr>
        <w:t xml:space="preserve"> more than one third of the countries (13) reported a less favorable economic environment for philanthropy. Furthermore, one third of the countries (11) also reported a less favorable political and socio-cultural environment, despite the emerging needs of philanthropy. </w:t>
      </w:r>
    </w:p>
    <w:p w14:paraId="2993B1ED" w14:textId="1EEBD182" w:rsidR="00E04793" w:rsidRPr="00D909D0" w:rsidRDefault="00E04793" w:rsidP="000E7BE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Path dependency still matters in Europe, as </w:t>
      </w:r>
      <w:r w:rsidR="00CD322F" w:rsidRPr="00D909D0">
        <w:rPr>
          <w:rFonts w:eastAsia="Times New Roman" w:cstheme="minorHAnsi"/>
          <w:kern w:val="0"/>
          <w:sz w:val="20"/>
          <w:szCs w:val="20"/>
          <w:lang w:val="en-US"/>
          <w14:ligatures w14:val="none"/>
        </w:rPr>
        <w:t>the environment for philanthropy clearly differs</w:t>
      </w:r>
      <w:r w:rsidRPr="00D909D0">
        <w:rPr>
          <w:rFonts w:eastAsia="Times New Roman" w:cstheme="minorHAnsi"/>
          <w:kern w:val="0"/>
          <w:sz w:val="20"/>
          <w:szCs w:val="20"/>
          <w:lang w:val="en-US"/>
          <w14:ligatures w14:val="none"/>
        </w:rPr>
        <w:t xml:space="preserve"> between Western </w:t>
      </w:r>
      <w:r w:rsidR="00CD322F" w:rsidRPr="00D909D0">
        <w:rPr>
          <w:rFonts w:eastAsia="Times New Roman" w:cstheme="minorHAnsi"/>
          <w:kern w:val="0"/>
          <w:sz w:val="20"/>
          <w:szCs w:val="20"/>
          <w:lang w:val="en-US"/>
          <w14:ligatures w14:val="none"/>
        </w:rPr>
        <w:t xml:space="preserve">and Eastern </w:t>
      </w:r>
      <w:r w:rsidRPr="00D909D0">
        <w:rPr>
          <w:rFonts w:eastAsia="Times New Roman" w:cstheme="minorHAnsi"/>
          <w:kern w:val="0"/>
          <w:sz w:val="20"/>
          <w:szCs w:val="20"/>
          <w:lang w:val="en-US"/>
          <w14:ligatures w14:val="none"/>
        </w:rPr>
        <w:t xml:space="preserve">Europe. </w:t>
      </w:r>
      <w:r w:rsidR="00CD322F" w:rsidRPr="00D909D0">
        <w:rPr>
          <w:rFonts w:eastAsia="Times New Roman" w:cstheme="minorHAnsi"/>
          <w:kern w:val="0"/>
          <w:sz w:val="20"/>
          <w:szCs w:val="20"/>
          <w:lang w:val="en-US"/>
          <w14:ligatures w14:val="none"/>
        </w:rPr>
        <w:t>While Northern and Western Europe has a highly favorable environment for philanthropy (scoring an average of 4.72 and 4.59 respectively), Southern Europe (3.54)</w:t>
      </w:r>
      <w:r w:rsidR="00DC3485" w:rsidRPr="00D909D0">
        <w:rPr>
          <w:rFonts w:eastAsia="Times New Roman" w:cstheme="minorHAnsi"/>
          <w:kern w:val="0"/>
          <w:sz w:val="20"/>
          <w:szCs w:val="20"/>
          <w:lang w:val="en-US"/>
          <w14:ligatures w14:val="none"/>
        </w:rPr>
        <w:t xml:space="preserve"> </w:t>
      </w:r>
      <w:r w:rsidR="00CD322F" w:rsidRPr="00D909D0">
        <w:rPr>
          <w:rFonts w:eastAsia="Times New Roman" w:cstheme="minorHAnsi"/>
          <w:kern w:val="0"/>
          <w:sz w:val="20"/>
          <w:szCs w:val="20"/>
          <w:lang w:val="en-US"/>
          <w14:ligatures w14:val="none"/>
        </w:rPr>
        <w:t xml:space="preserve">has only a modestly favorable environment for philanthropy followed closely by the Balkan Countries (3.64) and Eastern Europe (3.66). </w:t>
      </w:r>
      <w:r w:rsidRPr="00D909D0">
        <w:rPr>
          <w:rFonts w:eastAsia="Times New Roman" w:cstheme="minorHAnsi"/>
          <w:kern w:val="0"/>
          <w:sz w:val="20"/>
          <w:szCs w:val="20"/>
          <w:lang w:val="en-US"/>
          <w14:ligatures w14:val="none"/>
        </w:rPr>
        <w:t xml:space="preserve">Focusing on the six factors, the biggest score </w:t>
      </w:r>
      <w:r w:rsidR="008671CA">
        <w:rPr>
          <w:rFonts w:eastAsia="Times New Roman" w:cstheme="minorHAnsi"/>
          <w:kern w:val="0"/>
          <w:sz w:val="20"/>
          <w:szCs w:val="20"/>
          <w:lang w:val="en-US"/>
          <w14:ligatures w14:val="none"/>
        </w:rPr>
        <w:t>variability</w:t>
      </w:r>
      <w:r w:rsidR="008671CA" w:rsidRPr="00D909D0">
        <w:rPr>
          <w:rFonts w:eastAsia="Times New Roman" w:cstheme="minorHAnsi"/>
          <w:kern w:val="0"/>
          <w:sz w:val="20"/>
          <w:szCs w:val="20"/>
          <w:lang w:val="en-US"/>
          <w14:ligatures w14:val="none"/>
        </w:rPr>
        <w:t xml:space="preserve"> </w:t>
      </w:r>
      <w:r w:rsidRPr="00D909D0">
        <w:rPr>
          <w:rFonts w:eastAsia="Times New Roman" w:cstheme="minorHAnsi"/>
          <w:kern w:val="0"/>
          <w:sz w:val="20"/>
          <w:szCs w:val="20"/>
          <w:lang w:val="en-US"/>
          <w14:ligatures w14:val="none"/>
        </w:rPr>
        <w:t>between East</w:t>
      </w:r>
      <w:r w:rsidR="00CD322F" w:rsidRPr="00D909D0">
        <w:rPr>
          <w:rFonts w:eastAsia="Times New Roman" w:cstheme="minorHAnsi"/>
          <w:kern w:val="0"/>
          <w:sz w:val="20"/>
          <w:szCs w:val="20"/>
          <w:lang w:val="en-US"/>
          <w14:ligatures w14:val="none"/>
        </w:rPr>
        <w:t xml:space="preserve"> (including the Balkan Countries, </w:t>
      </w:r>
      <w:r w:rsidR="00DC3485" w:rsidRPr="00D909D0">
        <w:rPr>
          <w:rFonts w:eastAsia="Times New Roman" w:cstheme="minorHAnsi"/>
          <w:kern w:val="0"/>
          <w:sz w:val="20"/>
          <w:szCs w:val="20"/>
          <w:lang w:val="en-US"/>
          <w14:ligatures w14:val="none"/>
        </w:rPr>
        <w:t>Central</w:t>
      </w:r>
      <w:r w:rsidR="00CD322F" w:rsidRPr="00D909D0">
        <w:rPr>
          <w:rFonts w:eastAsia="Times New Roman" w:cstheme="minorHAnsi"/>
          <w:kern w:val="0"/>
          <w:sz w:val="20"/>
          <w:szCs w:val="20"/>
          <w:lang w:val="en-US"/>
          <w14:ligatures w14:val="none"/>
        </w:rPr>
        <w:t xml:space="preserve"> Europe, and</w:t>
      </w:r>
      <w:r w:rsidRPr="00D909D0">
        <w:rPr>
          <w:rFonts w:eastAsia="Times New Roman" w:cstheme="minorHAnsi"/>
          <w:kern w:val="0"/>
          <w:sz w:val="20"/>
          <w:szCs w:val="20"/>
          <w:lang w:val="en-US"/>
          <w14:ligatures w14:val="none"/>
        </w:rPr>
        <w:t xml:space="preserve"> </w:t>
      </w:r>
      <w:r w:rsidR="00CD322F" w:rsidRPr="00D909D0">
        <w:rPr>
          <w:rFonts w:eastAsia="Times New Roman" w:cstheme="minorHAnsi"/>
          <w:kern w:val="0"/>
          <w:sz w:val="20"/>
          <w:szCs w:val="20"/>
          <w:lang w:val="en-US"/>
          <w14:ligatures w14:val="none"/>
        </w:rPr>
        <w:t xml:space="preserve">Southern Europe) </w:t>
      </w:r>
      <w:r w:rsidRPr="00D909D0">
        <w:rPr>
          <w:rFonts w:eastAsia="Times New Roman" w:cstheme="minorHAnsi"/>
          <w:kern w:val="0"/>
          <w:sz w:val="20"/>
          <w:szCs w:val="20"/>
          <w:lang w:val="en-US"/>
          <w14:ligatures w14:val="none"/>
        </w:rPr>
        <w:t>and West</w:t>
      </w:r>
      <w:r w:rsidR="00CD322F" w:rsidRPr="00D909D0">
        <w:rPr>
          <w:rFonts w:eastAsia="Times New Roman" w:cstheme="minorHAnsi"/>
          <w:kern w:val="0"/>
          <w:sz w:val="20"/>
          <w:szCs w:val="20"/>
          <w:lang w:val="en-US"/>
          <w14:ligatures w14:val="none"/>
        </w:rPr>
        <w:t xml:space="preserve"> (including Northern Europe and Western Europe)</w:t>
      </w:r>
      <w:r w:rsidRPr="00D909D0">
        <w:rPr>
          <w:rFonts w:eastAsia="Times New Roman" w:cstheme="minorHAnsi"/>
          <w:kern w:val="0"/>
          <w:sz w:val="20"/>
          <w:szCs w:val="20"/>
          <w:lang w:val="en-US"/>
          <w14:ligatures w14:val="none"/>
        </w:rPr>
        <w:t xml:space="preserve"> can be seen in the economic environment (</w:t>
      </w:r>
      <w:r w:rsidR="008671CA">
        <w:rPr>
          <w:rFonts w:eastAsia="Times New Roman" w:cstheme="minorHAnsi"/>
          <w:kern w:val="0"/>
          <w:sz w:val="20"/>
          <w:szCs w:val="20"/>
          <w:lang w:val="en-US"/>
          <w14:ligatures w14:val="none"/>
        </w:rPr>
        <w:t xml:space="preserve">at a score difference of </w:t>
      </w:r>
      <w:r w:rsidRPr="00D909D0">
        <w:rPr>
          <w:rFonts w:eastAsia="Times New Roman" w:cstheme="minorHAnsi"/>
          <w:kern w:val="0"/>
          <w:sz w:val="20"/>
          <w:szCs w:val="20"/>
          <w:lang w:val="en-US"/>
          <w14:ligatures w14:val="none"/>
        </w:rPr>
        <w:t>1.54), followed by the political (</w:t>
      </w:r>
      <w:r w:rsidR="008671CA">
        <w:rPr>
          <w:rFonts w:eastAsia="Times New Roman" w:cstheme="minorHAnsi"/>
          <w:kern w:val="0"/>
          <w:sz w:val="20"/>
          <w:szCs w:val="20"/>
          <w:lang w:val="en-US"/>
          <w14:ligatures w14:val="none"/>
        </w:rPr>
        <w:t xml:space="preserve">at a score difference of </w:t>
      </w:r>
      <w:r w:rsidRPr="00D909D0">
        <w:rPr>
          <w:rFonts w:eastAsia="Times New Roman" w:cstheme="minorHAnsi"/>
          <w:kern w:val="0"/>
          <w:sz w:val="20"/>
          <w:szCs w:val="20"/>
          <w:lang w:val="en-US"/>
          <w14:ligatures w14:val="none"/>
        </w:rPr>
        <w:t>1.34) and socio-cultural environment (</w:t>
      </w:r>
      <w:r w:rsidR="008671CA">
        <w:rPr>
          <w:rFonts w:eastAsia="Times New Roman" w:cstheme="minorHAnsi"/>
          <w:kern w:val="0"/>
          <w:sz w:val="20"/>
          <w:szCs w:val="20"/>
          <w:lang w:val="en-US"/>
          <w14:ligatures w14:val="none"/>
        </w:rPr>
        <w:t xml:space="preserve">at a score difference of </w:t>
      </w:r>
      <w:r w:rsidRPr="00D909D0">
        <w:rPr>
          <w:rFonts w:eastAsia="Times New Roman" w:cstheme="minorHAnsi"/>
          <w:kern w:val="0"/>
          <w:sz w:val="20"/>
          <w:szCs w:val="20"/>
          <w:lang w:val="en-US"/>
          <w14:ligatures w14:val="none"/>
        </w:rPr>
        <w:t xml:space="preserve">1.29). </w:t>
      </w:r>
    </w:p>
    <w:p w14:paraId="183D5194" w14:textId="1DC5FE81" w:rsidR="00CD322F" w:rsidRPr="00D909D0" w:rsidRDefault="00466567" w:rsidP="000E7BEA">
      <w:pPr>
        <w:spacing w:before="100" w:beforeAutospacing="1" w:after="100" w:afterAutospacing="1" w:line="240" w:lineRule="auto"/>
        <w:rPr>
          <w:rFonts w:cstheme="minorHAnsi"/>
          <w:sz w:val="20"/>
          <w:szCs w:val="20"/>
          <w:lang w:val="en-US"/>
        </w:rPr>
      </w:pPr>
      <w:r w:rsidRPr="00D909D0">
        <w:rPr>
          <w:rFonts w:cstheme="minorHAnsi"/>
          <w:noProof/>
          <w:sz w:val="20"/>
          <w:szCs w:val="20"/>
          <w:lang w:val="en-US"/>
        </w:rPr>
        <mc:AlternateContent>
          <mc:Choice Requires="wps">
            <w:drawing>
              <wp:anchor distT="45720" distB="45720" distL="114300" distR="114300" simplePos="0" relativeHeight="251665408" behindDoc="0" locked="0" layoutInCell="1" allowOverlap="1" wp14:anchorId="340D4F61" wp14:editId="69FD7259">
                <wp:simplePos x="0" y="0"/>
                <wp:positionH relativeFrom="margin">
                  <wp:align>left</wp:align>
                </wp:positionH>
                <wp:positionV relativeFrom="paragraph">
                  <wp:posOffset>725805</wp:posOffset>
                </wp:positionV>
                <wp:extent cx="5684520" cy="148145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81455"/>
                        </a:xfrm>
                        <a:prstGeom prst="rect">
                          <a:avLst/>
                        </a:prstGeom>
                        <a:solidFill>
                          <a:schemeClr val="accent6">
                            <a:lumMod val="20000"/>
                            <a:lumOff val="80000"/>
                          </a:schemeClr>
                        </a:solidFill>
                        <a:ln w="9525">
                          <a:noFill/>
                          <a:miter lim="800000"/>
                          <a:headEnd/>
                          <a:tailEnd/>
                        </a:ln>
                      </wps:spPr>
                      <wps:txbx>
                        <w:txbxContent>
                          <w:p w14:paraId="4F363A6C" w14:textId="78F1042B" w:rsidR="00CD322F" w:rsidRPr="00DC3485" w:rsidRDefault="00212570">
                            <w:r>
                              <w:rPr>
                                <w:i/>
                                <w:iCs/>
                                <w:color w:val="403F41"/>
                              </w:rPr>
                              <w:t>“</w:t>
                            </w:r>
                            <w:r w:rsidR="00CD322F" w:rsidRPr="007D162C">
                              <w:rPr>
                                <w:i/>
                                <w:iCs/>
                                <w:color w:val="403F41"/>
                              </w:rPr>
                              <w:t xml:space="preserve">Liechtenstein (4.91) had a highly favorable regulatory, political, economic, and socio-cultural environment for philanthropy. Liechtenstein allowed tax deductions for charitable contributions to domestic philanthropic organizations as well as to organizations located in the European Economic Area (EEA) and Switzerland for both individuals and businesses. Liechtenstein’s philanthropic sector benefits from a strong tradition of philanthropic values modeled by the princely family and taught in schools.“ </w:t>
                            </w:r>
                            <w:r w:rsidR="00CD322F" w:rsidRPr="00DC3485">
                              <w:rPr>
                                <w:color w:val="403F41"/>
                              </w:rPr>
                              <w:t xml:space="preserve">(Indiana University Lilly Family School of Philanthropy, 2022, p. </w:t>
                            </w:r>
                            <w:r w:rsidR="007D162C" w:rsidRPr="00DC3485">
                              <w:rPr>
                                <w:color w:val="403F41"/>
                              </w:rPr>
                              <w:t>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D4F61" id="Text Box 8" o:spid="_x0000_s1028" type="#_x0000_t202" style="position:absolute;margin-left:0;margin-top:57.15pt;width:447.6pt;height:116.6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" fillcolor="#e2efd9 [665]" stroked="f">
                <v:textbox style="mso-fit-shape-to-text:t">
                  <w:txbxContent>
                    <w:p w14:paraId="4F363A6C" w14:textId="78F1042B" w:rsidR="00CD322F" w:rsidRPr="00DC3485" w:rsidRDefault="00212570">
                      <w:r>
                        <w:rPr>
                          <w:i/>
                          <w:iCs/>
                          <w:color w:val="403F41"/>
                        </w:rPr>
                        <w:t>“</w:t>
                      </w:r>
                      <w:r w:rsidR="00CD322F" w:rsidRPr="007D162C">
                        <w:rPr>
                          <w:i/>
                          <w:iCs/>
                          <w:color w:val="403F41"/>
                        </w:rPr>
                        <w:t xml:space="preserve">Liechtenstein (4.91) had a highly favorable regulatory, political, economic, and socio-cultural environment for philanthropy. Liechtenstein allowed tax deductions for charitable contributions to domestic philanthropic organizations as well as to organizations located in the European Economic Area (EEA) and Switzerland for both individuals and businesses. Liechtenstein’s philanthropic sector benefits from a strong tradition of philanthropic values modeled by the princely family and taught in schools.“ </w:t>
                      </w:r>
                      <w:r w:rsidR="00CD322F" w:rsidRPr="00DC3485">
                        <w:rPr>
                          <w:color w:val="403F41"/>
                        </w:rPr>
                        <w:t xml:space="preserve">(Indiana University Lilly Family School of Philanthropy, 2022, p. </w:t>
                      </w:r>
                      <w:r w:rsidR="007D162C" w:rsidRPr="00DC3485">
                        <w:rPr>
                          <w:color w:val="403F41"/>
                        </w:rPr>
                        <w:t>39.)</w:t>
                      </w:r>
                    </w:p>
                  </w:txbxContent>
                </v:textbox>
                <w10:wrap type="square" anchorx="margin"/>
              </v:shape>
            </w:pict>
          </mc:Fallback>
        </mc:AlternateContent>
      </w:r>
      <w:r w:rsidR="00CD322F" w:rsidRPr="00D909D0">
        <w:rPr>
          <w:rFonts w:cstheme="minorHAnsi"/>
          <w:sz w:val="20"/>
          <w:szCs w:val="20"/>
          <w:lang w:val="en-US"/>
        </w:rPr>
        <w:t>In 2018</w:t>
      </w:r>
      <w:r w:rsidR="0064517C" w:rsidRPr="00D909D0">
        <w:rPr>
          <w:rFonts w:cstheme="minorHAnsi"/>
          <w:sz w:val="20"/>
          <w:szCs w:val="20"/>
          <w:lang w:val="en-US"/>
        </w:rPr>
        <w:t>–</w:t>
      </w:r>
      <w:r w:rsidR="00CD322F" w:rsidRPr="00D909D0">
        <w:rPr>
          <w:rFonts w:cstheme="minorHAnsi"/>
          <w:sz w:val="20"/>
          <w:szCs w:val="20"/>
          <w:lang w:val="en-US"/>
        </w:rPr>
        <w:t xml:space="preserve">2020, the country with the highest average overall score was Liechtenstein at 4.91, followed by Norway (4.83), Switzerland (4.83), Germany (4.78), and </w:t>
      </w:r>
      <w:r w:rsidR="007D162C" w:rsidRPr="00D909D0">
        <w:rPr>
          <w:rFonts w:cstheme="minorHAnsi"/>
          <w:sz w:val="20"/>
          <w:szCs w:val="20"/>
          <w:lang w:val="en-US"/>
        </w:rPr>
        <w:t xml:space="preserve">Belgium, </w:t>
      </w:r>
      <w:r w:rsidR="00212570" w:rsidRPr="00D909D0">
        <w:rPr>
          <w:rFonts w:cstheme="minorHAnsi"/>
          <w:sz w:val="20"/>
          <w:szCs w:val="20"/>
          <w:lang w:val="en-US"/>
        </w:rPr>
        <w:t>Finland</w:t>
      </w:r>
      <w:r w:rsidR="007D162C" w:rsidRPr="00D909D0">
        <w:rPr>
          <w:rFonts w:cstheme="minorHAnsi"/>
          <w:sz w:val="20"/>
          <w:szCs w:val="20"/>
          <w:lang w:val="en-US"/>
        </w:rPr>
        <w:t xml:space="preserve"> and the Netherlands</w:t>
      </w:r>
      <w:r w:rsidR="00CD322F" w:rsidRPr="00D909D0">
        <w:rPr>
          <w:rFonts w:cstheme="minorHAnsi"/>
          <w:sz w:val="20"/>
          <w:szCs w:val="20"/>
          <w:lang w:val="en-US"/>
        </w:rPr>
        <w:t xml:space="preserve"> (</w:t>
      </w:r>
      <w:r w:rsidR="007D162C" w:rsidRPr="00D909D0">
        <w:rPr>
          <w:rFonts w:cstheme="minorHAnsi"/>
          <w:sz w:val="20"/>
          <w:szCs w:val="20"/>
          <w:lang w:val="en-US"/>
        </w:rPr>
        <w:t xml:space="preserve">each </w:t>
      </w:r>
      <w:r w:rsidR="00212570" w:rsidRPr="00D909D0">
        <w:rPr>
          <w:rFonts w:cstheme="minorHAnsi"/>
          <w:sz w:val="20"/>
          <w:szCs w:val="20"/>
          <w:lang w:val="en-US"/>
        </w:rPr>
        <w:t>country</w:t>
      </w:r>
      <w:r w:rsidR="007D162C" w:rsidRPr="00D909D0">
        <w:rPr>
          <w:rFonts w:cstheme="minorHAnsi"/>
          <w:sz w:val="20"/>
          <w:szCs w:val="20"/>
          <w:lang w:val="en-US"/>
        </w:rPr>
        <w:t xml:space="preserve"> at </w:t>
      </w:r>
      <w:r w:rsidR="00CD322F" w:rsidRPr="00D909D0">
        <w:rPr>
          <w:rFonts w:cstheme="minorHAnsi"/>
          <w:sz w:val="20"/>
          <w:szCs w:val="20"/>
          <w:lang w:val="en-US"/>
        </w:rPr>
        <w:t xml:space="preserve">4.75). It is worth noting that Liechtenstein, Norway, </w:t>
      </w:r>
      <w:r w:rsidR="00212570" w:rsidRPr="00D909D0">
        <w:rPr>
          <w:rFonts w:cstheme="minorHAnsi"/>
          <w:sz w:val="20"/>
          <w:szCs w:val="20"/>
          <w:lang w:val="en-US"/>
        </w:rPr>
        <w:t>Switzerland</w:t>
      </w:r>
      <w:r w:rsidR="00CD322F" w:rsidRPr="00D909D0">
        <w:rPr>
          <w:rFonts w:cstheme="minorHAnsi"/>
          <w:sz w:val="20"/>
          <w:szCs w:val="20"/>
          <w:lang w:val="en-US"/>
        </w:rPr>
        <w:t>, and Germany were the top four countries at the global level as well.</w:t>
      </w:r>
    </w:p>
    <w:p w14:paraId="1E8A6D68" w14:textId="47799F2C" w:rsidR="00DC3485" w:rsidRPr="00D909D0" w:rsidRDefault="007D162C" w:rsidP="000E7BEA">
      <w:pPr>
        <w:spacing w:before="100" w:beforeAutospacing="1" w:after="100" w:afterAutospacing="1" w:line="240" w:lineRule="auto"/>
        <w:rPr>
          <w:rFonts w:eastAsia="Times New Roman" w:cstheme="minorHAnsi"/>
          <w:kern w:val="0"/>
          <w:sz w:val="20"/>
          <w:szCs w:val="20"/>
          <w:lang w:val="en-US"/>
          <w14:ligatures w14:val="none"/>
        </w:rPr>
      </w:pPr>
      <w:r w:rsidRPr="00D909D0">
        <w:rPr>
          <w:rFonts w:cstheme="minorHAnsi"/>
          <w:sz w:val="20"/>
          <w:szCs w:val="20"/>
          <w:lang w:val="en-US"/>
        </w:rPr>
        <w:lastRenderedPageBreak/>
        <w:t xml:space="preserve">The countries with the lowest overall score were </w:t>
      </w:r>
      <w:r w:rsidR="00B81692" w:rsidRPr="00D909D0">
        <w:rPr>
          <w:rFonts w:cstheme="minorHAnsi"/>
          <w:sz w:val="20"/>
          <w:szCs w:val="20"/>
          <w:lang w:val="en-US"/>
        </w:rPr>
        <w:t>Türkiye</w:t>
      </w:r>
      <w:r w:rsidRPr="00D909D0">
        <w:rPr>
          <w:rFonts w:cstheme="minorHAnsi"/>
          <w:sz w:val="20"/>
          <w:szCs w:val="20"/>
          <w:lang w:val="en-US"/>
        </w:rPr>
        <w:t xml:space="preserve"> (2.61), Albania (3.13), Hungary (3.14), Russia (3.44)</w:t>
      </w:r>
      <w:r w:rsidR="00212570" w:rsidRPr="00D909D0">
        <w:rPr>
          <w:rFonts w:cstheme="minorHAnsi"/>
          <w:sz w:val="20"/>
          <w:szCs w:val="20"/>
          <w:lang w:val="en-US"/>
        </w:rPr>
        <w:t>,</w:t>
      </w:r>
      <w:r w:rsidRPr="00D909D0">
        <w:rPr>
          <w:rFonts w:cstheme="minorHAnsi"/>
          <w:sz w:val="20"/>
          <w:szCs w:val="20"/>
          <w:lang w:val="en-US"/>
        </w:rPr>
        <w:t xml:space="preserve"> and Portugal (3.49)</w:t>
      </w:r>
      <w:r w:rsidR="00212570" w:rsidRPr="00D909D0">
        <w:rPr>
          <w:rFonts w:cstheme="minorHAnsi"/>
          <w:sz w:val="20"/>
          <w:szCs w:val="20"/>
          <w:lang w:val="en-US"/>
        </w:rPr>
        <w:t>, meaning that</w:t>
      </w:r>
      <w:r w:rsidRPr="00D909D0">
        <w:rPr>
          <w:rFonts w:cstheme="minorHAnsi"/>
          <w:sz w:val="20"/>
          <w:szCs w:val="20"/>
          <w:lang w:val="en-US"/>
        </w:rPr>
        <w:t xml:space="preserve"> these countries reported a less </w:t>
      </w:r>
      <w:r w:rsidR="00212570" w:rsidRPr="00D909D0">
        <w:rPr>
          <w:rFonts w:cstheme="minorHAnsi"/>
          <w:sz w:val="20"/>
          <w:szCs w:val="20"/>
          <w:lang w:val="en-US"/>
        </w:rPr>
        <w:t>favorable</w:t>
      </w:r>
      <w:r w:rsidRPr="00D909D0">
        <w:rPr>
          <w:rFonts w:cstheme="minorHAnsi"/>
          <w:sz w:val="20"/>
          <w:szCs w:val="20"/>
          <w:lang w:val="en-US"/>
        </w:rPr>
        <w:t xml:space="preserve"> philanthropic environment. </w:t>
      </w:r>
    </w:p>
    <w:p w14:paraId="04691A03" w14:textId="5D9897AF" w:rsidR="007D162C" w:rsidRPr="00D909D0" w:rsidRDefault="007D162C" w:rsidP="00D909D0">
      <w:pPr>
        <w:pStyle w:val="Heading2"/>
        <w:numPr>
          <w:ilvl w:val="1"/>
          <w:numId w:val="13"/>
        </w:numPr>
        <w:rPr>
          <w:rFonts w:asciiTheme="minorHAnsi" w:hAnsiTheme="minorHAnsi" w:cstheme="minorHAnsi"/>
          <w:i/>
          <w:iCs/>
          <w:sz w:val="20"/>
          <w:szCs w:val="20"/>
          <w:lang w:val="en-US"/>
        </w:rPr>
      </w:pPr>
      <w:bookmarkStart w:id="4" w:name="_Toc138462032"/>
      <w:r w:rsidRPr="00D909D0">
        <w:rPr>
          <w:rFonts w:asciiTheme="minorHAnsi" w:hAnsiTheme="minorHAnsi" w:cstheme="minorHAnsi"/>
          <w:i/>
          <w:iCs/>
          <w:sz w:val="20"/>
          <w:szCs w:val="20"/>
          <w:lang w:val="en-US"/>
        </w:rPr>
        <w:t xml:space="preserve">Regional </w:t>
      </w:r>
      <w:r w:rsidR="002D00E8" w:rsidRPr="00D909D0">
        <w:rPr>
          <w:rFonts w:asciiTheme="minorHAnsi" w:hAnsiTheme="minorHAnsi" w:cstheme="minorHAnsi"/>
          <w:i/>
          <w:iCs/>
          <w:sz w:val="20"/>
          <w:szCs w:val="20"/>
          <w:lang w:val="en-US"/>
        </w:rPr>
        <w:t>r</w:t>
      </w:r>
      <w:r w:rsidRPr="00D909D0">
        <w:rPr>
          <w:rFonts w:asciiTheme="minorHAnsi" w:hAnsiTheme="minorHAnsi" w:cstheme="minorHAnsi"/>
          <w:i/>
          <w:iCs/>
          <w:sz w:val="20"/>
          <w:szCs w:val="20"/>
          <w:lang w:val="en-US"/>
        </w:rPr>
        <w:t xml:space="preserve">esults by </w:t>
      </w:r>
      <w:r w:rsidR="002D00E8" w:rsidRPr="00D909D0">
        <w:rPr>
          <w:rFonts w:asciiTheme="minorHAnsi" w:hAnsiTheme="minorHAnsi" w:cstheme="minorHAnsi"/>
          <w:i/>
          <w:iCs/>
          <w:sz w:val="20"/>
          <w:szCs w:val="20"/>
          <w:lang w:val="en-US"/>
        </w:rPr>
        <w:t>f</w:t>
      </w:r>
      <w:r w:rsidRPr="00D909D0">
        <w:rPr>
          <w:rFonts w:asciiTheme="minorHAnsi" w:hAnsiTheme="minorHAnsi" w:cstheme="minorHAnsi"/>
          <w:i/>
          <w:iCs/>
          <w:sz w:val="20"/>
          <w:szCs w:val="20"/>
          <w:lang w:val="en-US"/>
        </w:rPr>
        <w:t>actor</w:t>
      </w:r>
      <w:bookmarkEnd w:id="4"/>
    </w:p>
    <w:p w14:paraId="04999127" w14:textId="5043701E" w:rsidR="007D162C" w:rsidRPr="00D909D0" w:rsidRDefault="002D00E8" w:rsidP="007D162C">
      <w:pPr>
        <w:pStyle w:val="Heading3"/>
        <w:rPr>
          <w:rFonts w:asciiTheme="minorHAnsi" w:hAnsiTheme="minorHAnsi" w:cstheme="minorHAnsi"/>
          <w:i/>
          <w:iCs/>
          <w:sz w:val="20"/>
          <w:szCs w:val="20"/>
          <w:lang w:val="en-US"/>
        </w:rPr>
      </w:pPr>
      <w:bookmarkStart w:id="5" w:name="_Toc138462033"/>
      <w:r w:rsidRPr="00D909D0">
        <w:rPr>
          <w:rFonts w:asciiTheme="minorHAnsi" w:hAnsiTheme="minorHAnsi" w:cstheme="minorHAnsi"/>
          <w:i/>
          <w:iCs/>
          <w:sz w:val="20"/>
          <w:szCs w:val="20"/>
          <w:lang w:val="en-US"/>
        </w:rPr>
        <w:t xml:space="preserve">4.1.2. </w:t>
      </w:r>
      <w:r w:rsidR="007D162C" w:rsidRPr="00D909D0">
        <w:rPr>
          <w:rFonts w:asciiTheme="minorHAnsi" w:hAnsiTheme="minorHAnsi" w:cstheme="minorHAnsi"/>
          <w:i/>
          <w:iCs/>
          <w:sz w:val="20"/>
          <w:szCs w:val="20"/>
          <w:lang w:val="en-US"/>
        </w:rPr>
        <w:t xml:space="preserve">Overall </w:t>
      </w:r>
      <w:r w:rsidRPr="00D909D0">
        <w:rPr>
          <w:rFonts w:asciiTheme="minorHAnsi" w:hAnsiTheme="minorHAnsi" w:cstheme="minorHAnsi"/>
          <w:i/>
          <w:iCs/>
          <w:sz w:val="20"/>
          <w:szCs w:val="20"/>
          <w:lang w:val="en-US"/>
        </w:rPr>
        <w:t>s</w:t>
      </w:r>
      <w:r w:rsidR="007D162C" w:rsidRPr="00D909D0">
        <w:rPr>
          <w:rFonts w:asciiTheme="minorHAnsi" w:hAnsiTheme="minorHAnsi" w:cstheme="minorHAnsi"/>
          <w:i/>
          <w:iCs/>
          <w:sz w:val="20"/>
          <w:szCs w:val="20"/>
          <w:lang w:val="en-US"/>
        </w:rPr>
        <w:t>core</w:t>
      </w:r>
      <w:bookmarkEnd w:id="5"/>
    </w:p>
    <w:p w14:paraId="6AE5AEB4" w14:textId="0DF85416" w:rsidR="00826430" w:rsidRPr="00D909D0" w:rsidRDefault="00D67A0A" w:rsidP="000E7BE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This score is based on </w:t>
      </w:r>
      <w:r w:rsidR="00665A3A" w:rsidRPr="00D909D0">
        <w:rPr>
          <w:rFonts w:eastAsia="Times New Roman" w:cstheme="minorHAnsi"/>
          <w:kern w:val="0"/>
          <w:sz w:val="20"/>
          <w:szCs w:val="20"/>
          <w:lang w:val="en-US"/>
          <w14:ligatures w14:val="none"/>
        </w:rPr>
        <w:t xml:space="preserve">the average </w:t>
      </w:r>
      <w:r w:rsidR="00DC3485" w:rsidRPr="00D909D0">
        <w:rPr>
          <w:rFonts w:eastAsia="Times New Roman" w:cstheme="minorHAnsi"/>
          <w:kern w:val="0"/>
          <w:sz w:val="20"/>
          <w:szCs w:val="20"/>
          <w:lang w:val="en-US"/>
          <w14:ligatures w14:val="none"/>
        </w:rPr>
        <w:t>score of the six factors</w:t>
      </w:r>
      <w:r w:rsidR="00665A3A" w:rsidRPr="00D909D0">
        <w:rPr>
          <w:rFonts w:eastAsia="Times New Roman" w:cstheme="minorHAnsi"/>
          <w:kern w:val="0"/>
          <w:sz w:val="20"/>
          <w:szCs w:val="20"/>
          <w:lang w:val="en-US"/>
          <w14:ligatures w14:val="none"/>
        </w:rPr>
        <w:t>:</w:t>
      </w:r>
      <w:r w:rsidRPr="00D909D0">
        <w:rPr>
          <w:rFonts w:eastAsia="Times New Roman" w:cstheme="minorHAnsi"/>
          <w:kern w:val="0"/>
          <w:sz w:val="20"/>
          <w:szCs w:val="20"/>
          <w:lang w:val="en-US"/>
          <w14:ligatures w14:val="none"/>
        </w:rPr>
        <w:t xml:space="preserve"> ease of </w:t>
      </w:r>
      <w:r w:rsidR="00B05797" w:rsidRPr="00D909D0">
        <w:rPr>
          <w:rFonts w:eastAsia="Times New Roman" w:cstheme="minorHAnsi"/>
          <w:kern w:val="0"/>
          <w:sz w:val="20"/>
          <w:szCs w:val="20"/>
          <w:lang w:val="en-US"/>
          <w14:ligatures w14:val="none"/>
        </w:rPr>
        <w:t>operating a philanthropic organization</w:t>
      </w:r>
      <w:r w:rsidRPr="00D909D0">
        <w:rPr>
          <w:rFonts w:eastAsia="Times New Roman" w:cstheme="minorHAnsi"/>
          <w:kern w:val="0"/>
          <w:sz w:val="20"/>
          <w:szCs w:val="20"/>
          <w:lang w:val="en-US"/>
          <w14:ligatures w14:val="none"/>
        </w:rPr>
        <w:t>, tax incentives, the ability to send and receive cross-border donations</w:t>
      </w:r>
      <w:r w:rsidR="00665A3A" w:rsidRPr="00D909D0">
        <w:rPr>
          <w:rFonts w:eastAsia="Times New Roman" w:cstheme="minorHAnsi"/>
          <w:kern w:val="0"/>
          <w:sz w:val="20"/>
          <w:szCs w:val="20"/>
          <w:lang w:val="en-US"/>
          <w14:ligatures w14:val="none"/>
        </w:rPr>
        <w:t>, political environment, economic environment, and socio-cultural environment</w:t>
      </w:r>
      <w:r w:rsidRPr="00D909D0">
        <w:rPr>
          <w:rFonts w:eastAsia="Times New Roman" w:cstheme="minorHAnsi"/>
          <w:kern w:val="0"/>
          <w:sz w:val="20"/>
          <w:szCs w:val="20"/>
          <w:lang w:val="en-US"/>
          <w14:ligatures w14:val="none"/>
        </w:rPr>
        <w:t xml:space="preserve">. The global average score is 3.63, while the European average score is 4.09. Northern and Western Europe have the highest scores, placing above both the European and </w:t>
      </w:r>
      <w:r w:rsidR="00B05797" w:rsidRPr="00D909D0">
        <w:rPr>
          <w:rFonts w:eastAsia="Times New Roman" w:cstheme="minorHAnsi"/>
          <w:kern w:val="0"/>
          <w:sz w:val="20"/>
          <w:szCs w:val="20"/>
          <w:lang w:val="en-US"/>
          <w14:ligatures w14:val="none"/>
        </w:rPr>
        <w:t xml:space="preserve">global </w:t>
      </w:r>
      <w:r w:rsidR="001B7616" w:rsidRPr="00D909D0">
        <w:rPr>
          <w:rFonts w:eastAsia="Times New Roman" w:cstheme="minorHAnsi"/>
          <w:kern w:val="0"/>
          <w:sz w:val="20"/>
          <w:szCs w:val="20"/>
          <w:lang w:val="en-US"/>
          <w14:ligatures w14:val="none"/>
        </w:rPr>
        <w:t>averages</w:t>
      </w:r>
      <w:r w:rsidR="003F060A" w:rsidRPr="00D909D0">
        <w:rPr>
          <w:rFonts w:eastAsia="Times New Roman" w:cstheme="minorHAnsi"/>
          <w:kern w:val="0"/>
          <w:sz w:val="20"/>
          <w:szCs w:val="20"/>
          <w:lang w:val="en-US"/>
          <w14:ligatures w14:val="none"/>
        </w:rPr>
        <w:t xml:space="preserve"> (Figure 1)</w:t>
      </w:r>
      <w:r w:rsidRPr="00D909D0">
        <w:rPr>
          <w:rFonts w:eastAsia="Times New Roman" w:cstheme="minorHAnsi"/>
          <w:kern w:val="0"/>
          <w:sz w:val="20"/>
          <w:szCs w:val="20"/>
          <w:lang w:val="en-US"/>
          <w14:ligatures w14:val="none"/>
        </w:rPr>
        <w:t xml:space="preserve">. </w:t>
      </w:r>
      <w:r w:rsidR="00032E63" w:rsidRPr="00D909D0">
        <w:rPr>
          <w:rFonts w:eastAsia="Times New Roman" w:cstheme="minorHAnsi"/>
          <w:kern w:val="0"/>
          <w:sz w:val="20"/>
          <w:szCs w:val="20"/>
          <w:lang w:val="en-US"/>
          <w14:ligatures w14:val="none"/>
        </w:rPr>
        <w:t xml:space="preserve">These regions </w:t>
      </w:r>
      <w:r w:rsidR="00BE63A4" w:rsidRPr="00D909D0">
        <w:rPr>
          <w:rFonts w:eastAsia="Times New Roman" w:cstheme="minorHAnsi"/>
          <w:kern w:val="0"/>
          <w:sz w:val="20"/>
          <w:szCs w:val="20"/>
          <w:lang w:val="en-US"/>
          <w14:ligatures w14:val="none"/>
        </w:rPr>
        <w:t>have</w:t>
      </w:r>
      <w:r w:rsidR="00032E63" w:rsidRPr="00D909D0">
        <w:rPr>
          <w:rFonts w:eastAsia="Times New Roman" w:cstheme="minorHAnsi"/>
          <w:kern w:val="0"/>
          <w:sz w:val="20"/>
          <w:szCs w:val="20"/>
          <w:lang w:val="en-US"/>
          <w14:ligatures w14:val="none"/>
        </w:rPr>
        <w:t xml:space="preserve"> well-established </w:t>
      </w:r>
      <w:r w:rsidR="0076197F" w:rsidRPr="00D909D0">
        <w:rPr>
          <w:rFonts w:eastAsia="Times New Roman" w:cstheme="minorHAnsi"/>
          <w:kern w:val="0"/>
          <w:sz w:val="20"/>
          <w:szCs w:val="20"/>
          <w:lang w:val="en-US"/>
          <w14:ligatures w14:val="none"/>
        </w:rPr>
        <w:t xml:space="preserve">systems for philanthropy and managed to maintain them throughout </w:t>
      </w:r>
      <w:r w:rsidR="00212570" w:rsidRPr="00D909D0">
        <w:rPr>
          <w:rFonts w:eastAsia="Times New Roman" w:cstheme="minorHAnsi"/>
          <w:kern w:val="0"/>
          <w:sz w:val="20"/>
          <w:szCs w:val="20"/>
          <w:lang w:val="en-US"/>
          <w14:ligatures w14:val="none"/>
        </w:rPr>
        <w:t xml:space="preserve">the </w:t>
      </w:r>
      <w:r w:rsidR="00DC3485" w:rsidRPr="00D909D0">
        <w:rPr>
          <w:rFonts w:eastAsia="Times New Roman" w:cstheme="minorHAnsi"/>
          <w:kern w:val="0"/>
          <w:sz w:val="20"/>
          <w:szCs w:val="20"/>
          <w:lang w:val="en-US"/>
          <w14:ligatures w14:val="none"/>
        </w:rPr>
        <w:t xml:space="preserve">COVID-19 </w:t>
      </w:r>
      <w:r w:rsidR="00804CC4" w:rsidRPr="00D909D0">
        <w:rPr>
          <w:rFonts w:eastAsia="Times New Roman" w:cstheme="minorHAnsi"/>
          <w:kern w:val="0"/>
          <w:sz w:val="20"/>
          <w:szCs w:val="20"/>
          <w:lang w:val="en-US"/>
          <w14:ligatures w14:val="none"/>
        </w:rPr>
        <w:t xml:space="preserve"> pandemic, which puts them ahead of other regions examined in t</w:t>
      </w:r>
      <w:r w:rsidR="00DC3485" w:rsidRPr="00D909D0">
        <w:rPr>
          <w:rFonts w:eastAsia="Times New Roman" w:cstheme="minorHAnsi"/>
          <w:kern w:val="0"/>
          <w:sz w:val="20"/>
          <w:szCs w:val="20"/>
          <w:lang w:val="en-US"/>
          <w14:ligatures w14:val="none"/>
        </w:rPr>
        <w:t>his paper</w:t>
      </w:r>
      <w:r w:rsidR="00804CC4" w:rsidRPr="00D909D0">
        <w:rPr>
          <w:rFonts w:eastAsia="Times New Roman" w:cstheme="minorHAnsi"/>
          <w:kern w:val="0"/>
          <w:sz w:val="20"/>
          <w:szCs w:val="20"/>
          <w:lang w:val="en-US"/>
          <w14:ligatures w14:val="none"/>
        </w:rPr>
        <w:t>.</w:t>
      </w:r>
      <w:r w:rsidR="00032E63" w:rsidRPr="00D909D0">
        <w:rPr>
          <w:rFonts w:eastAsia="Times New Roman" w:cstheme="minorHAnsi"/>
          <w:kern w:val="0"/>
          <w:sz w:val="20"/>
          <w:szCs w:val="20"/>
          <w:lang w:val="en-US"/>
          <w14:ligatures w14:val="none"/>
        </w:rPr>
        <w:t xml:space="preserve"> </w:t>
      </w:r>
      <w:r w:rsidR="00CB072D" w:rsidRPr="00D909D0">
        <w:rPr>
          <w:rFonts w:eastAsia="Times New Roman" w:cstheme="minorHAnsi"/>
          <w:kern w:val="0"/>
          <w:sz w:val="20"/>
          <w:szCs w:val="20"/>
          <w:lang w:val="en-US"/>
          <w14:ligatures w14:val="none"/>
        </w:rPr>
        <w:t xml:space="preserve">However, there are potential risks on the horizon from </w:t>
      </w:r>
      <w:r w:rsidR="00E25110" w:rsidRPr="00D909D0">
        <w:rPr>
          <w:rFonts w:eastAsia="Times New Roman" w:cstheme="minorHAnsi"/>
          <w:kern w:val="0"/>
          <w:sz w:val="20"/>
          <w:szCs w:val="20"/>
          <w:lang w:val="en-US"/>
          <w14:ligatures w14:val="none"/>
        </w:rPr>
        <w:t>tension between entrenched systems and the need for innovation</w:t>
      </w:r>
      <w:r w:rsidR="00637F69" w:rsidRPr="00D909D0">
        <w:rPr>
          <w:rFonts w:eastAsia="Times New Roman" w:cstheme="minorHAnsi"/>
          <w:kern w:val="0"/>
          <w:sz w:val="20"/>
          <w:szCs w:val="20"/>
          <w:lang w:val="en-US"/>
          <w14:ligatures w14:val="none"/>
        </w:rPr>
        <w:t xml:space="preserve">, as well as uncertainty in political </w:t>
      </w:r>
      <w:r w:rsidR="000E7BEA" w:rsidRPr="00D909D0">
        <w:rPr>
          <w:rFonts w:eastAsia="Times New Roman" w:cstheme="minorHAnsi"/>
          <w:kern w:val="0"/>
          <w:sz w:val="20"/>
          <w:szCs w:val="20"/>
          <w:lang w:val="en-US"/>
          <w14:ligatures w14:val="none"/>
        </w:rPr>
        <w:t xml:space="preserve">and cultural </w:t>
      </w:r>
      <w:r w:rsidR="00637F69" w:rsidRPr="00D909D0">
        <w:rPr>
          <w:rFonts w:eastAsia="Times New Roman" w:cstheme="minorHAnsi"/>
          <w:kern w:val="0"/>
          <w:sz w:val="20"/>
          <w:szCs w:val="20"/>
          <w:lang w:val="en-US"/>
          <w14:ligatures w14:val="none"/>
        </w:rPr>
        <w:t>environments.</w:t>
      </w:r>
      <w:r w:rsidR="000E7BEA" w:rsidRPr="00D909D0">
        <w:rPr>
          <w:rFonts w:eastAsia="Times New Roman" w:cstheme="minorHAnsi"/>
          <w:kern w:val="0"/>
          <w:sz w:val="20"/>
          <w:szCs w:val="20"/>
          <w:lang w:val="en-US"/>
          <w14:ligatures w14:val="none"/>
        </w:rPr>
        <w:t xml:space="preserve"> </w:t>
      </w:r>
      <w:r w:rsidRPr="00D909D0">
        <w:rPr>
          <w:rFonts w:eastAsia="Times New Roman" w:cstheme="minorHAnsi"/>
          <w:kern w:val="0"/>
          <w:sz w:val="20"/>
          <w:szCs w:val="20"/>
          <w:lang w:val="en-US"/>
          <w14:ligatures w14:val="none"/>
        </w:rPr>
        <w:t>The scores for the Balkan</w:t>
      </w:r>
      <w:r w:rsidR="00DC3485" w:rsidRPr="00D909D0">
        <w:rPr>
          <w:rFonts w:eastAsia="Times New Roman" w:cstheme="minorHAnsi"/>
          <w:kern w:val="0"/>
          <w:sz w:val="20"/>
          <w:szCs w:val="20"/>
          <w:lang w:val="en-US"/>
          <w14:ligatures w14:val="none"/>
        </w:rPr>
        <w:t xml:space="preserve"> Countries</w:t>
      </w:r>
      <w:r w:rsidRPr="00D909D0">
        <w:rPr>
          <w:rFonts w:eastAsia="Times New Roman" w:cstheme="minorHAnsi"/>
          <w:kern w:val="0"/>
          <w:sz w:val="20"/>
          <w:szCs w:val="20"/>
          <w:lang w:val="en-US"/>
          <w14:ligatures w14:val="none"/>
        </w:rPr>
        <w:t xml:space="preserve">, Central Europe, and Southern Europe were lower than the European average, but the regions still scored </w:t>
      </w:r>
      <w:r w:rsidR="00CF2928" w:rsidRPr="00D909D0">
        <w:rPr>
          <w:rFonts w:eastAsia="Times New Roman" w:cstheme="minorHAnsi"/>
          <w:kern w:val="0"/>
          <w:sz w:val="20"/>
          <w:szCs w:val="20"/>
          <w:lang w:val="en-US"/>
          <w14:ligatures w14:val="none"/>
        </w:rPr>
        <w:t>around</w:t>
      </w:r>
      <w:r w:rsidRPr="00D909D0">
        <w:rPr>
          <w:rFonts w:eastAsia="Times New Roman" w:cstheme="minorHAnsi"/>
          <w:kern w:val="0"/>
          <w:sz w:val="20"/>
          <w:szCs w:val="20"/>
          <w:lang w:val="en-US"/>
          <w14:ligatures w14:val="none"/>
        </w:rPr>
        <w:t xml:space="preserve"> the global average.</w:t>
      </w:r>
      <w:r w:rsidR="00BA6132" w:rsidRPr="00D909D0">
        <w:rPr>
          <w:rFonts w:eastAsia="Times New Roman" w:cstheme="minorHAnsi"/>
          <w:kern w:val="0"/>
          <w:sz w:val="20"/>
          <w:szCs w:val="20"/>
          <w:lang w:val="en-US"/>
          <w14:ligatures w14:val="none"/>
        </w:rPr>
        <w:t xml:space="preserve"> </w:t>
      </w:r>
      <w:r w:rsidR="00BE63A4" w:rsidRPr="00D909D0">
        <w:rPr>
          <w:rFonts w:eastAsia="Times New Roman" w:cstheme="minorHAnsi"/>
          <w:kern w:val="0"/>
          <w:sz w:val="20"/>
          <w:szCs w:val="20"/>
          <w:lang w:val="en-US"/>
          <w14:ligatures w14:val="none"/>
        </w:rPr>
        <w:t>The pandemic had a particularly harsh impact on the economic environments for these regions, which limited the resources available to the philanthropic sector.</w:t>
      </w:r>
    </w:p>
    <w:p w14:paraId="04446BC6" w14:textId="0ABE8FE9" w:rsidR="00A03D37" w:rsidRPr="00D909D0" w:rsidRDefault="00A03D37" w:rsidP="000E7BE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 xml:space="preserve">Figure 1: </w:t>
      </w:r>
      <w:r w:rsidR="003063B4" w:rsidRPr="00D909D0">
        <w:rPr>
          <w:rFonts w:eastAsia="Times New Roman" w:cstheme="minorHAnsi"/>
          <w:b/>
          <w:bCs/>
          <w:kern w:val="0"/>
          <w:sz w:val="20"/>
          <w:szCs w:val="20"/>
          <w:lang w:val="en-US"/>
          <w14:ligatures w14:val="none"/>
        </w:rPr>
        <w:t>OVERALL SCORES BY REGION, 2018</w:t>
      </w:r>
      <w:r w:rsidR="0064517C" w:rsidRPr="00D909D0">
        <w:rPr>
          <w:rFonts w:eastAsia="Times New Roman" w:cstheme="minorHAnsi"/>
          <w:b/>
          <w:bCs/>
          <w:kern w:val="0"/>
          <w:sz w:val="20"/>
          <w:szCs w:val="20"/>
          <w:lang w:val="en-US"/>
          <w14:ligatures w14:val="none"/>
        </w:rPr>
        <w:t>–</w:t>
      </w:r>
      <w:r w:rsidR="003063B4" w:rsidRPr="00D909D0">
        <w:rPr>
          <w:rFonts w:eastAsia="Times New Roman" w:cstheme="minorHAnsi"/>
          <w:b/>
          <w:bCs/>
          <w:kern w:val="0"/>
          <w:sz w:val="20"/>
          <w:szCs w:val="20"/>
          <w:lang w:val="en-US"/>
          <w14:ligatures w14:val="none"/>
        </w:rPr>
        <w:t>2020</w:t>
      </w:r>
    </w:p>
    <w:p w14:paraId="27FFE269" w14:textId="016561A1" w:rsidR="00D67A0A" w:rsidRPr="00D909D0" w:rsidRDefault="00D67A0A" w:rsidP="00DC3485">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2C3E8F03" wp14:editId="42CCAC41">
            <wp:extent cx="4871677" cy="1459966"/>
            <wp:effectExtent l="0" t="0" r="0" b="0"/>
            <wp:docPr id="975296202" name="Diagramm 1">
              <a:extLst xmlns:a="http://schemas.openxmlformats.org/drawingml/2006/main">
                <a:ext uri="{FF2B5EF4-FFF2-40B4-BE49-F238E27FC236}">
                  <a16:creationId xmlns:a16="http://schemas.microsoft.com/office/drawing/2014/main" id="{B0CA7681-E014-44B3-BD28-8F8FC2A83A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E46131" w14:textId="1CF08AEE" w:rsidR="00826430" w:rsidRPr="00D909D0" w:rsidRDefault="00826430" w:rsidP="00826430">
      <w:pPr>
        <w:spacing w:before="100" w:beforeAutospacing="1" w:after="100" w:afterAutospacing="1" w:line="240" w:lineRule="auto"/>
        <w:rPr>
          <w:rFonts w:eastAsia="Times New Roman" w:cstheme="minorHAnsi"/>
          <w:kern w:val="0"/>
          <w:sz w:val="20"/>
          <w:szCs w:val="20"/>
          <w:lang w:val="en-US"/>
          <w14:ligatures w14:val="none"/>
        </w:rPr>
      </w:pPr>
      <w:r w:rsidRPr="00D909D0">
        <w:rPr>
          <w:rFonts w:cstheme="minorHAnsi"/>
          <w:sz w:val="20"/>
          <w:szCs w:val="20"/>
          <w:lang w:val="en-US"/>
        </w:rPr>
        <w:t xml:space="preserve">Source: Indiana University Lilly Family School of Philanthropy, </w:t>
      </w:r>
      <w:r w:rsidRPr="00D909D0">
        <w:rPr>
          <w:rFonts w:cstheme="minorHAnsi"/>
          <w:i/>
          <w:iCs/>
          <w:sz w:val="20"/>
          <w:szCs w:val="20"/>
          <w:lang w:val="en-US"/>
        </w:rPr>
        <w:t>2022 Global Philanthropy Environment Inde</w:t>
      </w:r>
      <w:r w:rsidR="00BB0EA4" w:rsidRPr="00D909D0">
        <w:rPr>
          <w:rFonts w:cstheme="minorHAnsi"/>
          <w:i/>
          <w:iCs/>
          <w:sz w:val="20"/>
          <w:szCs w:val="20"/>
          <w:lang w:val="en-US"/>
        </w:rPr>
        <w:t>x</w:t>
      </w:r>
    </w:p>
    <w:p w14:paraId="63E69600" w14:textId="1B175865" w:rsidR="00A03D37" w:rsidRPr="00D909D0" w:rsidRDefault="00466567" w:rsidP="00A30055">
      <w:pPr>
        <w:rPr>
          <w:rFonts w:cstheme="minorHAnsi"/>
          <w:sz w:val="20"/>
          <w:szCs w:val="20"/>
          <w:lang w:val="en-US"/>
        </w:rPr>
      </w:pPr>
      <w:r w:rsidRPr="00D909D0">
        <w:rPr>
          <w:rFonts w:cstheme="minorHAnsi"/>
          <w:noProof/>
          <w:sz w:val="20"/>
          <w:szCs w:val="20"/>
          <w:lang w:val="en-US"/>
        </w:rPr>
        <mc:AlternateContent>
          <mc:Choice Requires="wps">
            <w:drawing>
              <wp:anchor distT="45720" distB="45720" distL="114300" distR="114300" simplePos="0" relativeHeight="251667456" behindDoc="0" locked="0" layoutInCell="1" allowOverlap="1" wp14:anchorId="70C7424F" wp14:editId="2A65B682">
                <wp:simplePos x="0" y="0"/>
                <wp:positionH relativeFrom="margin">
                  <wp:align>right</wp:align>
                </wp:positionH>
                <wp:positionV relativeFrom="paragraph">
                  <wp:posOffset>266700</wp:posOffset>
                </wp:positionV>
                <wp:extent cx="5715000" cy="12039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3960"/>
                        </a:xfrm>
                        <a:prstGeom prst="rect">
                          <a:avLst/>
                        </a:prstGeom>
                        <a:solidFill>
                          <a:schemeClr val="accent6">
                            <a:lumMod val="20000"/>
                            <a:lumOff val="80000"/>
                          </a:schemeClr>
                        </a:solidFill>
                        <a:ln w="9525">
                          <a:noFill/>
                          <a:miter lim="800000"/>
                          <a:headEnd/>
                          <a:tailEnd/>
                        </a:ln>
                      </wps:spPr>
                      <wps:txbx>
                        <w:txbxContent>
                          <w:p w14:paraId="1A768E63" w14:textId="5139E4D9" w:rsidR="00DC3485" w:rsidRDefault="00BB0EA4">
                            <w:r>
                              <w:rPr>
                                <w:i/>
                                <w:iCs/>
                              </w:rPr>
                              <w:t>“</w:t>
                            </w:r>
                            <w:r w:rsidR="00DC3485" w:rsidRPr="00DC3485">
                              <w:rPr>
                                <w:i/>
                                <w:iCs/>
                              </w:rPr>
                              <w:t>Northern Europe is characterized by high levels of organizational freedom and civic participation as well as by a policy environment favorable to philanthropy. Philanthropy is deep-rooted in the culture of Nordic societies and the importance of individual giving, venture philanthropy, and social investment is increasing while government funding remains a significant source of revenues for philanthropic organizations in the region. ... [T]he levels of time donations (volunteering) are quite high in comparative terms.“</w:t>
                            </w:r>
                            <w:r w:rsidR="00DC3485" w:rsidRPr="00DC3485">
                              <w:t xml:space="preserve"> </w:t>
                            </w:r>
                            <w:r w:rsidR="00DC3485">
                              <w:t>(Enjorlas, 2022, 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424F" id="Text Box 7" o:spid="_x0000_s1029" type="#_x0000_t202" style="position:absolute;margin-left:398.8pt;margin-top:21pt;width:450pt;height:94.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" fillcolor="#e2efd9 [665]" stroked="f">
                <v:textbox>
                  <w:txbxContent>
                    <w:p w14:paraId="1A768E63" w14:textId="5139E4D9" w:rsidR="00DC3485" w:rsidRDefault="00BB0EA4">
                      <w:r>
                        <w:rPr>
                          <w:i/>
                          <w:iCs/>
                        </w:rPr>
                        <w:t>“</w:t>
                      </w:r>
                      <w:r w:rsidR="00DC3485" w:rsidRPr="00DC3485">
                        <w:rPr>
                          <w:i/>
                          <w:iCs/>
                        </w:rPr>
                        <w:t>Northern Europe is characterized by high levels of organizational freedom and civic participation as well as by a policy environment favorable to philanthropy. Philanthropy is deep-rooted in the culture of Nordic societies and the importance of individual giving, venture philanthropy, and social investment is increasing while government funding remains a significant source of revenues for philanthropic organizations in the region. ... [T]he levels of time donations (volunteering) are quite high in comparative terms.“</w:t>
                      </w:r>
                      <w:r w:rsidR="00DC3485" w:rsidRPr="00DC3485">
                        <w:t xml:space="preserve"> </w:t>
                      </w:r>
                      <w:r w:rsidR="00DC3485">
                        <w:t>(Enjorlas, 2022, p. 1.)</w:t>
                      </w:r>
                    </w:p>
                  </w:txbxContent>
                </v:textbox>
                <w10:wrap type="square" anchorx="margin"/>
              </v:shape>
            </w:pict>
          </mc:Fallback>
        </mc:AlternateContent>
      </w:r>
    </w:p>
    <w:p w14:paraId="5C2E5A26" w14:textId="77777777" w:rsidR="002D00E8" w:rsidRDefault="002D00E8" w:rsidP="00DC3485">
      <w:pPr>
        <w:pStyle w:val="Heading3"/>
        <w:rPr>
          <w:rFonts w:asciiTheme="minorHAnsi" w:hAnsiTheme="minorHAnsi" w:cstheme="minorHAnsi"/>
          <w:i/>
          <w:iCs/>
          <w:sz w:val="20"/>
          <w:szCs w:val="20"/>
          <w:lang w:val="en-US"/>
        </w:rPr>
      </w:pPr>
    </w:p>
    <w:p w14:paraId="5789DB75" w14:textId="62EB7A37" w:rsidR="00DC3485" w:rsidRPr="00D909D0" w:rsidRDefault="002D00E8" w:rsidP="00DC3485">
      <w:pPr>
        <w:pStyle w:val="Heading3"/>
        <w:rPr>
          <w:rFonts w:asciiTheme="minorHAnsi" w:hAnsiTheme="minorHAnsi" w:cstheme="minorHAnsi"/>
          <w:i/>
          <w:iCs/>
          <w:sz w:val="20"/>
          <w:szCs w:val="20"/>
          <w:lang w:val="en-US"/>
        </w:rPr>
      </w:pPr>
      <w:bookmarkStart w:id="6" w:name="_Toc138462034"/>
      <w:r w:rsidRPr="00D909D0">
        <w:rPr>
          <w:rFonts w:asciiTheme="minorHAnsi" w:hAnsiTheme="minorHAnsi" w:cstheme="minorHAnsi"/>
          <w:i/>
          <w:iCs/>
          <w:sz w:val="20"/>
          <w:szCs w:val="20"/>
          <w:lang w:val="en-US"/>
        </w:rPr>
        <w:t xml:space="preserve">4.1.2. </w:t>
      </w:r>
      <w:r w:rsidR="00DC3485" w:rsidRPr="00D909D0">
        <w:rPr>
          <w:rFonts w:asciiTheme="minorHAnsi" w:hAnsiTheme="minorHAnsi" w:cstheme="minorHAnsi"/>
          <w:i/>
          <w:iCs/>
          <w:sz w:val="20"/>
          <w:szCs w:val="20"/>
          <w:lang w:val="en-US"/>
        </w:rPr>
        <w:t xml:space="preserve">Ease of </w:t>
      </w:r>
      <w:r w:rsidR="00D341D3">
        <w:rPr>
          <w:rFonts w:asciiTheme="minorHAnsi" w:hAnsiTheme="minorHAnsi" w:cstheme="minorHAnsi"/>
          <w:i/>
          <w:iCs/>
          <w:sz w:val="20"/>
          <w:szCs w:val="20"/>
          <w:lang w:val="en-US"/>
        </w:rPr>
        <w:t>o</w:t>
      </w:r>
      <w:r w:rsidR="00DC3485" w:rsidRPr="00D909D0">
        <w:rPr>
          <w:rFonts w:asciiTheme="minorHAnsi" w:hAnsiTheme="minorHAnsi" w:cstheme="minorHAnsi"/>
          <w:i/>
          <w:iCs/>
          <w:sz w:val="20"/>
          <w:szCs w:val="20"/>
          <w:lang w:val="en-US"/>
        </w:rPr>
        <w:t xml:space="preserve">perating a </w:t>
      </w:r>
      <w:r w:rsidR="00D341D3">
        <w:rPr>
          <w:rFonts w:asciiTheme="minorHAnsi" w:hAnsiTheme="minorHAnsi" w:cstheme="minorHAnsi"/>
          <w:i/>
          <w:iCs/>
          <w:sz w:val="20"/>
          <w:szCs w:val="20"/>
          <w:lang w:val="en-US"/>
        </w:rPr>
        <w:t>p</w:t>
      </w:r>
      <w:r w:rsidR="00DC3485" w:rsidRPr="00D909D0">
        <w:rPr>
          <w:rFonts w:asciiTheme="minorHAnsi" w:hAnsiTheme="minorHAnsi" w:cstheme="minorHAnsi"/>
          <w:i/>
          <w:iCs/>
          <w:sz w:val="20"/>
          <w:szCs w:val="20"/>
          <w:lang w:val="en-US"/>
        </w:rPr>
        <w:t xml:space="preserve">hilanthropic </w:t>
      </w:r>
      <w:r w:rsidR="00D341D3">
        <w:rPr>
          <w:rFonts w:asciiTheme="minorHAnsi" w:hAnsiTheme="minorHAnsi" w:cstheme="minorHAnsi"/>
          <w:i/>
          <w:iCs/>
          <w:sz w:val="20"/>
          <w:szCs w:val="20"/>
          <w:lang w:val="en-US"/>
        </w:rPr>
        <w:t>o</w:t>
      </w:r>
      <w:r w:rsidR="00DC3485" w:rsidRPr="00D909D0">
        <w:rPr>
          <w:rFonts w:asciiTheme="minorHAnsi" w:hAnsiTheme="minorHAnsi" w:cstheme="minorHAnsi"/>
          <w:i/>
          <w:iCs/>
          <w:sz w:val="20"/>
          <w:szCs w:val="20"/>
          <w:lang w:val="en-US"/>
        </w:rPr>
        <w:t>rganization</w:t>
      </w:r>
      <w:bookmarkEnd w:id="6"/>
    </w:p>
    <w:p w14:paraId="1E9DA5CC" w14:textId="1D5D19C5" w:rsidR="00D67A0A" w:rsidRPr="00D909D0" w:rsidRDefault="00D67A0A" w:rsidP="00D67A0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This score measures the ease with which </w:t>
      </w:r>
      <w:r w:rsidR="00B05797" w:rsidRPr="00D909D0">
        <w:rPr>
          <w:rFonts w:eastAsia="Times New Roman" w:cstheme="minorHAnsi"/>
          <w:kern w:val="0"/>
          <w:sz w:val="20"/>
          <w:szCs w:val="20"/>
          <w:lang w:val="en-US"/>
          <w14:ligatures w14:val="none"/>
        </w:rPr>
        <w:t xml:space="preserve">philanthropic organizations </w:t>
      </w:r>
      <w:r w:rsidRPr="00D909D0">
        <w:rPr>
          <w:rFonts w:eastAsia="Times New Roman" w:cstheme="minorHAnsi"/>
          <w:kern w:val="0"/>
          <w:sz w:val="20"/>
          <w:szCs w:val="20"/>
          <w:lang w:val="en-US"/>
          <w14:ligatures w14:val="none"/>
        </w:rPr>
        <w:t xml:space="preserve">can </w:t>
      </w:r>
      <w:r w:rsidR="00B05797" w:rsidRPr="00D909D0">
        <w:rPr>
          <w:rFonts w:eastAsia="Times New Roman" w:cstheme="minorHAnsi"/>
          <w:kern w:val="0"/>
          <w:sz w:val="20"/>
          <w:szCs w:val="20"/>
          <w:lang w:val="en-US"/>
          <w14:ligatures w14:val="none"/>
        </w:rPr>
        <w:t xml:space="preserve">be </w:t>
      </w:r>
      <w:r w:rsidRPr="00D909D0">
        <w:rPr>
          <w:rFonts w:eastAsia="Times New Roman" w:cstheme="minorHAnsi"/>
          <w:kern w:val="0"/>
          <w:sz w:val="20"/>
          <w:szCs w:val="20"/>
          <w:lang w:val="en-US"/>
          <w14:ligatures w14:val="none"/>
        </w:rPr>
        <w:t>set up, operate</w:t>
      </w:r>
      <w:r w:rsidR="00B05797" w:rsidRPr="00D909D0">
        <w:rPr>
          <w:rFonts w:eastAsia="Times New Roman" w:cstheme="minorHAnsi"/>
          <w:kern w:val="0"/>
          <w:sz w:val="20"/>
          <w:szCs w:val="20"/>
          <w:lang w:val="en-US"/>
          <w14:ligatures w14:val="none"/>
        </w:rPr>
        <w:t>d</w:t>
      </w:r>
      <w:r w:rsidRPr="00D909D0">
        <w:rPr>
          <w:rFonts w:eastAsia="Times New Roman" w:cstheme="minorHAnsi"/>
          <w:kern w:val="0"/>
          <w:sz w:val="20"/>
          <w:szCs w:val="20"/>
          <w:lang w:val="en-US"/>
          <w14:ligatures w14:val="none"/>
        </w:rPr>
        <w:t>, and dissolve</w:t>
      </w:r>
      <w:r w:rsidR="00B05797" w:rsidRPr="00D909D0">
        <w:rPr>
          <w:rFonts w:eastAsia="Times New Roman" w:cstheme="minorHAnsi"/>
          <w:kern w:val="0"/>
          <w:sz w:val="20"/>
          <w:szCs w:val="20"/>
          <w:lang w:val="en-US"/>
          <w14:ligatures w14:val="none"/>
        </w:rPr>
        <w:t>d</w:t>
      </w:r>
      <w:r w:rsidRPr="00D909D0">
        <w:rPr>
          <w:rFonts w:eastAsia="Times New Roman" w:cstheme="minorHAnsi"/>
          <w:kern w:val="0"/>
          <w:sz w:val="20"/>
          <w:szCs w:val="20"/>
          <w:lang w:val="en-US"/>
          <w14:ligatures w14:val="none"/>
        </w:rPr>
        <w:t>. The global average score is 3.97, while the European average score is 4.60</w:t>
      </w:r>
      <w:r w:rsidR="003F060A" w:rsidRPr="00D909D0">
        <w:rPr>
          <w:rFonts w:eastAsia="Times New Roman" w:cstheme="minorHAnsi"/>
          <w:kern w:val="0"/>
          <w:sz w:val="20"/>
          <w:szCs w:val="20"/>
          <w:lang w:val="en-US"/>
          <w14:ligatures w14:val="none"/>
        </w:rPr>
        <w:t xml:space="preserve"> (Figure 2)</w:t>
      </w:r>
      <w:r w:rsidRPr="00D909D0">
        <w:rPr>
          <w:rFonts w:eastAsia="Times New Roman" w:cstheme="minorHAnsi"/>
          <w:kern w:val="0"/>
          <w:sz w:val="20"/>
          <w:szCs w:val="20"/>
          <w:lang w:val="en-US"/>
          <w14:ligatures w14:val="none"/>
        </w:rPr>
        <w:t xml:space="preserve">. </w:t>
      </w:r>
      <w:r w:rsidR="003F060A" w:rsidRPr="00D909D0">
        <w:rPr>
          <w:rFonts w:eastAsia="Times New Roman" w:cstheme="minorHAnsi"/>
          <w:kern w:val="0"/>
          <w:sz w:val="20"/>
          <w:szCs w:val="20"/>
          <w:lang w:val="en-US"/>
          <w14:ligatures w14:val="none"/>
        </w:rPr>
        <w:t>A</w:t>
      </w:r>
      <w:r w:rsidRPr="00D909D0">
        <w:rPr>
          <w:rFonts w:eastAsia="Times New Roman" w:cstheme="minorHAnsi"/>
          <w:kern w:val="0"/>
          <w:sz w:val="20"/>
          <w:szCs w:val="20"/>
          <w:lang w:val="en-US"/>
          <w14:ligatures w14:val="none"/>
        </w:rPr>
        <w:t>ll regions of Europe have scores above the global average, with Central and Southern Europe being slightly closer to the global average with 4.10 and 3.98, respectively.</w:t>
      </w:r>
      <w:r w:rsidR="009358C0" w:rsidRPr="00D909D0">
        <w:rPr>
          <w:rFonts w:eastAsia="Times New Roman" w:cstheme="minorHAnsi"/>
          <w:kern w:val="0"/>
          <w:sz w:val="20"/>
          <w:szCs w:val="20"/>
          <w:lang w:val="en-US"/>
          <w14:ligatures w14:val="none"/>
        </w:rPr>
        <w:t xml:space="preserve"> These regions still </w:t>
      </w:r>
      <w:r w:rsidR="007A2704" w:rsidRPr="00D909D0">
        <w:rPr>
          <w:rFonts w:eastAsia="Times New Roman" w:cstheme="minorHAnsi"/>
          <w:kern w:val="0"/>
          <w:sz w:val="20"/>
          <w:szCs w:val="20"/>
          <w:lang w:val="en-US"/>
          <w14:ligatures w14:val="none"/>
        </w:rPr>
        <w:t>have relatively positive, stable environments, but</w:t>
      </w:r>
      <w:r w:rsidR="00BB0EA4" w:rsidRPr="00D909D0">
        <w:rPr>
          <w:rFonts w:eastAsia="Times New Roman" w:cstheme="minorHAnsi"/>
          <w:kern w:val="0"/>
          <w:sz w:val="20"/>
          <w:szCs w:val="20"/>
          <w:lang w:val="en-US"/>
          <w14:ligatures w14:val="none"/>
        </w:rPr>
        <w:t xml:space="preserve"> a</w:t>
      </w:r>
      <w:r w:rsidR="007A2704" w:rsidRPr="00D909D0">
        <w:rPr>
          <w:rFonts w:eastAsia="Times New Roman" w:cstheme="minorHAnsi"/>
          <w:kern w:val="0"/>
          <w:sz w:val="20"/>
          <w:szCs w:val="20"/>
          <w:lang w:val="en-US"/>
          <w14:ligatures w14:val="none"/>
        </w:rPr>
        <w:t xml:space="preserve"> lack of </w:t>
      </w:r>
      <w:r w:rsidR="00E6311C" w:rsidRPr="00D909D0">
        <w:rPr>
          <w:rFonts w:eastAsia="Times New Roman" w:cstheme="minorHAnsi"/>
          <w:kern w:val="0"/>
          <w:sz w:val="20"/>
          <w:szCs w:val="20"/>
          <w:lang w:val="en-US"/>
          <w14:ligatures w14:val="none"/>
        </w:rPr>
        <w:t xml:space="preserve">fully developed regulatory frameworks in some </w:t>
      </w:r>
      <w:r w:rsidR="003D77F5" w:rsidRPr="00D909D0">
        <w:rPr>
          <w:rFonts w:eastAsia="Times New Roman" w:cstheme="minorHAnsi"/>
          <w:kern w:val="0"/>
          <w:sz w:val="20"/>
          <w:szCs w:val="20"/>
          <w:lang w:val="en-US"/>
          <w14:ligatures w14:val="none"/>
        </w:rPr>
        <w:t xml:space="preserve">and issues adhering to </w:t>
      </w:r>
      <w:r w:rsidR="00BE70FD" w:rsidRPr="00D909D0">
        <w:rPr>
          <w:rFonts w:eastAsia="Times New Roman" w:cstheme="minorHAnsi"/>
          <w:kern w:val="0"/>
          <w:sz w:val="20"/>
          <w:szCs w:val="20"/>
          <w:lang w:val="en-US"/>
          <w14:ligatures w14:val="none"/>
        </w:rPr>
        <w:t>regulations may explain the lower scores.</w:t>
      </w:r>
      <w:r w:rsidRPr="00D909D0">
        <w:rPr>
          <w:rFonts w:eastAsia="Times New Roman" w:cstheme="minorHAnsi"/>
          <w:kern w:val="0"/>
          <w:sz w:val="20"/>
          <w:szCs w:val="20"/>
          <w:lang w:val="en-US"/>
          <w14:ligatures w14:val="none"/>
        </w:rPr>
        <w:t xml:space="preserve"> Northern Europe (5.00), Western Europe (4.81), and the Balkans (4.57) have </w:t>
      </w:r>
      <w:r w:rsidR="003F060A" w:rsidRPr="00D909D0">
        <w:rPr>
          <w:rFonts w:eastAsia="Times New Roman" w:cstheme="minorHAnsi"/>
          <w:kern w:val="0"/>
          <w:sz w:val="20"/>
          <w:szCs w:val="20"/>
          <w:lang w:val="en-US"/>
          <w14:ligatures w14:val="none"/>
        </w:rPr>
        <w:t>a highly favorable environment</w:t>
      </w:r>
      <w:r w:rsidRPr="00D909D0">
        <w:rPr>
          <w:rFonts w:eastAsia="Times New Roman" w:cstheme="minorHAnsi"/>
          <w:kern w:val="0"/>
          <w:sz w:val="20"/>
          <w:szCs w:val="20"/>
          <w:lang w:val="en-US"/>
          <w14:ligatures w14:val="none"/>
        </w:rPr>
        <w:t>.</w:t>
      </w:r>
      <w:r w:rsidR="002F5E14" w:rsidRPr="00D909D0">
        <w:rPr>
          <w:rFonts w:eastAsia="Times New Roman" w:cstheme="minorHAnsi"/>
          <w:kern w:val="0"/>
          <w:sz w:val="20"/>
          <w:szCs w:val="20"/>
          <w:lang w:val="en-US"/>
          <w14:ligatures w14:val="none"/>
        </w:rPr>
        <w:t xml:space="preserve"> </w:t>
      </w:r>
      <w:r w:rsidR="00EC1017" w:rsidRPr="00D909D0">
        <w:rPr>
          <w:rFonts w:eastAsia="Times New Roman" w:cstheme="minorHAnsi"/>
          <w:kern w:val="0"/>
          <w:sz w:val="20"/>
          <w:szCs w:val="20"/>
          <w:lang w:val="en-US"/>
          <w14:ligatures w14:val="none"/>
        </w:rPr>
        <w:t xml:space="preserve">All three regions note that the scores are simply a continuation of </w:t>
      </w:r>
      <w:r w:rsidR="007533E9" w:rsidRPr="00D909D0">
        <w:rPr>
          <w:rFonts w:eastAsia="Times New Roman" w:cstheme="minorHAnsi"/>
          <w:kern w:val="0"/>
          <w:sz w:val="20"/>
          <w:szCs w:val="20"/>
          <w:lang w:val="en-US"/>
          <w14:ligatures w14:val="none"/>
        </w:rPr>
        <w:t xml:space="preserve">already very positive environments, although some individual countries have </w:t>
      </w:r>
      <w:r w:rsidR="00B63C88" w:rsidRPr="00D909D0">
        <w:rPr>
          <w:rFonts w:eastAsia="Times New Roman" w:cstheme="minorHAnsi"/>
          <w:kern w:val="0"/>
          <w:sz w:val="20"/>
          <w:szCs w:val="20"/>
          <w:lang w:val="en-US"/>
          <w14:ligatures w14:val="none"/>
        </w:rPr>
        <w:t xml:space="preserve">reformed laws to ease burdens on philanthropic </w:t>
      </w:r>
      <w:r w:rsidR="00B63C88" w:rsidRPr="00D909D0">
        <w:rPr>
          <w:rFonts w:eastAsia="Times New Roman" w:cstheme="minorHAnsi"/>
          <w:kern w:val="0"/>
          <w:sz w:val="20"/>
          <w:szCs w:val="20"/>
          <w:lang w:val="en-US"/>
          <w14:ligatures w14:val="none"/>
        </w:rPr>
        <w:lastRenderedPageBreak/>
        <w:t>organizations.</w:t>
      </w:r>
      <w:r w:rsidRPr="00D909D0">
        <w:rPr>
          <w:rFonts w:eastAsia="Times New Roman" w:cstheme="minorHAnsi"/>
          <w:kern w:val="0"/>
          <w:sz w:val="20"/>
          <w:szCs w:val="20"/>
          <w:lang w:val="en-US"/>
          <w14:ligatures w14:val="none"/>
        </w:rPr>
        <w:t xml:space="preserve"> This factor </w:t>
      </w:r>
      <w:r w:rsidR="003F060A" w:rsidRPr="00D909D0">
        <w:rPr>
          <w:rFonts w:eastAsia="Times New Roman" w:cstheme="minorHAnsi"/>
          <w:kern w:val="0"/>
          <w:sz w:val="20"/>
          <w:szCs w:val="20"/>
          <w:lang w:val="en-US"/>
          <w14:ligatures w14:val="none"/>
        </w:rPr>
        <w:t>shows</w:t>
      </w:r>
      <w:r w:rsidRPr="00D909D0">
        <w:rPr>
          <w:rFonts w:eastAsia="Times New Roman" w:cstheme="minorHAnsi"/>
          <w:kern w:val="0"/>
          <w:sz w:val="20"/>
          <w:szCs w:val="20"/>
          <w:lang w:val="en-US"/>
          <w14:ligatures w14:val="none"/>
        </w:rPr>
        <w:t xml:space="preserve"> the lowest score </w:t>
      </w:r>
      <w:r w:rsidR="003F060A" w:rsidRPr="00D909D0">
        <w:rPr>
          <w:rFonts w:eastAsia="Times New Roman" w:cstheme="minorHAnsi"/>
          <w:kern w:val="0"/>
          <w:sz w:val="20"/>
          <w:szCs w:val="20"/>
          <w:lang w:val="en-US"/>
          <w14:ligatures w14:val="none"/>
        </w:rPr>
        <w:t xml:space="preserve">regional score variability </w:t>
      </w:r>
      <w:r w:rsidRPr="00D909D0">
        <w:rPr>
          <w:rFonts w:eastAsia="Times New Roman" w:cstheme="minorHAnsi"/>
          <w:kern w:val="0"/>
          <w:sz w:val="20"/>
          <w:szCs w:val="20"/>
          <w:lang w:val="en-US"/>
          <w14:ligatures w14:val="none"/>
        </w:rPr>
        <w:t>at 1.02</w:t>
      </w:r>
      <w:r w:rsidR="003F060A" w:rsidRPr="00D909D0">
        <w:rPr>
          <w:rFonts w:eastAsia="Times New Roman" w:cstheme="minorHAnsi"/>
          <w:kern w:val="0"/>
          <w:sz w:val="20"/>
          <w:szCs w:val="20"/>
          <w:lang w:val="en-US"/>
          <w14:ligatures w14:val="none"/>
        </w:rPr>
        <w:t>, ranging from 3.98 (Southern Europe) to 5.00 (Northern Europe)</w:t>
      </w:r>
      <w:r w:rsidRPr="00D909D0">
        <w:rPr>
          <w:rFonts w:eastAsia="Times New Roman" w:cstheme="minorHAnsi"/>
          <w:kern w:val="0"/>
          <w:sz w:val="20"/>
          <w:szCs w:val="20"/>
          <w:lang w:val="en-US"/>
          <w14:ligatures w14:val="none"/>
        </w:rPr>
        <w:t>.</w:t>
      </w:r>
    </w:p>
    <w:p w14:paraId="33672C96" w14:textId="10B38B65" w:rsidR="003F060A" w:rsidRPr="00D909D0" w:rsidRDefault="003F060A" w:rsidP="00D67A0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2:</w:t>
      </w:r>
      <w:r w:rsidRPr="00D909D0">
        <w:rPr>
          <w:rFonts w:cstheme="minorHAnsi"/>
          <w:sz w:val="20"/>
          <w:szCs w:val="20"/>
          <w:lang w:val="en-US"/>
        </w:rPr>
        <w:t xml:space="preserve"> </w:t>
      </w:r>
      <w:r w:rsidRPr="00D909D0">
        <w:rPr>
          <w:rFonts w:eastAsia="Times New Roman" w:cstheme="minorHAnsi"/>
          <w:b/>
          <w:bCs/>
          <w:kern w:val="0"/>
          <w:sz w:val="20"/>
          <w:szCs w:val="20"/>
          <w:lang w:val="en-US"/>
          <w14:ligatures w14:val="none"/>
        </w:rPr>
        <w:t>EASE OF OPERATING A PHILANTHROPIC ORGANIZATION SCORES BY REGION, 2018–2020</w:t>
      </w:r>
    </w:p>
    <w:p w14:paraId="20EE39CF" w14:textId="77777777" w:rsidR="00D67A0A" w:rsidRPr="00D909D0" w:rsidRDefault="00D67A0A" w:rsidP="003F060A">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0426F459" wp14:editId="56558FFA">
            <wp:extent cx="4785360" cy="1386840"/>
            <wp:effectExtent l="0" t="0" r="0" b="3810"/>
            <wp:docPr id="420698814" name="Diagramm 1">
              <a:extLst xmlns:a="http://schemas.openxmlformats.org/drawingml/2006/main">
                <a:ext uri="{FF2B5EF4-FFF2-40B4-BE49-F238E27FC236}">
                  <a16:creationId xmlns:a16="http://schemas.microsoft.com/office/drawing/2014/main" id="{E5E72FD1-1917-4120-9DB5-B083AA197B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3DC5DD" w14:textId="46277DE0" w:rsidR="00826430" w:rsidRPr="00D909D0" w:rsidRDefault="002D00E8" w:rsidP="00826430">
      <w:pPr>
        <w:rPr>
          <w:rFonts w:eastAsia="Times New Roman" w:cstheme="minorHAnsi"/>
          <w:kern w:val="0"/>
          <w:sz w:val="20"/>
          <w:szCs w:val="20"/>
          <w:lang w:val="en-US"/>
          <w14:ligatures w14:val="none"/>
        </w:rPr>
      </w:pPr>
      <w:r w:rsidRPr="00D909D0">
        <w:rPr>
          <w:rFonts w:cstheme="minorHAnsi"/>
          <w:noProof/>
          <w:sz w:val="20"/>
          <w:szCs w:val="20"/>
          <w:lang w:val="en-US"/>
        </w:rPr>
        <mc:AlternateContent>
          <mc:Choice Requires="wps">
            <w:drawing>
              <wp:anchor distT="45720" distB="45720" distL="114300" distR="114300" simplePos="0" relativeHeight="251669504" behindDoc="0" locked="0" layoutInCell="1" allowOverlap="1" wp14:anchorId="3CF88BD7" wp14:editId="7E43C4D2">
                <wp:simplePos x="0" y="0"/>
                <wp:positionH relativeFrom="margin">
                  <wp:align>right</wp:align>
                </wp:positionH>
                <wp:positionV relativeFrom="paragraph">
                  <wp:posOffset>267970</wp:posOffset>
                </wp:positionV>
                <wp:extent cx="5737860" cy="1333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333500"/>
                        </a:xfrm>
                        <a:prstGeom prst="rect">
                          <a:avLst/>
                        </a:prstGeom>
                        <a:solidFill>
                          <a:schemeClr val="accent6">
                            <a:lumMod val="20000"/>
                            <a:lumOff val="80000"/>
                          </a:schemeClr>
                        </a:solidFill>
                        <a:ln w="9525">
                          <a:noFill/>
                          <a:miter lim="800000"/>
                          <a:headEnd/>
                          <a:tailEnd/>
                        </a:ln>
                      </wps:spPr>
                      <wps:txbx>
                        <w:txbxContent>
                          <w:p w14:paraId="2EF9C637" w14:textId="350D4328" w:rsidR="003F060A" w:rsidRDefault="00BB0EA4" w:rsidP="003F060A">
                            <w:r>
                              <w:rPr>
                                <w:i/>
                                <w:iCs/>
                              </w:rPr>
                              <w:t>“</w:t>
                            </w:r>
                            <w:r w:rsidR="00B81692" w:rsidRPr="00B81692">
                              <w:rPr>
                                <w:i/>
                                <w:iCs/>
                              </w:rPr>
                              <w:t xml:space="preserve">Philanthropy seems to have a relatively stable environment in Southern Europe. Clear legal requirements exist to establish POs. The Greek expert stated concern of the lack of solid regulatory framework. The Italian </w:t>
                            </w:r>
                            <w:r w:rsidR="00B81692">
                              <w:rPr>
                                <w:i/>
                                <w:iCs/>
                              </w:rPr>
                              <w:t>t</w:t>
                            </w:r>
                            <w:r w:rsidR="00B81692" w:rsidRPr="00B81692">
                              <w:rPr>
                                <w:i/>
                                <w:iCs/>
                              </w:rPr>
                              <w:t>hird sector reform appears to have provided a new framework for the entire sector. A new law on foundations is in the pipeline in Portugal.</w:t>
                            </w:r>
                            <w:r w:rsidR="00B81692">
                              <w:rPr>
                                <w:i/>
                                <w:iCs/>
                              </w:rPr>
                              <w:t>“</w:t>
                            </w:r>
                            <w:r w:rsidR="00B81692" w:rsidRPr="00B81692">
                              <w:rPr>
                                <w:i/>
                                <w:iCs/>
                              </w:rPr>
                              <w:t xml:space="preserve"> </w:t>
                            </w:r>
                            <w:r w:rsidR="003F060A" w:rsidRPr="00DC3485">
                              <w:t xml:space="preserve"> </w:t>
                            </w:r>
                            <w:r w:rsidR="003F060A">
                              <w:t>(</w:t>
                            </w:r>
                            <w:r w:rsidR="00B81692">
                              <w:t>Surmatz</w:t>
                            </w:r>
                            <w:r w:rsidR="003F060A">
                              <w:t xml:space="preserve">, 2022, p. </w:t>
                            </w:r>
                            <w:r w:rsidR="00B81692">
                              <w:t>2</w:t>
                            </w:r>
                            <w:r w:rsidR="003F060A">
                              <w:t>.)</w:t>
                            </w:r>
                          </w:p>
                          <w:p w14:paraId="11F8B5AD" w14:textId="1DE04C52" w:rsidR="00B81692" w:rsidRDefault="00B81692" w:rsidP="003F060A">
                            <w:r>
                              <w:t xml:space="preserve">Note: Türkiye is not included </w:t>
                            </w:r>
                            <w:r w:rsidR="00C21BB7">
                              <w:t>i</w:t>
                            </w:r>
                            <w:r>
                              <w:t xml:space="preserve">n the Southern Europe Regional </w:t>
                            </w:r>
                            <w:r w:rsidR="00C21BB7">
                              <w:t>R</w:t>
                            </w:r>
                            <w:r>
                              <w:t>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88BD7" id="Text Box 6" o:spid="_x0000_s1030" type="#_x0000_t202" style="position:absolute;margin-left:400.6pt;margin-top:21.1pt;width:451.8pt;height:1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" fillcolor="#e2efd9 [665]" stroked="f">
                <v:textbox>
                  <w:txbxContent>
                    <w:p w14:paraId="2EF9C637" w14:textId="350D4328" w:rsidR="003F060A" w:rsidRDefault="00BB0EA4" w:rsidP="003F060A">
                      <w:r>
                        <w:rPr>
                          <w:i/>
                          <w:iCs/>
                        </w:rPr>
                        <w:t>“</w:t>
                      </w:r>
                      <w:r w:rsidR="00B81692" w:rsidRPr="00B81692">
                        <w:rPr>
                          <w:i/>
                          <w:iCs/>
                        </w:rPr>
                        <w:t xml:space="preserve">Philanthropy seems to have a relatively stable environment in Southern Europe. Clear legal requirements exist to establish POs. The Greek expert stated concern of the lack of solid regulatory framework. The Italian </w:t>
                      </w:r>
                      <w:r w:rsidR="00B81692">
                        <w:rPr>
                          <w:i/>
                          <w:iCs/>
                        </w:rPr>
                        <w:t>t</w:t>
                      </w:r>
                      <w:r w:rsidR="00B81692" w:rsidRPr="00B81692">
                        <w:rPr>
                          <w:i/>
                          <w:iCs/>
                        </w:rPr>
                        <w:t>hird sector reform appears to have provided a new framework for the entire sector. A new law on foundations is in the pipeline in Portugal.</w:t>
                      </w:r>
                      <w:r w:rsidR="00B81692">
                        <w:rPr>
                          <w:i/>
                          <w:iCs/>
                        </w:rPr>
                        <w:t>“</w:t>
                      </w:r>
                      <w:r w:rsidR="00B81692" w:rsidRPr="00B81692">
                        <w:rPr>
                          <w:i/>
                          <w:iCs/>
                        </w:rPr>
                        <w:t xml:space="preserve"> </w:t>
                      </w:r>
                      <w:r w:rsidR="003F060A" w:rsidRPr="00DC3485">
                        <w:t xml:space="preserve"> </w:t>
                      </w:r>
                      <w:r w:rsidR="003F060A">
                        <w:t>(</w:t>
                      </w:r>
                      <w:r w:rsidR="00B81692">
                        <w:t>Surmatz</w:t>
                      </w:r>
                      <w:r w:rsidR="003F060A">
                        <w:t xml:space="preserve">, 2022, p. </w:t>
                      </w:r>
                      <w:r w:rsidR="00B81692">
                        <w:t>2</w:t>
                      </w:r>
                      <w:r w:rsidR="003F060A">
                        <w:t>.)</w:t>
                      </w:r>
                    </w:p>
                    <w:p w14:paraId="11F8B5AD" w14:textId="1DE04C52" w:rsidR="00B81692" w:rsidRDefault="00B81692" w:rsidP="003F060A">
                      <w:r>
                        <w:t xml:space="preserve">Note: Türkiye is not included </w:t>
                      </w:r>
                      <w:r w:rsidR="00C21BB7">
                        <w:t>i</w:t>
                      </w:r>
                      <w:r>
                        <w:t xml:space="preserve">n the Southern Europe Regional </w:t>
                      </w:r>
                      <w:r w:rsidR="00C21BB7">
                        <w:t>R</w:t>
                      </w:r>
                      <w:r>
                        <w:t>eport.</w:t>
                      </w:r>
                    </w:p>
                  </w:txbxContent>
                </v:textbox>
                <w10:wrap type="square" anchorx="margin"/>
              </v:shape>
            </w:pict>
          </mc:Fallback>
        </mc:AlternateContent>
      </w:r>
      <w:r w:rsidR="00826430" w:rsidRPr="00D909D0">
        <w:rPr>
          <w:rFonts w:cstheme="minorHAnsi"/>
          <w:sz w:val="20"/>
          <w:szCs w:val="20"/>
          <w:lang w:val="en-US"/>
        </w:rPr>
        <w:t xml:space="preserve">Source: Indiana University Lilly Family School of Philanthropy, </w:t>
      </w:r>
      <w:r w:rsidR="00826430" w:rsidRPr="00D909D0">
        <w:rPr>
          <w:rFonts w:cstheme="minorHAnsi"/>
          <w:i/>
          <w:iCs/>
          <w:sz w:val="20"/>
          <w:szCs w:val="20"/>
          <w:lang w:val="en-US"/>
        </w:rPr>
        <w:t>2022 Global Philanthropy Environment Index</w:t>
      </w:r>
    </w:p>
    <w:p w14:paraId="5EF5BBC0" w14:textId="4492933E" w:rsidR="00B81692" w:rsidRPr="00D909D0" w:rsidRDefault="00B81692" w:rsidP="00B81692">
      <w:pPr>
        <w:rPr>
          <w:rFonts w:cstheme="minorHAnsi"/>
          <w:sz w:val="20"/>
          <w:szCs w:val="20"/>
          <w:lang w:val="en-US"/>
        </w:rPr>
      </w:pPr>
    </w:p>
    <w:p w14:paraId="00BD8B79" w14:textId="3A8B52BF" w:rsidR="00B81692" w:rsidRPr="00D909D0" w:rsidRDefault="002D00E8" w:rsidP="00B81692">
      <w:pPr>
        <w:pStyle w:val="Heading3"/>
        <w:rPr>
          <w:rFonts w:asciiTheme="minorHAnsi" w:hAnsiTheme="minorHAnsi" w:cstheme="minorHAnsi"/>
          <w:i/>
          <w:iCs/>
          <w:sz w:val="20"/>
          <w:szCs w:val="20"/>
          <w:lang w:val="en-US"/>
        </w:rPr>
      </w:pPr>
      <w:bookmarkStart w:id="7" w:name="_Toc138462035"/>
      <w:r w:rsidRPr="00D909D0">
        <w:rPr>
          <w:rFonts w:asciiTheme="minorHAnsi" w:hAnsiTheme="minorHAnsi" w:cstheme="minorHAnsi"/>
          <w:i/>
          <w:iCs/>
          <w:sz w:val="20"/>
          <w:szCs w:val="20"/>
          <w:lang w:val="en-US"/>
        </w:rPr>
        <w:t xml:space="preserve">4.1.3. </w:t>
      </w:r>
      <w:r w:rsidR="00D67A0A" w:rsidRPr="00D909D0">
        <w:rPr>
          <w:rFonts w:asciiTheme="minorHAnsi" w:hAnsiTheme="minorHAnsi" w:cstheme="minorHAnsi"/>
          <w:i/>
          <w:iCs/>
          <w:sz w:val="20"/>
          <w:szCs w:val="20"/>
          <w:lang w:val="en-US"/>
        </w:rPr>
        <w:t xml:space="preserve">Tax </w:t>
      </w:r>
      <w:r>
        <w:rPr>
          <w:rFonts w:asciiTheme="minorHAnsi" w:hAnsiTheme="minorHAnsi" w:cstheme="minorHAnsi"/>
          <w:i/>
          <w:iCs/>
          <w:sz w:val="20"/>
          <w:szCs w:val="20"/>
          <w:lang w:val="en-US"/>
        </w:rPr>
        <w:t>i</w:t>
      </w:r>
      <w:r w:rsidR="00D67A0A" w:rsidRPr="00D909D0">
        <w:rPr>
          <w:rFonts w:asciiTheme="minorHAnsi" w:hAnsiTheme="minorHAnsi" w:cstheme="minorHAnsi"/>
          <w:i/>
          <w:iCs/>
          <w:sz w:val="20"/>
          <w:szCs w:val="20"/>
          <w:lang w:val="en-US"/>
        </w:rPr>
        <w:t>ncentives</w:t>
      </w:r>
      <w:bookmarkEnd w:id="7"/>
    </w:p>
    <w:p w14:paraId="1F7088CD" w14:textId="6D783EE2" w:rsidR="00A30055" w:rsidRPr="00D909D0" w:rsidRDefault="00D67A0A" w:rsidP="00D67A0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This score measures the availability of tax incentives for charitable giving, both for donors making donations and for </w:t>
      </w:r>
      <w:r w:rsidR="00B81692" w:rsidRPr="00D909D0">
        <w:rPr>
          <w:rFonts w:eastAsia="Times New Roman" w:cstheme="minorHAnsi"/>
          <w:kern w:val="0"/>
          <w:sz w:val="20"/>
          <w:szCs w:val="20"/>
          <w:lang w:val="en-US"/>
          <w14:ligatures w14:val="none"/>
        </w:rPr>
        <w:t xml:space="preserve">philanthropic </w:t>
      </w:r>
      <w:r w:rsidRPr="00D909D0">
        <w:rPr>
          <w:rFonts w:eastAsia="Times New Roman" w:cstheme="minorHAnsi"/>
          <w:kern w:val="0"/>
          <w:sz w:val="20"/>
          <w:szCs w:val="20"/>
          <w:lang w:val="en-US"/>
          <w14:ligatures w14:val="none"/>
        </w:rPr>
        <w:t>organizations receiving donations. The global average score is 3.52, while the European average score is 3.94</w:t>
      </w:r>
      <w:r w:rsidR="00A30055" w:rsidRPr="00D909D0">
        <w:rPr>
          <w:rFonts w:eastAsia="Times New Roman" w:cstheme="minorHAnsi"/>
          <w:kern w:val="0"/>
          <w:sz w:val="20"/>
          <w:szCs w:val="20"/>
          <w:lang w:val="en-US"/>
          <w14:ligatures w14:val="none"/>
        </w:rPr>
        <w:t xml:space="preserve"> (Figure 3)</w:t>
      </w:r>
      <w:r w:rsidRPr="00D909D0">
        <w:rPr>
          <w:rFonts w:eastAsia="Times New Roman" w:cstheme="minorHAnsi"/>
          <w:kern w:val="0"/>
          <w:sz w:val="20"/>
          <w:szCs w:val="20"/>
          <w:lang w:val="en-US"/>
          <w14:ligatures w14:val="none"/>
        </w:rPr>
        <w:t>. Western Europe is the only region with a score above the European average.</w:t>
      </w:r>
      <w:r w:rsidR="008313AC" w:rsidRPr="00D909D0">
        <w:rPr>
          <w:rFonts w:eastAsia="Times New Roman" w:cstheme="minorHAnsi"/>
          <w:kern w:val="0"/>
          <w:sz w:val="20"/>
          <w:szCs w:val="20"/>
          <w:lang w:val="en-US"/>
          <w14:ligatures w14:val="none"/>
        </w:rPr>
        <w:t xml:space="preserve"> This high score reflects the multiple options for tax deductions for individual and corporate donors, as well as </w:t>
      </w:r>
      <w:r w:rsidR="00B81692" w:rsidRPr="00D909D0">
        <w:rPr>
          <w:rFonts w:eastAsia="Times New Roman" w:cstheme="minorHAnsi"/>
          <w:kern w:val="0"/>
          <w:sz w:val="20"/>
          <w:szCs w:val="20"/>
          <w:lang w:val="en-US"/>
          <w14:ligatures w14:val="none"/>
        </w:rPr>
        <w:t xml:space="preserve">tax incentives offered for </w:t>
      </w:r>
      <w:r w:rsidR="008313AC" w:rsidRPr="00D909D0">
        <w:rPr>
          <w:rFonts w:eastAsia="Times New Roman" w:cstheme="minorHAnsi"/>
          <w:kern w:val="0"/>
          <w:sz w:val="20"/>
          <w:szCs w:val="20"/>
          <w:lang w:val="en-US"/>
          <w14:ligatures w14:val="none"/>
        </w:rPr>
        <w:t>the receiving organizations.</w:t>
      </w:r>
      <w:r w:rsidRPr="00D909D0">
        <w:rPr>
          <w:rFonts w:eastAsia="Times New Roman" w:cstheme="minorHAnsi"/>
          <w:kern w:val="0"/>
          <w:sz w:val="20"/>
          <w:szCs w:val="20"/>
          <w:lang w:val="en-US"/>
          <w14:ligatures w14:val="none"/>
        </w:rPr>
        <w:t xml:space="preserve"> Northern Europe has a score around the European average,</w:t>
      </w:r>
      <w:r w:rsidR="0003089D" w:rsidRPr="00D909D0">
        <w:rPr>
          <w:rFonts w:eastAsia="Times New Roman" w:cstheme="minorHAnsi"/>
          <w:kern w:val="0"/>
          <w:sz w:val="20"/>
          <w:szCs w:val="20"/>
          <w:lang w:val="en-US"/>
          <w14:ligatures w14:val="none"/>
        </w:rPr>
        <w:t xml:space="preserve"> </w:t>
      </w:r>
      <w:r w:rsidR="00766FE4" w:rsidRPr="00D909D0">
        <w:rPr>
          <w:rFonts w:eastAsia="Times New Roman" w:cstheme="minorHAnsi"/>
          <w:kern w:val="0"/>
          <w:sz w:val="20"/>
          <w:szCs w:val="20"/>
          <w:lang w:val="en-US"/>
          <w14:ligatures w14:val="none"/>
        </w:rPr>
        <w:t>which reflects conflicting</w:t>
      </w:r>
      <w:r w:rsidR="00DB724E" w:rsidRPr="00D909D0">
        <w:rPr>
          <w:rFonts w:eastAsia="Times New Roman" w:cstheme="minorHAnsi"/>
          <w:kern w:val="0"/>
          <w:sz w:val="20"/>
          <w:szCs w:val="20"/>
          <w:lang w:val="en-US"/>
          <w14:ligatures w14:val="none"/>
        </w:rPr>
        <w:t xml:space="preserve"> approaches across the regio</w:t>
      </w:r>
      <w:r w:rsidR="0077046D" w:rsidRPr="00D909D0">
        <w:rPr>
          <w:rFonts w:eastAsia="Times New Roman" w:cstheme="minorHAnsi"/>
          <w:kern w:val="0"/>
          <w:sz w:val="20"/>
          <w:szCs w:val="20"/>
          <w:lang w:val="en-US"/>
          <w14:ligatures w14:val="none"/>
        </w:rPr>
        <w:t>n</w:t>
      </w:r>
      <w:r w:rsidR="00DB724E" w:rsidRPr="00D909D0">
        <w:rPr>
          <w:rFonts w:eastAsia="Times New Roman" w:cstheme="minorHAnsi"/>
          <w:kern w:val="0"/>
          <w:sz w:val="20"/>
          <w:szCs w:val="20"/>
          <w:lang w:val="en-US"/>
          <w14:ligatures w14:val="none"/>
        </w:rPr>
        <w:t>.</w:t>
      </w:r>
      <w:r w:rsidR="00766FE4" w:rsidRPr="00D909D0">
        <w:rPr>
          <w:rFonts w:eastAsia="Times New Roman" w:cstheme="minorHAnsi"/>
          <w:kern w:val="0"/>
          <w:sz w:val="20"/>
          <w:szCs w:val="20"/>
          <w:lang w:val="en-US"/>
          <w14:ligatures w14:val="none"/>
        </w:rPr>
        <w:t xml:space="preserve"> </w:t>
      </w:r>
      <w:r w:rsidR="0077046D" w:rsidRPr="00D909D0">
        <w:rPr>
          <w:rFonts w:eastAsia="Times New Roman" w:cstheme="minorHAnsi"/>
          <w:kern w:val="0"/>
          <w:sz w:val="20"/>
          <w:szCs w:val="20"/>
          <w:lang w:val="en-US"/>
          <w14:ligatures w14:val="none"/>
        </w:rPr>
        <w:t xml:space="preserve">For example, while Sweden re-introduced incentives, Norway removed </w:t>
      </w:r>
      <w:r w:rsidR="00B81692" w:rsidRPr="00D909D0">
        <w:rPr>
          <w:rFonts w:eastAsia="Times New Roman" w:cstheme="minorHAnsi"/>
          <w:kern w:val="0"/>
          <w:sz w:val="20"/>
          <w:szCs w:val="20"/>
          <w:lang w:val="en-US"/>
          <w14:ligatures w14:val="none"/>
        </w:rPr>
        <w:t>tax</w:t>
      </w:r>
      <w:r w:rsidR="0077046D" w:rsidRPr="00D909D0">
        <w:rPr>
          <w:rFonts w:eastAsia="Times New Roman" w:cstheme="minorHAnsi"/>
          <w:kern w:val="0"/>
          <w:sz w:val="20"/>
          <w:szCs w:val="20"/>
          <w:lang w:val="en-US"/>
          <w14:ligatures w14:val="none"/>
        </w:rPr>
        <w:t xml:space="preserve"> incentive</w:t>
      </w:r>
      <w:r w:rsidR="00B81692" w:rsidRPr="00D909D0">
        <w:rPr>
          <w:rFonts w:eastAsia="Times New Roman" w:cstheme="minorHAnsi"/>
          <w:kern w:val="0"/>
          <w:sz w:val="20"/>
          <w:szCs w:val="20"/>
          <w:lang w:val="en-US"/>
          <w14:ligatures w14:val="none"/>
        </w:rPr>
        <w:t>s for giving</w:t>
      </w:r>
      <w:r w:rsidR="0077046D" w:rsidRPr="00D909D0">
        <w:rPr>
          <w:rFonts w:eastAsia="Times New Roman" w:cstheme="minorHAnsi"/>
          <w:kern w:val="0"/>
          <w:sz w:val="20"/>
          <w:szCs w:val="20"/>
          <w:lang w:val="en-US"/>
          <w14:ligatures w14:val="none"/>
        </w:rPr>
        <w:t xml:space="preserve">. </w:t>
      </w:r>
      <w:r w:rsidRPr="00D909D0">
        <w:rPr>
          <w:rFonts w:eastAsia="Times New Roman" w:cstheme="minorHAnsi"/>
          <w:kern w:val="0"/>
          <w:sz w:val="20"/>
          <w:szCs w:val="20"/>
          <w:lang w:val="en-US"/>
          <w14:ligatures w14:val="none"/>
        </w:rPr>
        <w:t>Central and Southern Europe have scores slightly above the global average. The Balkans have the lowest score at 3.46, scoring right under the global average.</w:t>
      </w:r>
      <w:r w:rsidR="002A191B" w:rsidRPr="00D909D0">
        <w:rPr>
          <w:rFonts w:eastAsia="Times New Roman" w:cstheme="minorHAnsi"/>
          <w:kern w:val="0"/>
          <w:sz w:val="20"/>
          <w:szCs w:val="20"/>
          <w:lang w:val="en-US"/>
          <w14:ligatures w14:val="none"/>
        </w:rPr>
        <w:t xml:space="preserve"> The</w:t>
      </w:r>
      <w:r w:rsidR="00B81692" w:rsidRPr="00D909D0">
        <w:rPr>
          <w:rFonts w:eastAsia="Times New Roman" w:cstheme="minorHAnsi"/>
          <w:kern w:val="0"/>
          <w:sz w:val="20"/>
          <w:szCs w:val="20"/>
          <w:lang w:val="en-US"/>
          <w14:ligatures w14:val="none"/>
        </w:rPr>
        <w:t xml:space="preserve"> last three </w:t>
      </w:r>
      <w:r w:rsidR="002A191B" w:rsidRPr="00D909D0">
        <w:rPr>
          <w:rFonts w:eastAsia="Times New Roman" w:cstheme="minorHAnsi"/>
          <w:kern w:val="0"/>
          <w:sz w:val="20"/>
          <w:szCs w:val="20"/>
          <w:lang w:val="en-US"/>
          <w14:ligatures w14:val="none"/>
        </w:rPr>
        <w:t xml:space="preserve">regions also see very different approaches to tax incentives, and </w:t>
      </w:r>
      <w:r w:rsidR="006E38A4" w:rsidRPr="00D909D0">
        <w:rPr>
          <w:rFonts w:eastAsia="Times New Roman" w:cstheme="minorHAnsi"/>
          <w:kern w:val="0"/>
          <w:sz w:val="20"/>
          <w:szCs w:val="20"/>
          <w:lang w:val="en-US"/>
          <w14:ligatures w14:val="none"/>
        </w:rPr>
        <w:t xml:space="preserve">complex laws and burdensome processes to qualify </w:t>
      </w:r>
      <w:r w:rsidR="009D108D" w:rsidRPr="00D909D0">
        <w:rPr>
          <w:rFonts w:eastAsia="Times New Roman" w:cstheme="minorHAnsi"/>
          <w:kern w:val="0"/>
          <w:sz w:val="20"/>
          <w:szCs w:val="20"/>
          <w:lang w:val="en-US"/>
          <w14:ligatures w14:val="none"/>
        </w:rPr>
        <w:t>limit participation.</w:t>
      </w:r>
    </w:p>
    <w:p w14:paraId="77EDF74B" w14:textId="2B05A6D2" w:rsidR="00A30055" w:rsidRPr="00D909D0" w:rsidRDefault="00A30055" w:rsidP="00D67A0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3: TAX INCENTIVES SCORES BY REGION, 2018–2020</w:t>
      </w:r>
    </w:p>
    <w:p w14:paraId="3CE7EFF2" w14:textId="77777777" w:rsidR="00D67A0A" w:rsidRPr="00D909D0" w:rsidRDefault="00D67A0A" w:rsidP="00B81692">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5F71C9BC" wp14:editId="0E579A1A">
            <wp:extent cx="5242560" cy="1659752"/>
            <wp:effectExtent l="0" t="0" r="0" b="0"/>
            <wp:docPr id="1066797379" name="Diagramm 1">
              <a:extLst xmlns:a="http://schemas.openxmlformats.org/drawingml/2006/main">
                <a:ext uri="{FF2B5EF4-FFF2-40B4-BE49-F238E27FC236}">
                  <a16:creationId xmlns:a16="http://schemas.microsoft.com/office/drawing/2014/main" id="{9AEE2847-3ACC-4570-963A-ECF874216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59CBA4" w14:textId="44C1D5B4" w:rsidR="00826430" w:rsidRPr="00D909D0" w:rsidRDefault="002D00E8" w:rsidP="00826430">
      <w:pPr>
        <w:rPr>
          <w:rFonts w:cstheme="minorHAnsi"/>
          <w:sz w:val="20"/>
          <w:szCs w:val="20"/>
          <w:lang w:val="en-US"/>
        </w:rPr>
      </w:pPr>
      <w:r w:rsidRPr="00D909D0">
        <w:rPr>
          <w:rFonts w:cstheme="minorHAnsi"/>
          <w:noProof/>
          <w:sz w:val="20"/>
          <w:szCs w:val="20"/>
          <w:lang w:val="en-US"/>
        </w:rPr>
        <w:lastRenderedPageBreak/>
        <mc:AlternateContent>
          <mc:Choice Requires="wps">
            <w:drawing>
              <wp:anchor distT="45720" distB="45720" distL="114300" distR="114300" simplePos="0" relativeHeight="251675648" behindDoc="0" locked="0" layoutInCell="1" allowOverlap="1" wp14:anchorId="29CC3DB5" wp14:editId="5B303A39">
                <wp:simplePos x="0" y="0"/>
                <wp:positionH relativeFrom="margin">
                  <wp:align>left</wp:align>
                </wp:positionH>
                <wp:positionV relativeFrom="paragraph">
                  <wp:posOffset>431165</wp:posOffset>
                </wp:positionV>
                <wp:extent cx="5715000" cy="14401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0180"/>
                        </a:xfrm>
                        <a:prstGeom prst="rect">
                          <a:avLst/>
                        </a:prstGeom>
                        <a:solidFill>
                          <a:schemeClr val="accent6">
                            <a:lumMod val="20000"/>
                            <a:lumOff val="80000"/>
                          </a:schemeClr>
                        </a:solidFill>
                        <a:ln w="9525">
                          <a:noFill/>
                          <a:miter lim="800000"/>
                          <a:headEnd/>
                          <a:tailEnd/>
                        </a:ln>
                      </wps:spPr>
                      <wps:txbx>
                        <w:txbxContent>
                          <w:p w14:paraId="177781C7" w14:textId="0093ADA9" w:rsidR="00276026" w:rsidRDefault="00BB0EA4" w:rsidP="00276026">
                            <w:r>
                              <w:rPr>
                                <w:i/>
                                <w:iCs/>
                              </w:rPr>
                              <w:t>“</w:t>
                            </w:r>
                            <w:r w:rsidR="00276026" w:rsidRPr="00B81692">
                              <w:rPr>
                                <w:i/>
                                <w:iCs/>
                              </w:rPr>
                              <w:t xml:space="preserve">In Western Europe, charitable giving to POs is privileged. There are different limitations for donors, such as the tax deductibility is limited to 10-20 percent of the taxable income. </w:t>
                            </w:r>
                            <w:r w:rsidR="00276026">
                              <w:rPr>
                                <w:i/>
                                <w:iCs/>
                              </w:rPr>
                              <w:t xml:space="preserve">(...) </w:t>
                            </w:r>
                            <w:r w:rsidR="00276026" w:rsidRPr="00B81692">
                              <w:rPr>
                                <w:i/>
                                <w:iCs/>
                              </w:rPr>
                              <w:t>Charitable donations by business corporations are a</w:t>
                            </w:r>
                            <w:r>
                              <w:rPr>
                                <w:i/>
                                <w:iCs/>
                              </w:rPr>
                              <w:t>ls</w:t>
                            </w:r>
                            <w:r w:rsidR="00276026" w:rsidRPr="00B81692">
                              <w:rPr>
                                <w:i/>
                                <w:iCs/>
                              </w:rPr>
                              <w:t>o deductible up to a specific limit. POs are favored, enjoying total relief from corporate tax in most countries, depending on whether the respective public authorities</w:t>
                            </w:r>
                            <w:r w:rsidRPr="00BB0EA4">
                              <w:rPr>
                                <w:i/>
                                <w:iCs/>
                              </w:rPr>
                              <w:t>—</w:t>
                            </w:r>
                            <w:r w:rsidR="00276026" w:rsidRPr="00B81692">
                              <w:rPr>
                                <w:i/>
                                <w:iCs/>
                              </w:rPr>
                              <w:t>tax lists, registries</w:t>
                            </w:r>
                            <w:r w:rsidRPr="00BB0EA4">
                              <w:rPr>
                                <w:i/>
                                <w:iCs/>
                              </w:rPr>
                              <w:t>—</w:t>
                            </w:r>
                            <w:r w:rsidR="00276026" w:rsidRPr="00B81692">
                              <w:rPr>
                                <w:i/>
                                <w:iCs/>
                              </w:rPr>
                              <w:t>approve their status as charities or public benefit organizations. In some countries, POs also benefit from relief in property taxes and even in VAT.</w:t>
                            </w:r>
                            <w:r w:rsidR="00276026">
                              <w:rPr>
                                <w:i/>
                                <w:iCs/>
                              </w:rPr>
                              <w:t xml:space="preserve">“ </w:t>
                            </w:r>
                            <w:r w:rsidR="00276026">
                              <w:t>(Meyer, 2022, p. 2.)</w:t>
                            </w:r>
                            <w:r w:rsidR="00276026" w:rsidRPr="00B81692">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3DB5" id="Text Box 5" o:spid="_x0000_s1031" type="#_x0000_t202" style="position:absolute;margin-left:0;margin-top:33.95pt;width:450pt;height:113.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" fillcolor="#e2efd9 [665]" stroked="f">
                <v:textbox>
                  <w:txbxContent>
                    <w:p w14:paraId="177781C7" w14:textId="0093ADA9" w:rsidR="00276026" w:rsidRDefault="00BB0EA4" w:rsidP="00276026">
                      <w:r>
                        <w:rPr>
                          <w:i/>
                          <w:iCs/>
                        </w:rPr>
                        <w:t>“</w:t>
                      </w:r>
                      <w:r w:rsidR="00276026" w:rsidRPr="00B81692">
                        <w:rPr>
                          <w:i/>
                          <w:iCs/>
                        </w:rPr>
                        <w:t xml:space="preserve">In Western Europe, charitable giving to POs is privileged. There are different limitations for donors, such as the tax deductibility is limited to 10-20 percent of the taxable income. </w:t>
                      </w:r>
                      <w:r w:rsidR="00276026">
                        <w:rPr>
                          <w:i/>
                          <w:iCs/>
                        </w:rPr>
                        <w:t xml:space="preserve">(...) </w:t>
                      </w:r>
                      <w:r w:rsidR="00276026" w:rsidRPr="00B81692">
                        <w:rPr>
                          <w:i/>
                          <w:iCs/>
                        </w:rPr>
                        <w:t>Charitable donations by business corporations are a</w:t>
                      </w:r>
                      <w:r>
                        <w:rPr>
                          <w:i/>
                          <w:iCs/>
                        </w:rPr>
                        <w:t>ls</w:t>
                      </w:r>
                      <w:r w:rsidR="00276026" w:rsidRPr="00B81692">
                        <w:rPr>
                          <w:i/>
                          <w:iCs/>
                        </w:rPr>
                        <w:t>o deductible up to a specific limit. POs are favored, enjoying total relief from corporate tax in most countries, depending on whether the respective public authorities</w:t>
                      </w:r>
                      <w:r w:rsidRPr="00BB0EA4">
                        <w:rPr>
                          <w:i/>
                          <w:iCs/>
                        </w:rPr>
                        <w:t>—</w:t>
                      </w:r>
                      <w:r w:rsidR="00276026" w:rsidRPr="00B81692">
                        <w:rPr>
                          <w:i/>
                          <w:iCs/>
                        </w:rPr>
                        <w:t>tax lists, registries</w:t>
                      </w:r>
                      <w:r w:rsidRPr="00BB0EA4">
                        <w:rPr>
                          <w:i/>
                          <w:iCs/>
                        </w:rPr>
                        <w:t>—</w:t>
                      </w:r>
                      <w:r w:rsidR="00276026" w:rsidRPr="00B81692">
                        <w:rPr>
                          <w:i/>
                          <w:iCs/>
                        </w:rPr>
                        <w:t>approve their status as charities or public benefit organizations. In some countries, POs also benefit from relief in property taxes and even in VAT.</w:t>
                      </w:r>
                      <w:r w:rsidR="00276026">
                        <w:rPr>
                          <w:i/>
                          <w:iCs/>
                        </w:rPr>
                        <w:t xml:space="preserve">“ </w:t>
                      </w:r>
                      <w:r w:rsidR="00276026">
                        <w:t>(Meyer, 2022, p. 2.)</w:t>
                      </w:r>
                      <w:r w:rsidR="00276026" w:rsidRPr="00B81692">
                        <w:rPr>
                          <w:i/>
                          <w:iCs/>
                        </w:rPr>
                        <w:t xml:space="preserve"> </w:t>
                      </w:r>
                    </w:p>
                  </w:txbxContent>
                </v:textbox>
                <w10:wrap type="square" anchorx="margin"/>
              </v:shape>
            </w:pict>
          </mc:Fallback>
        </mc:AlternateContent>
      </w:r>
      <w:r w:rsidR="00826430" w:rsidRPr="00D909D0">
        <w:rPr>
          <w:rFonts w:cstheme="minorHAnsi"/>
          <w:sz w:val="20"/>
          <w:szCs w:val="20"/>
          <w:lang w:val="en-US"/>
        </w:rPr>
        <w:t xml:space="preserve">Source: Indiana University Lilly Family School of Philanthropy, </w:t>
      </w:r>
      <w:r w:rsidR="00826430" w:rsidRPr="00D909D0">
        <w:rPr>
          <w:rFonts w:cstheme="minorHAnsi"/>
          <w:i/>
          <w:iCs/>
          <w:sz w:val="20"/>
          <w:szCs w:val="20"/>
          <w:lang w:val="en-US"/>
        </w:rPr>
        <w:t>2022 Global Philanthropy Environment Index</w:t>
      </w:r>
    </w:p>
    <w:p w14:paraId="6AA6AE3E" w14:textId="7EACC300" w:rsidR="00276026" w:rsidRPr="00D909D0" w:rsidRDefault="00276026" w:rsidP="00276026">
      <w:pPr>
        <w:rPr>
          <w:rFonts w:eastAsia="Times New Roman" w:cstheme="minorHAnsi"/>
          <w:kern w:val="0"/>
          <w:sz w:val="20"/>
          <w:szCs w:val="20"/>
          <w:lang w:val="en-US"/>
          <w14:ligatures w14:val="none"/>
        </w:rPr>
      </w:pPr>
    </w:p>
    <w:p w14:paraId="1EA8F60C" w14:textId="0B3C4B9B" w:rsidR="00B81692" w:rsidRPr="00D909D0" w:rsidRDefault="002D00E8" w:rsidP="00B81692">
      <w:pPr>
        <w:pStyle w:val="Heading3"/>
        <w:rPr>
          <w:rFonts w:asciiTheme="minorHAnsi" w:hAnsiTheme="minorHAnsi" w:cstheme="minorHAnsi"/>
          <w:i/>
          <w:iCs/>
          <w:sz w:val="20"/>
          <w:szCs w:val="20"/>
          <w:lang w:val="en-US"/>
        </w:rPr>
      </w:pPr>
      <w:bookmarkStart w:id="8" w:name="_Toc138462036"/>
      <w:r w:rsidRPr="00D909D0">
        <w:rPr>
          <w:rFonts w:asciiTheme="minorHAnsi" w:hAnsiTheme="minorHAnsi" w:cstheme="minorHAnsi"/>
          <w:i/>
          <w:iCs/>
          <w:sz w:val="20"/>
          <w:szCs w:val="20"/>
          <w:lang w:val="en-US"/>
        </w:rPr>
        <w:t xml:space="preserve">4.1.4. </w:t>
      </w:r>
      <w:r w:rsidR="00D67A0A" w:rsidRPr="00D909D0">
        <w:rPr>
          <w:rFonts w:asciiTheme="minorHAnsi" w:hAnsiTheme="minorHAnsi" w:cstheme="minorHAnsi"/>
          <w:i/>
          <w:iCs/>
          <w:sz w:val="20"/>
          <w:szCs w:val="20"/>
          <w:lang w:val="en-US"/>
        </w:rPr>
        <w:t>Cross-</w:t>
      </w:r>
      <w:r>
        <w:rPr>
          <w:rFonts w:asciiTheme="minorHAnsi" w:hAnsiTheme="minorHAnsi" w:cstheme="minorHAnsi"/>
          <w:i/>
          <w:iCs/>
          <w:sz w:val="20"/>
          <w:szCs w:val="20"/>
          <w:lang w:val="en-US"/>
        </w:rPr>
        <w:t>b</w:t>
      </w:r>
      <w:r w:rsidR="00D67A0A" w:rsidRPr="00D909D0">
        <w:rPr>
          <w:rFonts w:asciiTheme="minorHAnsi" w:hAnsiTheme="minorHAnsi" w:cstheme="minorHAnsi"/>
          <w:i/>
          <w:iCs/>
          <w:sz w:val="20"/>
          <w:szCs w:val="20"/>
          <w:lang w:val="en-US"/>
        </w:rPr>
        <w:t xml:space="preserve">order </w:t>
      </w:r>
      <w:r>
        <w:rPr>
          <w:rFonts w:asciiTheme="minorHAnsi" w:hAnsiTheme="minorHAnsi" w:cstheme="minorHAnsi"/>
          <w:i/>
          <w:iCs/>
          <w:sz w:val="20"/>
          <w:szCs w:val="20"/>
          <w:lang w:val="en-US"/>
        </w:rPr>
        <w:t>p</w:t>
      </w:r>
      <w:r w:rsidR="00D67A0A" w:rsidRPr="00D909D0">
        <w:rPr>
          <w:rFonts w:asciiTheme="minorHAnsi" w:hAnsiTheme="minorHAnsi" w:cstheme="minorHAnsi"/>
          <w:i/>
          <w:iCs/>
          <w:sz w:val="20"/>
          <w:szCs w:val="20"/>
          <w:lang w:val="en-US"/>
        </w:rPr>
        <w:t xml:space="preserve">hilanthropic </w:t>
      </w:r>
      <w:r>
        <w:rPr>
          <w:rFonts w:asciiTheme="minorHAnsi" w:hAnsiTheme="minorHAnsi" w:cstheme="minorHAnsi"/>
          <w:i/>
          <w:iCs/>
          <w:sz w:val="20"/>
          <w:szCs w:val="20"/>
          <w:lang w:val="en-US"/>
        </w:rPr>
        <w:t>f</w:t>
      </w:r>
      <w:r w:rsidR="00D67A0A" w:rsidRPr="00D909D0">
        <w:rPr>
          <w:rFonts w:asciiTheme="minorHAnsi" w:hAnsiTheme="minorHAnsi" w:cstheme="minorHAnsi"/>
          <w:i/>
          <w:iCs/>
          <w:sz w:val="20"/>
          <w:szCs w:val="20"/>
          <w:lang w:val="en-US"/>
        </w:rPr>
        <w:t>lows</w:t>
      </w:r>
      <w:bookmarkEnd w:id="8"/>
    </w:p>
    <w:p w14:paraId="28ECF540" w14:textId="1489692B" w:rsidR="00D67A0A" w:rsidRPr="00D909D0" w:rsidRDefault="00D67A0A" w:rsidP="00D67A0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 xml:space="preserve">This score measures the </w:t>
      </w:r>
      <w:r w:rsidR="00BB0EA4" w:rsidRPr="00D909D0">
        <w:rPr>
          <w:rFonts w:eastAsia="Times New Roman" w:cstheme="minorHAnsi"/>
          <w:kern w:val="0"/>
          <w:sz w:val="20"/>
          <w:szCs w:val="20"/>
          <w:lang w:val="en-US"/>
          <w14:ligatures w14:val="none"/>
        </w:rPr>
        <w:t xml:space="preserve">ease </w:t>
      </w:r>
      <w:r w:rsidRPr="00D909D0">
        <w:rPr>
          <w:rFonts w:eastAsia="Times New Roman" w:cstheme="minorHAnsi"/>
          <w:kern w:val="0"/>
          <w:sz w:val="20"/>
          <w:szCs w:val="20"/>
          <w:lang w:val="en-US"/>
          <w14:ligatures w14:val="none"/>
        </w:rPr>
        <w:t xml:space="preserve">of </w:t>
      </w:r>
      <w:r w:rsidR="00BB0EA4" w:rsidRPr="00D909D0">
        <w:rPr>
          <w:rFonts w:eastAsia="Times New Roman" w:cstheme="minorHAnsi"/>
          <w:kern w:val="0"/>
          <w:sz w:val="20"/>
          <w:szCs w:val="20"/>
          <w:lang w:val="en-US"/>
          <w14:ligatures w14:val="none"/>
        </w:rPr>
        <w:t xml:space="preserve">sending </w:t>
      </w:r>
      <w:r w:rsidRPr="00D909D0">
        <w:rPr>
          <w:rFonts w:eastAsia="Times New Roman" w:cstheme="minorHAnsi"/>
          <w:kern w:val="0"/>
          <w:sz w:val="20"/>
          <w:szCs w:val="20"/>
          <w:lang w:val="en-US"/>
          <w14:ligatures w14:val="none"/>
        </w:rPr>
        <w:t>money across borders for charitable purposes. The global average score is 3.51, while the European average score is 4.21</w:t>
      </w:r>
      <w:r w:rsidR="00A30055" w:rsidRPr="00D909D0">
        <w:rPr>
          <w:rFonts w:eastAsia="Times New Roman" w:cstheme="minorHAnsi"/>
          <w:kern w:val="0"/>
          <w:sz w:val="20"/>
          <w:szCs w:val="20"/>
          <w:lang w:val="en-US"/>
          <w14:ligatures w14:val="none"/>
        </w:rPr>
        <w:t xml:space="preserve"> (Figure 4)</w:t>
      </w:r>
      <w:r w:rsidRPr="00D909D0">
        <w:rPr>
          <w:rFonts w:eastAsia="Times New Roman" w:cstheme="minorHAnsi"/>
          <w:kern w:val="0"/>
          <w:sz w:val="20"/>
          <w:szCs w:val="20"/>
          <w:lang w:val="en-US"/>
          <w14:ligatures w14:val="none"/>
        </w:rPr>
        <w:t>. Northern</w:t>
      </w:r>
      <w:r w:rsidR="00B81692" w:rsidRPr="00D909D0">
        <w:rPr>
          <w:rFonts w:eastAsia="Times New Roman" w:cstheme="minorHAnsi"/>
          <w:kern w:val="0"/>
          <w:sz w:val="20"/>
          <w:szCs w:val="20"/>
          <w:lang w:val="en-US"/>
          <w14:ligatures w14:val="none"/>
        </w:rPr>
        <w:t xml:space="preserve"> Europe (4.75)</w:t>
      </w:r>
      <w:r w:rsidRPr="00D909D0">
        <w:rPr>
          <w:rFonts w:eastAsia="Times New Roman" w:cstheme="minorHAnsi"/>
          <w:kern w:val="0"/>
          <w:sz w:val="20"/>
          <w:szCs w:val="20"/>
          <w:lang w:val="en-US"/>
          <w14:ligatures w14:val="none"/>
        </w:rPr>
        <w:t xml:space="preserve"> and Western Europe</w:t>
      </w:r>
      <w:r w:rsidR="00B81692" w:rsidRPr="00D909D0">
        <w:rPr>
          <w:rFonts w:eastAsia="Times New Roman" w:cstheme="minorHAnsi"/>
          <w:kern w:val="0"/>
          <w:sz w:val="20"/>
          <w:szCs w:val="20"/>
          <w:lang w:val="en-US"/>
          <w14:ligatures w14:val="none"/>
        </w:rPr>
        <w:t xml:space="preserve"> (4.35)</w:t>
      </w:r>
      <w:r w:rsidRPr="00D909D0">
        <w:rPr>
          <w:rFonts w:eastAsia="Times New Roman" w:cstheme="minorHAnsi"/>
          <w:kern w:val="0"/>
          <w:sz w:val="20"/>
          <w:szCs w:val="20"/>
          <w:lang w:val="en-US"/>
          <w14:ligatures w14:val="none"/>
        </w:rPr>
        <w:t xml:space="preserve"> have the highest scores</w:t>
      </w:r>
      <w:r w:rsidR="00BC3209" w:rsidRPr="00D909D0">
        <w:rPr>
          <w:rFonts w:eastAsia="Times New Roman" w:cstheme="minorHAnsi"/>
          <w:kern w:val="0"/>
          <w:sz w:val="20"/>
          <w:szCs w:val="20"/>
          <w:lang w:val="en-US"/>
          <w14:ligatures w14:val="none"/>
        </w:rPr>
        <w:t xml:space="preserve"> in the region</w:t>
      </w:r>
      <w:r w:rsidRPr="00D909D0">
        <w:rPr>
          <w:rFonts w:eastAsia="Times New Roman" w:cstheme="minorHAnsi"/>
          <w:kern w:val="0"/>
          <w:sz w:val="20"/>
          <w:szCs w:val="20"/>
          <w:lang w:val="en-US"/>
          <w14:ligatures w14:val="none"/>
        </w:rPr>
        <w:t>,</w:t>
      </w:r>
      <w:r w:rsidR="00BC3209" w:rsidRPr="00D909D0">
        <w:rPr>
          <w:rFonts w:eastAsia="Times New Roman" w:cstheme="minorHAnsi"/>
          <w:kern w:val="0"/>
          <w:sz w:val="20"/>
          <w:szCs w:val="20"/>
          <w:lang w:val="en-US"/>
          <w14:ligatures w14:val="none"/>
        </w:rPr>
        <w:t xml:space="preserve"> since most of the </w:t>
      </w:r>
      <w:r w:rsidR="00EF0412" w:rsidRPr="00D909D0">
        <w:rPr>
          <w:rFonts w:eastAsia="Times New Roman" w:cstheme="minorHAnsi"/>
          <w:kern w:val="0"/>
          <w:sz w:val="20"/>
          <w:szCs w:val="20"/>
          <w:lang w:val="en-US"/>
          <w14:ligatures w14:val="none"/>
        </w:rPr>
        <w:t>countries in these regions are part of the European Union</w:t>
      </w:r>
      <w:r w:rsidR="001724AC" w:rsidRPr="00D909D0">
        <w:rPr>
          <w:rFonts w:eastAsia="Times New Roman" w:cstheme="minorHAnsi"/>
          <w:kern w:val="0"/>
          <w:sz w:val="20"/>
          <w:szCs w:val="20"/>
          <w:lang w:val="en-US"/>
          <w14:ligatures w14:val="none"/>
        </w:rPr>
        <w:t xml:space="preserve"> or European Economic Area</w:t>
      </w:r>
      <w:r w:rsidR="00EF0412" w:rsidRPr="00D909D0">
        <w:rPr>
          <w:rFonts w:eastAsia="Times New Roman" w:cstheme="minorHAnsi"/>
          <w:kern w:val="0"/>
          <w:sz w:val="20"/>
          <w:szCs w:val="20"/>
          <w:lang w:val="en-US"/>
          <w14:ligatures w14:val="none"/>
        </w:rPr>
        <w:t xml:space="preserve">, where all cross-border donations </w:t>
      </w:r>
      <w:r w:rsidR="00BB0EA4" w:rsidRPr="00D909D0">
        <w:rPr>
          <w:rFonts w:eastAsia="Times New Roman" w:cstheme="minorHAnsi"/>
          <w:kern w:val="0"/>
          <w:sz w:val="20"/>
          <w:szCs w:val="20"/>
          <w:lang w:val="en-US"/>
          <w14:ligatures w14:val="none"/>
        </w:rPr>
        <w:t>between member countries</w:t>
      </w:r>
      <w:r w:rsidR="001724AC" w:rsidRPr="00D909D0">
        <w:rPr>
          <w:rFonts w:eastAsia="Times New Roman" w:cstheme="minorHAnsi"/>
          <w:kern w:val="0"/>
          <w:sz w:val="20"/>
          <w:szCs w:val="20"/>
          <w:lang w:val="en-US"/>
          <w14:ligatures w14:val="none"/>
        </w:rPr>
        <w:t xml:space="preserve"> are treated like domestic donations.</w:t>
      </w:r>
      <w:r w:rsidRPr="00D909D0">
        <w:rPr>
          <w:rFonts w:eastAsia="Times New Roman" w:cstheme="minorHAnsi"/>
          <w:kern w:val="0"/>
          <w:sz w:val="20"/>
          <w:szCs w:val="20"/>
          <w:lang w:val="en-US"/>
          <w14:ligatures w14:val="none"/>
        </w:rPr>
        <w:t xml:space="preserve"> </w:t>
      </w:r>
      <w:r w:rsidR="00B81692" w:rsidRPr="00D909D0">
        <w:rPr>
          <w:rFonts w:eastAsia="Times New Roman" w:cstheme="minorHAnsi"/>
          <w:kern w:val="0"/>
          <w:sz w:val="20"/>
          <w:szCs w:val="20"/>
          <w:lang w:val="en-US"/>
          <w14:ligatures w14:val="none"/>
        </w:rPr>
        <w:t>While</w:t>
      </w:r>
      <w:r w:rsidR="00335941" w:rsidRPr="00D909D0">
        <w:rPr>
          <w:rFonts w:eastAsia="Times New Roman" w:cstheme="minorHAnsi"/>
          <w:kern w:val="0"/>
          <w:sz w:val="20"/>
          <w:szCs w:val="20"/>
          <w:lang w:val="en-US"/>
          <w14:ligatures w14:val="none"/>
        </w:rPr>
        <w:t xml:space="preserve"> t</w:t>
      </w:r>
      <w:r w:rsidRPr="00D909D0">
        <w:rPr>
          <w:rFonts w:eastAsia="Times New Roman" w:cstheme="minorHAnsi"/>
          <w:kern w:val="0"/>
          <w:sz w:val="20"/>
          <w:szCs w:val="20"/>
          <w:lang w:val="en-US"/>
          <w14:ligatures w14:val="none"/>
        </w:rPr>
        <w:t>he Balkan</w:t>
      </w:r>
      <w:r w:rsidR="00B81692" w:rsidRPr="00D909D0">
        <w:rPr>
          <w:rFonts w:eastAsia="Times New Roman" w:cstheme="minorHAnsi"/>
          <w:kern w:val="0"/>
          <w:sz w:val="20"/>
          <w:szCs w:val="20"/>
          <w:lang w:val="en-US"/>
          <w14:ligatures w14:val="none"/>
        </w:rPr>
        <w:t xml:space="preserve"> Countries (3.91)</w:t>
      </w:r>
      <w:r w:rsidRPr="00D909D0">
        <w:rPr>
          <w:rFonts w:eastAsia="Times New Roman" w:cstheme="minorHAnsi"/>
          <w:kern w:val="0"/>
          <w:sz w:val="20"/>
          <w:szCs w:val="20"/>
          <w:lang w:val="en-US"/>
          <w14:ligatures w14:val="none"/>
        </w:rPr>
        <w:t xml:space="preserve"> and Southern Europe</w:t>
      </w:r>
      <w:r w:rsidR="00B81692" w:rsidRPr="00D909D0">
        <w:rPr>
          <w:rFonts w:eastAsia="Times New Roman" w:cstheme="minorHAnsi"/>
          <w:kern w:val="0"/>
          <w:sz w:val="20"/>
          <w:szCs w:val="20"/>
          <w:lang w:val="en-US"/>
          <w14:ligatures w14:val="none"/>
        </w:rPr>
        <w:t xml:space="preserve"> (3.65)</w:t>
      </w:r>
      <w:r w:rsidRPr="00D909D0">
        <w:rPr>
          <w:rFonts w:eastAsia="Times New Roman" w:cstheme="minorHAnsi"/>
          <w:kern w:val="0"/>
          <w:sz w:val="20"/>
          <w:szCs w:val="20"/>
          <w:lang w:val="en-US"/>
          <w14:ligatures w14:val="none"/>
        </w:rPr>
        <w:t xml:space="preserve"> have </w:t>
      </w:r>
      <w:r w:rsidR="00B81692" w:rsidRPr="00D909D0">
        <w:rPr>
          <w:rFonts w:eastAsia="Times New Roman" w:cstheme="minorHAnsi"/>
          <w:kern w:val="0"/>
          <w:sz w:val="20"/>
          <w:szCs w:val="20"/>
          <w:lang w:val="en-US"/>
          <w14:ligatures w14:val="none"/>
        </w:rPr>
        <w:t>the lowest scores in the continent</w:t>
      </w:r>
      <w:r w:rsidR="00BB0EA4" w:rsidRPr="00D909D0">
        <w:rPr>
          <w:rFonts w:eastAsia="Times New Roman" w:cstheme="minorHAnsi"/>
          <w:kern w:val="0"/>
          <w:sz w:val="20"/>
          <w:szCs w:val="20"/>
          <w:lang w:val="en-US"/>
          <w14:ligatures w14:val="none"/>
        </w:rPr>
        <w:t>, they are</w:t>
      </w:r>
      <w:r w:rsidR="00B81692" w:rsidRPr="00D909D0">
        <w:rPr>
          <w:rFonts w:eastAsia="Times New Roman" w:cstheme="minorHAnsi"/>
          <w:kern w:val="0"/>
          <w:sz w:val="20"/>
          <w:szCs w:val="20"/>
          <w:lang w:val="en-US"/>
          <w14:ligatures w14:val="none"/>
        </w:rPr>
        <w:t xml:space="preserve"> still higher than </w:t>
      </w:r>
      <w:r w:rsidRPr="00D909D0">
        <w:rPr>
          <w:rFonts w:eastAsia="Times New Roman" w:cstheme="minorHAnsi"/>
          <w:kern w:val="0"/>
          <w:sz w:val="20"/>
          <w:szCs w:val="20"/>
          <w:lang w:val="en-US"/>
          <w14:ligatures w14:val="none"/>
        </w:rPr>
        <w:t>the global average.</w:t>
      </w:r>
      <w:r w:rsidR="00335941" w:rsidRPr="00D909D0">
        <w:rPr>
          <w:rFonts w:eastAsia="Times New Roman" w:cstheme="minorHAnsi"/>
          <w:kern w:val="0"/>
          <w:sz w:val="20"/>
          <w:szCs w:val="20"/>
          <w:lang w:val="en-US"/>
          <w14:ligatures w14:val="none"/>
        </w:rPr>
        <w:t xml:space="preserve"> </w:t>
      </w:r>
      <w:r w:rsidR="00A30055" w:rsidRPr="00D909D0">
        <w:rPr>
          <w:rFonts w:eastAsia="Times New Roman" w:cstheme="minorHAnsi"/>
          <w:kern w:val="0"/>
          <w:sz w:val="20"/>
          <w:szCs w:val="20"/>
          <w:lang w:val="en-US"/>
          <w14:ligatures w14:val="none"/>
        </w:rPr>
        <w:t xml:space="preserve">As </w:t>
      </w:r>
      <w:r w:rsidR="00335941" w:rsidRPr="00D909D0">
        <w:rPr>
          <w:rFonts w:eastAsia="Times New Roman" w:cstheme="minorHAnsi"/>
          <w:kern w:val="0"/>
          <w:sz w:val="20"/>
          <w:szCs w:val="20"/>
          <w:lang w:val="en-US"/>
          <w14:ligatures w14:val="none"/>
        </w:rPr>
        <w:t>tax incentives</w:t>
      </w:r>
      <w:r w:rsidR="00205B8A" w:rsidRPr="00D909D0">
        <w:rPr>
          <w:rFonts w:eastAsia="Times New Roman" w:cstheme="minorHAnsi"/>
          <w:kern w:val="0"/>
          <w:sz w:val="20"/>
          <w:szCs w:val="20"/>
          <w:lang w:val="en-US"/>
          <w14:ligatures w14:val="none"/>
        </w:rPr>
        <w:t xml:space="preserve"> </w:t>
      </w:r>
      <w:r w:rsidR="00373C64" w:rsidRPr="00D909D0">
        <w:rPr>
          <w:rFonts w:eastAsia="Times New Roman" w:cstheme="minorHAnsi"/>
          <w:kern w:val="0"/>
          <w:sz w:val="20"/>
          <w:szCs w:val="20"/>
          <w:lang w:val="en-US"/>
          <w14:ligatures w14:val="none"/>
        </w:rPr>
        <w:t xml:space="preserve">are </w:t>
      </w:r>
      <w:r w:rsidR="00205B8A" w:rsidRPr="00D909D0">
        <w:rPr>
          <w:rFonts w:eastAsia="Times New Roman" w:cstheme="minorHAnsi"/>
          <w:kern w:val="0"/>
          <w:sz w:val="20"/>
          <w:szCs w:val="20"/>
          <w:lang w:val="en-US"/>
          <w14:ligatures w14:val="none"/>
        </w:rPr>
        <w:t xml:space="preserve">often </w:t>
      </w:r>
      <w:r w:rsidR="00373C64" w:rsidRPr="00D909D0">
        <w:rPr>
          <w:rFonts w:eastAsia="Times New Roman" w:cstheme="minorHAnsi"/>
          <w:kern w:val="0"/>
          <w:sz w:val="20"/>
          <w:szCs w:val="20"/>
          <w:lang w:val="en-US"/>
          <w14:ligatures w14:val="none"/>
        </w:rPr>
        <w:t>not as robust</w:t>
      </w:r>
      <w:r w:rsidR="00205B8A" w:rsidRPr="00D909D0">
        <w:rPr>
          <w:rFonts w:eastAsia="Times New Roman" w:cstheme="minorHAnsi"/>
          <w:kern w:val="0"/>
          <w:sz w:val="20"/>
          <w:szCs w:val="20"/>
          <w:lang w:val="en-US"/>
          <w14:ligatures w14:val="none"/>
        </w:rPr>
        <w:t xml:space="preserve"> </w:t>
      </w:r>
      <w:r w:rsidR="00A30055" w:rsidRPr="00D909D0">
        <w:rPr>
          <w:rFonts w:eastAsia="Times New Roman" w:cstheme="minorHAnsi"/>
          <w:kern w:val="0"/>
          <w:sz w:val="20"/>
          <w:szCs w:val="20"/>
          <w:lang w:val="en-US"/>
          <w14:ligatures w14:val="none"/>
        </w:rPr>
        <w:t>and tax laws are</w:t>
      </w:r>
      <w:r w:rsidR="00205B8A" w:rsidRPr="00D909D0">
        <w:rPr>
          <w:rFonts w:eastAsia="Times New Roman" w:cstheme="minorHAnsi"/>
          <w:kern w:val="0"/>
          <w:sz w:val="20"/>
          <w:szCs w:val="20"/>
          <w:lang w:val="en-US"/>
          <w14:ligatures w14:val="none"/>
        </w:rPr>
        <w:t xml:space="preserve"> overly complex</w:t>
      </w:r>
      <w:r w:rsidR="00373C64" w:rsidRPr="00D909D0">
        <w:rPr>
          <w:rFonts w:eastAsia="Times New Roman" w:cstheme="minorHAnsi"/>
          <w:kern w:val="0"/>
          <w:sz w:val="20"/>
          <w:szCs w:val="20"/>
          <w:lang w:val="en-US"/>
          <w14:ligatures w14:val="none"/>
        </w:rPr>
        <w:t xml:space="preserve">, </w:t>
      </w:r>
      <w:r w:rsidR="00A30055" w:rsidRPr="00D909D0">
        <w:rPr>
          <w:rFonts w:eastAsia="Times New Roman" w:cstheme="minorHAnsi"/>
          <w:kern w:val="0"/>
          <w:sz w:val="20"/>
          <w:szCs w:val="20"/>
          <w:lang w:val="en-US"/>
          <w14:ligatures w14:val="none"/>
        </w:rPr>
        <w:t xml:space="preserve">cross-border giving in these countries </w:t>
      </w:r>
      <w:r w:rsidR="00BB0EA4" w:rsidRPr="00D909D0">
        <w:rPr>
          <w:rFonts w:eastAsia="Times New Roman" w:cstheme="minorHAnsi"/>
          <w:kern w:val="0"/>
          <w:sz w:val="20"/>
          <w:szCs w:val="20"/>
          <w:lang w:val="en-US"/>
          <w14:ligatures w14:val="none"/>
        </w:rPr>
        <w:t>is</w:t>
      </w:r>
      <w:r w:rsidR="00A30055" w:rsidRPr="00D909D0">
        <w:rPr>
          <w:rFonts w:eastAsia="Times New Roman" w:cstheme="minorHAnsi"/>
          <w:kern w:val="0"/>
          <w:sz w:val="20"/>
          <w:szCs w:val="20"/>
          <w:lang w:val="en-US"/>
          <w14:ligatures w14:val="none"/>
        </w:rPr>
        <w:t xml:space="preserve"> negatively affected</w:t>
      </w:r>
      <w:r w:rsidR="00373C64" w:rsidRPr="00D909D0">
        <w:rPr>
          <w:rFonts w:eastAsia="Times New Roman" w:cstheme="minorHAnsi"/>
          <w:kern w:val="0"/>
          <w:sz w:val="20"/>
          <w:szCs w:val="20"/>
          <w:lang w:val="en-US"/>
          <w14:ligatures w14:val="none"/>
        </w:rPr>
        <w:t>, despite their E</w:t>
      </w:r>
      <w:r w:rsidR="00A30055" w:rsidRPr="00D909D0">
        <w:rPr>
          <w:rFonts w:eastAsia="Times New Roman" w:cstheme="minorHAnsi"/>
          <w:kern w:val="0"/>
          <w:sz w:val="20"/>
          <w:szCs w:val="20"/>
          <w:lang w:val="en-US"/>
          <w14:ligatures w14:val="none"/>
        </w:rPr>
        <w:t xml:space="preserve">uropean </w:t>
      </w:r>
      <w:r w:rsidR="00373C64" w:rsidRPr="00D909D0">
        <w:rPr>
          <w:rFonts w:eastAsia="Times New Roman" w:cstheme="minorHAnsi"/>
          <w:kern w:val="0"/>
          <w:sz w:val="20"/>
          <w:szCs w:val="20"/>
          <w:lang w:val="en-US"/>
          <w14:ligatures w14:val="none"/>
        </w:rPr>
        <w:t>U</w:t>
      </w:r>
      <w:r w:rsidR="00A30055" w:rsidRPr="00D909D0">
        <w:rPr>
          <w:rFonts w:eastAsia="Times New Roman" w:cstheme="minorHAnsi"/>
          <w:kern w:val="0"/>
          <w:sz w:val="20"/>
          <w:szCs w:val="20"/>
          <w:lang w:val="en-US"/>
          <w14:ligatures w14:val="none"/>
        </w:rPr>
        <w:t>nion</w:t>
      </w:r>
      <w:r w:rsidR="00373C64" w:rsidRPr="00D909D0">
        <w:rPr>
          <w:rFonts w:eastAsia="Times New Roman" w:cstheme="minorHAnsi"/>
          <w:kern w:val="0"/>
          <w:sz w:val="20"/>
          <w:szCs w:val="20"/>
          <w:lang w:val="en-US"/>
          <w14:ligatures w14:val="none"/>
        </w:rPr>
        <w:t xml:space="preserve"> membership. </w:t>
      </w:r>
      <w:r w:rsidR="007C211A" w:rsidRPr="00D909D0">
        <w:rPr>
          <w:rFonts w:eastAsia="Times New Roman" w:cstheme="minorHAnsi"/>
          <w:kern w:val="0"/>
          <w:sz w:val="20"/>
          <w:szCs w:val="20"/>
          <w:lang w:val="en-US"/>
          <w14:ligatures w14:val="none"/>
        </w:rPr>
        <w:t>However, some countries</w:t>
      </w:r>
      <w:r w:rsidR="00466567" w:rsidRPr="00D909D0">
        <w:rPr>
          <w:rFonts w:eastAsia="Times New Roman" w:cstheme="minorHAnsi"/>
          <w:kern w:val="0"/>
          <w:sz w:val="20"/>
          <w:szCs w:val="20"/>
          <w:lang w:val="en-US"/>
          <w14:ligatures w14:val="none"/>
        </w:rPr>
        <w:t>—</w:t>
      </w:r>
      <w:r w:rsidR="00A30055" w:rsidRPr="00D909D0">
        <w:rPr>
          <w:rFonts w:eastAsia="Times New Roman" w:cstheme="minorHAnsi"/>
          <w:kern w:val="0"/>
          <w:sz w:val="20"/>
          <w:szCs w:val="20"/>
          <w:lang w:val="en-US"/>
          <w14:ligatures w14:val="none"/>
        </w:rPr>
        <w:t>such as Spain</w:t>
      </w:r>
      <w:r w:rsidR="00466567" w:rsidRPr="00D909D0">
        <w:rPr>
          <w:rFonts w:eastAsia="Times New Roman" w:cstheme="minorHAnsi"/>
          <w:kern w:val="0"/>
          <w:sz w:val="20"/>
          <w:szCs w:val="20"/>
          <w:lang w:val="en-US"/>
          <w14:ligatures w14:val="none"/>
        </w:rPr>
        <w:t>—</w:t>
      </w:r>
      <w:r w:rsidR="007C211A" w:rsidRPr="00D909D0">
        <w:rPr>
          <w:rFonts w:eastAsia="Times New Roman" w:cstheme="minorHAnsi"/>
          <w:kern w:val="0"/>
          <w:sz w:val="20"/>
          <w:szCs w:val="20"/>
          <w:lang w:val="en-US"/>
          <w14:ligatures w14:val="none"/>
        </w:rPr>
        <w:t xml:space="preserve">are working to improve these </w:t>
      </w:r>
      <w:r w:rsidR="00AE66EB" w:rsidRPr="00D909D0">
        <w:rPr>
          <w:rFonts w:eastAsia="Times New Roman" w:cstheme="minorHAnsi"/>
          <w:kern w:val="0"/>
          <w:sz w:val="20"/>
          <w:szCs w:val="20"/>
          <w:lang w:val="en-US"/>
          <w14:ligatures w14:val="none"/>
        </w:rPr>
        <w:t>regulations</w:t>
      </w:r>
      <w:r w:rsidR="00A30055" w:rsidRPr="00D909D0">
        <w:rPr>
          <w:rFonts w:eastAsia="Times New Roman" w:cstheme="minorHAnsi"/>
          <w:kern w:val="0"/>
          <w:sz w:val="20"/>
          <w:szCs w:val="20"/>
          <w:lang w:val="en-US"/>
          <w14:ligatures w14:val="none"/>
        </w:rPr>
        <w:t>.</w:t>
      </w:r>
    </w:p>
    <w:p w14:paraId="44D0048B" w14:textId="77777777" w:rsidR="002D00E8" w:rsidRDefault="002D00E8" w:rsidP="00D67A0A">
      <w:pPr>
        <w:spacing w:before="100" w:beforeAutospacing="1" w:after="100" w:afterAutospacing="1" w:line="240" w:lineRule="auto"/>
        <w:rPr>
          <w:rFonts w:eastAsia="Times New Roman" w:cstheme="minorHAnsi"/>
          <w:b/>
          <w:bCs/>
          <w:kern w:val="0"/>
          <w:sz w:val="20"/>
          <w:szCs w:val="20"/>
          <w:lang w:val="en-US"/>
          <w14:ligatures w14:val="none"/>
        </w:rPr>
      </w:pPr>
    </w:p>
    <w:p w14:paraId="64D73D25" w14:textId="77777777" w:rsidR="002D00E8" w:rsidRDefault="002D00E8" w:rsidP="00D67A0A">
      <w:pPr>
        <w:spacing w:before="100" w:beforeAutospacing="1" w:after="100" w:afterAutospacing="1" w:line="240" w:lineRule="auto"/>
        <w:rPr>
          <w:rFonts w:eastAsia="Times New Roman" w:cstheme="minorHAnsi"/>
          <w:b/>
          <w:bCs/>
          <w:kern w:val="0"/>
          <w:sz w:val="20"/>
          <w:szCs w:val="20"/>
          <w:lang w:val="en-US"/>
          <w14:ligatures w14:val="none"/>
        </w:rPr>
      </w:pPr>
    </w:p>
    <w:p w14:paraId="70E150C8" w14:textId="77777777" w:rsidR="002D00E8" w:rsidRDefault="002D00E8" w:rsidP="00D67A0A">
      <w:pPr>
        <w:spacing w:before="100" w:beforeAutospacing="1" w:after="100" w:afterAutospacing="1" w:line="240" w:lineRule="auto"/>
        <w:rPr>
          <w:rFonts w:eastAsia="Times New Roman" w:cstheme="minorHAnsi"/>
          <w:b/>
          <w:bCs/>
          <w:kern w:val="0"/>
          <w:sz w:val="20"/>
          <w:szCs w:val="20"/>
          <w:lang w:val="en-US"/>
          <w14:ligatures w14:val="none"/>
        </w:rPr>
      </w:pPr>
    </w:p>
    <w:p w14:paraId="56C2CB5E" w14:textId="77777777" w:rsidR="002D00E8" w:rsidRDefault="002D00E8" w:rsidP="00D67A0A">
      <w:pPr>
        <w:spacing w:before="100" w:beforeAutospacing="1" w:after="100" w:afterAutospacing="1" w:line="240" w:lineRule="auto"/>
        <w:rPr>
          <w:rFonts w:eastAsia="Times New Roman" w:cstheme="minorHAnsi"/>
          <w:b/>
          <w:bCs/>
          <w:kern w:val="0"/>
          <w:sz w:val="20"/>
          <w:szCs w:val="20"/>
          <w:lang w:val="en-US"/>
          <w14:ligatures w14:val="none"/>
        </w:rPr>
      </w:pPr>
    </w:p>
    <w:p w14:paraId="6B5370D6" w14:textId="713343F4" w:rsidR="00A30055" w:rsidRPr="00D909D0" w:rsidRDefault="00A30055" w:rsidP="00D67A0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4: CROSS-BORDER PHILANTHROPIC FLOWS SCORES BY REGION, 2018–2020</w:t>
      </w:r>
    </w:p>
    <w:p w14:paraId="25896607" w14:textId="77777777" w:rsidR="00D67A0A" w:rsidRPr="00D909D0" w:rsidRDefault="00D67A0A" w:rsidP="00A30055">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7B50B016" wp14:editId="6D54EF4F">
            <wp:extent cx="4838700" cy="1699260"/>
            <wp:effectExtent l="0" t="0" r="0" b="0"/>
            <wp:docPr id="262414013" name="Diagramm 1">
              <a:extLst xmlns:a="http://schemas.openxmlformats.org/drawingml/2006/main">
                <a:ext uri="{FF2B5EF4-FFF2-40B4-BE49-F238E27FC236}">
                  <a16:creationId xmlns:a16="http://schemas.microsoft.com/office/drawing/2014/main" id="{372C177A-7A6E-4174-A853-D7A532D95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6554A0" w14:textId="1E1CAD46" w:rsidR="00826430" w:rsidRPr="00D909D0" w:rsidRDefault="002D00E8" w:rsidP="00826430">
      <w:pPr>
        <w:rPr>
          <w:rFonts w:cstheme="minorHAnsi"/>
          <w:sz w:val="20"/>
          <w:szCs w:val="20"/>
          <w:lang w:val="en-US"/>
        </w:rPr>
      </w:pPr>
      <w:r w:rsidRPr="00D909D0">
        <w:rPr>
          <w:rFonts w:cstheme="minorHAnsi"/>
          <w:noProof/>
          <w:sz w:val="20"/>
          <w:szCs w:val="20"/>
          <w:lang w:val="en-US"/>
        </w:rPr>
        <w:lastRenderedPageBreak/>
        <mc:AlternateContent>
          <mc:Choice Requires="wps">
            <w:drawing>
              <wp:anchor distT="45720" distB="45720" distL="114300" distR="114300" simplePos="0" relativeHeight="251673600" behindDoc="0" locked="0" layoutInCell="1" allowOverlap="1" wp14:anchorId="5D0CF6BD" wp14:editId="4D3018F7">
                <wp:simplePos x="0" y="0"/>
                <wp:positionH relativeFrom="margin">
                  <wp:align>left</wp:align>
                </wp:positionH>
                <wp:positionV relativeFrom="paragraph">
                  <wp:posOffset>247015</wp:posOffset>
                </wp:positionV>
                <wp:extent cx="5715000" cy="14401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0180"/>
                        </a:xfrm>
                        <a:prstGeom prst="rect">
                          <a:avLst/>
                        </a:prstGeom>
                        <a:solidFill>
                          <a:schemeClr val="accent6">
                            <a:lumMod val="20000"/>
                            <a:lumOff val="80000"/>
                          </a:schemeClr>
                        </a:solidFill>
                        <a:ln w="9525">
                          <a:noFill/>
                          <a:miter lim="800000"/>
                          <a:headEnd/>
                          <a:tailEnd/>
                        </a:ln>
                      </wps:spPr>
                      <wps:txbx>
                        <w:txbxContent>
                          <w:p w14:paraId="3C5D53BE" w14:textId="3C79DD06" w:rsidR="00A30055" w:rsidRDefault="00BB0EA4" w:rsidP="00A30055">
                            <w:r>
                              <w:rPr>
                                <w:i/>
                                <w:iCs/>
                              </w:rPr>
                              <w:t>“</w:t>
                            </w:r>
                            <w:r w:rsidR="00A30055" w:rsidRPr="00A30055">
                              <w:rPr>
                                <w:i/>
                                <w:iCs/>
                              </w:rPr>
                              <w:t>Finland, Sweden, and Denmark are member states of the European Union, leading to more fluid cross-border transactions. In general, there are no additional costs, required government approval, or any other restrictions to send or receive cross-border charitable contributions. Norway is a member of the European Economic Area (EEA), which ensures that sending cross-border donations has no additional cost, but only listed international organizations can get tax-exempt gifts from private individuals and companies. Norwegian philanthropic organizations can receive cross-border donations without any additional costs.</w:t>
                            </w:r>
                            <w:r w:rsidR="00A30055">
                              <w:rPr>
                                <w:i/>
                                <w:iCs/>
                              </w:rPr>
                              <w:t xml:space="preserve">“ </w:t>
                            </w:r>
                            <w:r w:rsidR="00A30055">
                              <w:t>(Enjolras, 2022, p. 3.)</w:t>
                            </w:r>
                            <w:r w:rsidR="00A30055" w:rsidRPr="00B81692">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CF6BD" id="Text Box 4" o:spid="_x0000_s1032" type="#_x0000_t202" style="position:absolute;margin-left:0;margin-top:19.45pt;width:450pt;height:113.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" fillcolor="#e2efd9 [665]" stroked="f">
                <v:textbox>
                  <w:txbxContent>
                    <w:p w14:paraId="3C5D53BE" w14:textId="3C79DD06" w:rsidR="00A30055" w:rsidRDefault="00BB0EA4" w:rsidP="00A30055">
                      <w:r>
                        <w:rPr>
                          <w:i/>
                          <w:iCs/>
                        </w:rPr>
                        <w:t>“</w:t>
                      </w:r>
                      <w:r w:rsidR="00A30055" w:rsidRPr="00A30055">
                        <w:rPr>
                          <w:i/>
                          <w:iCs/>
                        </w:rPr>
                        <w:t>Finland, Sweden, and Denmark are member states of the European Union, leading to more fluid cross-border transactions. In general, there are no additional costs, required government approval, or any other restrictions to send or receive cross-border charitable contributions. Norway is a member of the European Economic Area (EEA), which ensures that sending cross-border donations has no additional cost, but only listed international organizations can get tax-exempt gifts from private individuals and companies. Norwegian philanthropic organizations can receive cross-border donations without any additional costs.</w:t>
                      </w:r>
                      <w:r w:rsidR="00A30055">
                        <w:rPr>
                          <w:i/>
                          <w:iCs/>
                        </w:rPr>
                        <w:t xml:space="preserve">“ </w:t>
                      </w:r>
                      <w:r w:rsidR="00A30055">
                        <w:t>(Enjolras, 2022, p. 3.)</w:t>
                      </w:r>
                      <w:r w:rsidR="00A30055" w:rsidRPr="00B81692">
                        <w:rPr>
                          <w:i/>
                          <w:iCs/>
                        </w:rPr>
                        <w:t xml:space="preserve"> </w:t>
                      </w:r>
                    </w:p>
                  </w:txbxContent>
                </v:textbox>
                <w10:wrap type="square" anchorx="margin"/>
              </v:shape>
            </w:pict>
          </mc:Fallback>
        </mc:AlternateContent>
      </w:r>
      <w:r w:rsidR="00826430" w:rsidRPr="00D909D0">
        <w:rPr>
          <w:rFonts w:cstheme="minorHAnsi"/>
          <w:sz w:val="20"/>
          <w:szCs w:val="20"/>
          <w:lang w:val="en-US"/>
        </w:rPr>
        <w:t xml:space="preserve">Source: Indiana University Lilly Family School of Philanthropy, </w:t>
      </w:r>
      <w:r w:rsidR="00826430" w:rsidRPr="00D909D0">
        <w:rPr>
          <w:rFonts w:cstheme="minorHAnsi"/>
          <w:i/>
          <w:iCs/>
          <w:sz w:val="20"/>
          <w:szCs w:val="20"/>
          <w:lang w:val="en-US"/>
        </w:rPr>
        <w:t>2022 Global Philanthropy Environment Index</w:t>
      </w:r>
    </w:p>
    <w:p w14:paraId="7C19F836" w14:textId="026FC553" w:rsidR="00A30055" w:rsidRPr="00D909D0" w:rsidRDefault="002D00E8" w:rsidP="00A30055">
      <w:pPr>
        <w:pStyle w:val="Heading3"/>
        <w:rPr>
          <w:rFonts w:asciiTheme="minorHAnsi" w:hAnsiTheme="minorHAnsi" w:cstheme="minorHAnsi"/>
          <w:i/>
          <w:iCs/>
          <w:sz w:val="20"/>
          <w:szCs w:val="20"/>
          <w:lang w:val="en-US"/>
        </w:rPr>
      </w:pPr>
      <w:bookmarkStart w:id="9" w:name="_Toc138462037"/>
      <w:r w:rsidRPr="00D909D0">
        <w:rPr>
          <w:rFonts w:asciiTheme="minorHAnsi" w:hAnsiTheme="minorHAnsi" w:cstheme="minorHAnsi"/>
          <w:i/>
          <w:iCs/>
          <w:sz w:val="20"/>
          <w:szCs w:val="20"/>
          <w:lang w:val="en-US"/>
        </w:rPr>
        <w:t xml:space="preserve">4.1.5. </w:t>
      </w:r>
      <w:r w:rsidR="001B1A5B" w:rsidRPr="00D909D0">
        <w:rPr>
          <w:rFonts w:asciiTheme="minorHAnsi" w:hAnsiTheme="minorHAnsi" w:cstheme="minorHAnsi"/>
          <w:i/>
          <w:iCs/>
          <w:sz w:val="20"/>
          <w:szCs w:val="20"/>
          <w:lang w:val="en-US"/>
        </w:rPr>
        <w:t xml:space="preserve">Political </w:t>
      </w:r>
      <w:r>
        <w:rPr>
          <w:rFonts w:asciiTheme="minorHAnsi" w:hAnsiTheme="minorHAnsi" w:cstheme="minorHAnsi"/>
          <w:i/>
          <w:iCs/>
          <w:sz w:val="20"/>
          <w:szCs w:val="20"/>
          <w:lang w:val="en-US"/>
        </w:rPr>
        <w:t>e</w:t>
      </w:r>
      <w:r w:rsidR="001B1A5B" w:rsidRPr="00D909D0">
        <w:rPr>
          <w:rFonts w:asciiTheme="minorHAnsi" w:hAnsiTheme="minorHAnsi" w:cstheme="minorHAnsi"/>
          <w:i/>
          <w:iCs/>
          <w:sz w:val="20"/>
          <w:szCs w:val="20"/>
          <w:lang w:val="en-US"/>
        </w:rPr>
        <w:t>nvironment</w:t>
      </w:r>
      <w:bookmarkEnd w:id="9"/>
    </w:p>
    <w:p w14:paraId="19FDDBF1" w14:textId="72EDFD63" w:rsidR="00A30055" w:rsidRPr="00D909D0" w:rsidRDefault="001B1A5B" w:rsidP="001B1A5B">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Th</w:t>
      </w:r>
      <w:r w:rsidR="00A30055" w:rsidRPr="00D909D0">
        <w:rPr>
          <w:rFonts w:eastAsia="Times New Roman" w:cstheme="minorHAnsi"/>
          <w:kern w:val="0"/>
          <w:sz w:val="20"/>
          <w:szCs w:val="20"/>
          <w:lang w:val="en-US"/>
          <w14:ligatures w14:val="none"/>
        </w:rPr>
        <w:t>e political environment</w:t>
      </w:r>
      <w:r w:rsidRPr="00D909D0">
        <w:rPr>
          <w:rFonts w:eastAsia="Times New Roman" w:cstheme="minorHAnsi"/>
          <w:kern w:val="0"/>
          <w:sz w:val="20"/>
          <w:szCs w:val="20"/>
          <w:lang w:val="en-US"/>
          <w14:ligatures w14:val="none"/>
        </w:rPr>
        <w:t xml:space="preserve"> score measures the level of support for philanthropy from the government, particularly within government and the dialogue around the nonprofit sector. The global average score is 3.51, while the European average score is 4.05</w:t>
      </w:r>
      <w:r w:rsidR="00A30055" w:rsidRPr="00D909D0">
        <w:rPr>
          <w:rFonts w:eastAsia="Times New Roman" w:cstheme="minorHAnsi"/>
          <w:kern w:val="0"/>
          <w:sz w:val="20"/>
          <w:szCs w:val="20"/>
          <w:lang w:val="en-US"/>
          <w14:ligatures w14:val="none"/>
        </w:rPr>
        <w:t xml:space="preserve"> (Figure 5)</w:t>
      </w:r>
      <w:r w:rsidRPr="00D909D0">
        <w:rPr>
          <w:rFonts w:eastAsia="Times New Roman" w:cstheme="minorHAnsi"/>
          <w:kern w:val="0"/>
          <w:sz w:val="20"/>
          <w:szCs w:val="20"/>
          <w:lang w:val="en-US"/>
          <w14:ligatures w14:val="none"/>
        </w:rPr>
        <w:t xml:space="preserve">. Northern and Western Europe scored the highest, </w:t>
      </w:r>
      <w:r w:rsidR="00276026" w:rsidRPr="00D909D0">
        <w:rPr>
          <w:rFonts w:eastAsia="Times New Roman" w:cstheme="minorHAnsi"/>
          <w:kern w:val="0"/>
          <w:sz w:val="20"/>
          <w:szCs w:val="20"/>
          <w:lang w:val="en-US"/>
          <w14:ligatures w14:val="none"/>
        </w:rPr>
        <w:t>at 4.94 and 4.61 respectively</w:t>
      </w:r>
      <w:r w:rsidRPr="00D909D0">
        <w:rPr>
          <w:rFonts w:eastAsia="Times New Roman" w:cstheme="minorHAnsi"/>
          <w:kern w:val="0"/>
          <w:sz w:val="20"/>
          <w:szCs w:val="20"/>
          <w:lang w:val="en-US"/>
          <w14:ligatures w14:val="none"/>
        </w:rPr>
        <w:t>.</w:t>
      </w:r>
      <w:r w:rsidR="00770F60" w:rsidRPr="00D909D0">
        <w:rPr>
          <w:rFonts w:eastAsia="Times New Roman" w:cstheme="minorHAnsi"/>
          <w:kern w:val="0"/>
          <w:sz w:val="20"/>
          <w:szCs w:val="20"/>
          <w:lang w:val="en-US"/>
          <w14:ligatures w14:val="none"/>
        </w:rPr>
        <w:t xml:space="preserve"> In these regions, philanthropic </w:t>
      </w:r>
      <w:r w:rsidR="005E3472" w:rsidRPr="00D909D0">
        <w:rPr>
          <w:rFonts w:eastAsia="Times New Roman" w:cstheme="minorHAnsi"/>
          <w:kern w:val="0"/>
          <w:sz w:val="20"/>
          <w:szCs w:val="20"/>
          <w:lang w:val="en-US"/>
          <w14:ligatures w14:val="none"/>
        </w:rPr>
        <w:t>organizations</w:t>
      </w:r>
      <w:r w:rsidR="00770F60" w:rsidRPr="00D909D0">
        <w:rPr>
          <w:rFonts w:eastAsia="Times New Roman" w:cstheme="minorHAnsi"/>
          <w:kern w:val="0"/>
          <w:sz w:val="20"/>
          <w:szCs w:val="20"/>
          <w:lang w:val="en-US"/>
          <w14:ligatures w14:val="none"/>
        </w:rPr>
        <w:t xml:space="preserve"> </w:t>
      </w:r>
      <w:r w:rsidR="005E3472" w:rsidRPr="00D909D0">
        <w:rPr>
          <w:rFonts w:eastAsia="Times New Roman" w:cstheme="minorHAnsi"/>
          <w:kern w:val="0"/>
          <w:sz w:val="20"/>
          <w:szCs w:val="20"/>
          <w:lang w:val="en-US"/>
          <w14:ligatures w14:val="none"/>
        </w:rPr>
        <w:t xml:space="preserve">are generally seen as important social actors, and governments often directly support them. However, particularly in Western Europe, </w:t>
      </w:r>
      <w:r w:rsidR="008F63AC" w:rsidRPr="00D909D0">
        <w:rPr>
          <w:rFonts w:eastAsia="Times New Roman" w:cstheme="minorHAnsi"/>
          <w:kern w:val="0"/>
          <w:sz w:val="20"/>
          <w:szCs w:val="20"/>
          <w:lang w:val="en-US"/>
          <w14:ligatures w14:val="none"/>
        </w:rPr>
        <w:t xml:space="preserve">efforts to limit the activities of certain issue groups and </w:t>
      </w:r>
      <w:r w:rsidR="00AB68BA" w:rsidRPr="00D909D0">
        <w:rPr>
          <w:rFonts w:eastAsia="Times New Roman" w:cstheme="minorHAnsi"/>
          <w:kern w:val="0"/>
          <w:sz w:val="20"/>
          <w:szCs w:val="20"/>
          <w:lang w:val="en-US"/>
          <w14:ligatures w14:val="none"/>
        </w:rPr>
        <w:t xml:space="preserve">spending cuts </w:t>
      </w:r>
      <w:r w:rsidR="00276026" w:rsidRPr="00D909D0">
        <w:rPr>
          <w:rFonts w:eastAsia="Times New Roman" w:cstheme="minorHAnsi"/>
          <w:kern w:val="0"/>
          <w:sz w:val="20"/>
          <w:szCs w:val="20"/>
          <w:lang w:val="en-US"/>
          <w14:ligatures w14:val="none"/>
        </w:rPr>
        <w:t>could put</w:t>
      </w:r>
      <w:r w:rsidR="00AB68BA" w:rsidRPr="00D909D0">
        <w:rPr>
          <w:rFonts w:eastAsia="Times New Roman" w:cstheme="minorHAnsi"/>
          <w:kern w:val="0"/>
          <w:sz w:val="20"/>
          <w:szCs w:val="20"/>
          <w:lang w:val="en-US"/>
          <w14:ligatures w14:val="none"/>
        </w:rPr>
        <w:t xml:space="preserve"> more pressure on the philanthropic sector</w:t>
      </w:r>
      <w:r w:rsidR="00276026" w:rsidRPr="00D909D0">
        <w:rPr>
          <w:rFonts w:eastAsia="Times New Roman" w:cstheme="minorHAnsi"/>
          <w:kern w:val="0"/>
          <w:sz w:val="20"/>
          <w:szCs w:val="20"/>
          <w:lang w:val="en-US"/>
          <w14:ligatures w14:val="none"/>
        </w:rPr>
        <w:t xml:space="preserve"> in the future</w:t>
      </w:r>
      <w:r w:rsidR="00AB68BA" w:rsidRPr="00D909D0">
        <w:rPr>
          <w:rFonts w:eastAsia="Times New Roman" w:cstheme="minorHAnsi"/>
          <w:kern w:val="0"/>
          <w:sz w:val="20"/>
          <w:szCs w:val="20"/>
          <w:lang w:val="en-US"/>
          <w14:ligatures w14:val="none"/>
        </w:rPr>
        <w:t>.</w:t>
      </w:r>
      <w:r w:rsidRPr="00D909D0">
        <w:rPr>
          <w:rFonts w:eastAsia="Times New Roman" w:cstheme="minorHAnsi"/>
          <w:kern w:val="0"/>
          <w:sz w:val="20"/>
          <w:szCs w:val="20"/>
          <w:lang w:val="en-US"/>
          <w14:ligatures w14:val="none"/>
        </w:rPr>
        <w:t xml:space="preserve"> Central Europe, the Balkan</w:t>
      </w:r>
      <w:r w:rsidR="00276026" w:rsidRPr="00D909D0">
        <w:rPr>
          <w:rFonts w:eastAsia="Times New Roman" w:cstheme="minorHAnsi"/>
          <w:kern w:val="0"/>
          <w:sz w:val="20"/>
          <w:szCs w:val="20"/>
          <w:lang w:val="en-US"/>
          <w14:ligatures w14:val="none"/>
        </w:rPr>
        <w:t xml:space="preserve"> Countries</w:t>
      </w:r>
      <w:r w:rsidRPr="00D909D0">
        <w:rPr>
          <w:rFonts w:eastAsia="Times New Roman" w:cstheme="minorHAnsi"/>
          <w:kern w:val="0"/>
          <w:sz w:val="20"/>
          <w:szCs w:val="20"/>
          <w:lang w:val="en-US"/>
          <w14:ligatures w14:val="none"/>
        </w:rPr>
        <w:t xml:space="preserve">, and Southern Europe </w:t>
      </w:r>
      <w:r w:rsidR="00276026" w:rsidRPr="00D909D0">
        <w:rPr>
          <w:rFonts w:eastAsia="Times New Roman" w:cstheme="minorHAnsi"/>
          <w:kern w:val="0"/>
          <w:sz w:val="20"/>
          <w:szCs w:val="20"/>
          <w:lang w:val="en-US"/>
          <w14:ligatures w14:val="none"/>
        </w:rPr>
        <w:t>score much lower, not reaching even the</w:t>
      </w:r>
      <w:r w:rsidRPr="00D909D0">
        <w:rPr>
          <w:rFonts w:eastAsia="Times New Roman" w:cstheme="minorHAnsi"/>
          <w:kern w:val="0"/>
          <w:sz w:val="20"/>
          <w:szCs w:val="20"/>
          <w:lang w:val="en-US"/>
          <w14:ligatures w14:val="none"/>
        </w:rPr>
        <w:t xml:space="preserve"> global average.</w:t>
      </w:r>
      <w:r w:rsidR="000568DA" w:rsidRPr="00D909D0">
        <w:rPr>
          <w:rFonts w:eastAsia="Times New Roman" w:cstheme="minorHAnsi"/>
          <w:kern w:val="0"/>
          <w:sz w:val="20"/>
          <w:szCs w:val="20"/>
          <w:lang w:val="en-US"/>
          <w14:ligatures w14:val="none"/>
        </w:rPr>
        <w:t xml:space="preserve"> In these regions, the sentiment is much more mixed. While some countries</w:t>
      </w:r>
      <w:r w:rsidR="00BB0EA4" w:rsidRPr="00D909D0">
        <w:rPr>
          <w:rFonts w:eastAsia="Times New Roman" w:cstheme="minorHAnsi"/>
          <w:kern w:val="0"/>
          <w:sz w:val="20"/>
          <w:szCs w:val="20"/>
          <w:lang w:val="en-US"/>
          <w14:ligatures w14:val="none"/>
        </w:rPr>
        <w:t>—</w:t>
      </w:r>
      <w:r w:rsidR="00276026" w:rsidRPr="00D909D0">
        <w:rPr>
          <w:rFonts w:eastAsia="Times New Roman" w:cstheme="minorHAnsi"/>
          <w:kern w:val="0"/>
          <w:sz w:val="20"/>
          <w:szCs w:val="20"/>
          <w:lang w:val="en-US"/>
          <w14:ligatures w14:val="none"/>
        </w:rPr>
        <w:t>such as</w:t>
      </w:r>
      <w:r w:rsidR="002C708B" w:rsidRPr="00D909D0">
        <w:rPr>
          <w:rFonts w:eastAsia="Times New Roman" w:cstheme="minorHAnsi"/>
          <w:kern w:val="0"/>
          <w:sz w:val="20"/>
          <w:szCs w:val="20"/>
          <w:lang w:val="en-US"/>
          <w14:ligatures w14:val="none"/>
        </w:rPr>
        <w:t xml:space="preserve"> </w:t>
      </w:r>
      <w:r w:rsidR="0057121B" w:rsidRPr="00D909D0">
        <w:rPr>
          <w:rFonts w:eastAsia="Times New Roman" w:cstheme="minorHAnsi"/>
          <w:kern w:val="0"/>
          <w:sz w:val="20"/>
          <w:szCs w:val="20"/>
          <w:lang w:val="en-US"/>
          <w14:ligatures w14:val="none"/>
        </w:rPr>
        <w:t>Ukraine</w:t>
      </w:r>
      <w:r w:rsidR="002C708B" w:rsidRPr="00D909D0">
        <w:rPr>
          <w:rFonts w:eastAsia="Times New Roman" w:cstheme="minorHAnsi"/>
          <w:kern w:val="0"/>
          <w:sz w:val="20"/>
          <w:szCs w:val="20"/>
          <w:lang w:val="en-US"/>
          <w14:ligatures w14:val="none"/>
        </w:rPr>
        <w:t xml:space="preserve"> or North Macedonia</w:t>
      </w:r>
      <w:r w:rsidR="00BB0EA4" w:rsidRPr="00D909D0">
        <w:rPr>
          <w:rFonts w:eastAsia="Times New Roman" w:cstheme="minorHAnsi"/>
          <w:kern w:val="0"/>
          <w:sz w:val="20"/>
          <w:szCs w:val="20"/>
          <w:lang w:val="en-US"/>
          <w14:ligatures w14:val="none"/>
        </w:rPr>
        <w:t>—</w:t>
      </w:r>
      <w:r w:rsidR="00276026" w:rsidRPr="00D909D0">
        <w:rPr>
          <w:rFonts w:eastAsia="Times New Roman" w:cstheme="minorHAnsi"/>
          <w:kern w:val="0"/>
          <w:sz w:val="20"/>
          <w:szCs w:val="20"/>
          <w:lang w:val="en-US"/>
          <w14:ligatures w14:val="none"/>
        </w:rPr>
        <w:t>show</w:t>
      </w:r>
      <w:r w:rsidR="002C708B" w:rsidRPr="00D909D0">
        <w:rPr>
          <w:rFonts w:eastAsia="Times New Roman" w:cstheme="minorHAnsi"/>
          <w:kern w:val="0"/>
          <w:sz w:val="20"/>
          <w:szCs w:val="20"/>
          <w:lang w:val="en-US"/>
          <w14:ligatures w14:val="none"/>
        </w:rPr>
        <w:t xml:space="preserve"> </w:t>
      </w:r>
      <w:r w:rsidR="0057121B" w:rsidRPr="00D909D0">
        <w:rPr>
          <w:rFonts w:eastAsia="Times New Roman" w:cstheme="minorHAnsi"/>
          <w:kern w:val="0"/>
          <w:sz w:val="20"/>
          <w:szCs w:val="20"/>
          <w:lang w:val="en-US"/>
          <w14:ligatures w14:val="none"/>
        </w:rPr>
        <w:t xml:space="preserve">open support for philanthropic organizations, </w:t>
      </w:r>
      <w:r w:rsidR="00D77E28" w:rsidRPr="00D909D0">
        <w:rPr>
          <w:rFonts w:eastAsia="Times New Roman" w:cstheme="minorHAnsi"/>
          <w:kern w:val="0"/>
          <w:sz w:val="20"/>
          <w:szCs w:val="20"/>
          <w:lang w:val="en-US"/>
          <w14:ligatures w14:val="none"/>
        </w:rPr>
        <w:t>other</w:t>
      </w:r>
      <w:r w:rsidR="00276026" w:rsidRPr="00D909D0">
        <w:rPr>
          <w:rFonts w:eastAsia="Times New Roman" w:cstheme="minorHAnsi"/>
          <w:kern w:val="0"/>
          <w:sz w:val="20"/>
          <w:szCs w:val="20"/>
          <w:lang w:val="en-US"/>
          <w14:ligatures w14:val="none"/>
        </w:rPr>
        <w:t xml:space="preserve"> countrie</w:t>
      </w:r>
      <w:r w:rsidR="00D77E28" w:rsidRPr="00D909D0">
        <w:rPr>
          <w:rFonts w:eastAsia="Times New Roman" w:cstheme="minorHAnsi"/>
          <w:kern w:val="0"/>
          <w:sz w:val="20"/>
          <w:szCs w:val="20"/>
          <w:lang w:val="en-US"/>
          <w14:ligatures w14:val="none"/>
        </w:rPr>
        <w:t xml:space="preserve">s like </w:t>
      </w:r>
      <w:r w:rsidR="00276026" w:rsidRPr="00D909D0">
        <w:rPr>
          <w:rFonts w:eastAsia="Times New Roman" w:cstheme="minorHAnsi"/>
          <w:kern w:val="0"/>
          <w:sz w:val="20"/>
          <w:szCs w:val="20"/>
          <w:lang w:val="en-US"/>
          <w14:ligatures w14:val="none"/>
        </w:rPr>
        <w:t xml:space="preserve">Hungary, </w:t>
      </w:r>
      <w:r w:rsidR="00D77E28" w:rsidRPr="00D909D0">
        <w:rPr>
          <w:rFonts w:eastAsia="Times New Roman" w:cstheme="minorHAnsi"/>
          <w:kern w:val="0"/>
          <w:sz w:val="20"/>
          <w:szCs w:val="20"/>
          <w:lang w:val="en-US"/>
          <w14:ligatures w14:val="none"/>
        </w:rPr>
        <w:t>Slovakia</w:t>
      </w:r>
      <w:r w:rsidR="00276026" w:rsidRPr="00D909D0">
        <w:rPr>
          <w:rFonts w:eastAsia="Times New Roman" w:cstheme="minorHAnsi"/>
          <w:kern w:val="0"/>
          <w:sz w:val="20"/>
          <w:szCs w:val="20"/>
          <w:lang w:val="en-US"/>
          <w14:ligatures w14:val="none"/>
        </w:rPr>
        <w:t>,</w:t>
      </w:r>
      <w:r w:rsidR="00D77E28" w:rsidRPr="00D909D0">
        <w:rPr>
          <w:rFonts w:eastAsia="Times New Roman" w:cstheme="minorHAnsi"/>
          <w:kern w:val="0"/>
          <w:sz w:val="20"/>
          <w:szCs w:val="20"/>
          <w:lang w:val="en-US"/>
          <w14:ligatures w14:val="none"/>
        </w:rPr>
        <w:t xml:space="preserve"> and </w:t>
      </w:r>
      <w:r w:rsidR="00EF131E" w:rsidRPr="00D909D0">
        <w:rPr>
          <w:rFonts w:eastAsia="Times New Roman" w:cstheme="minorHAnsi"/>
          <w:kern w:val="0"/>
          <w:sz w:val="20"/>
          <w:szCs w:val="20"/>
          <w:lang w:val="en-US"/>
          <w14:ligatures w14:val="none"/>
        </w:rPr>
        <w:t xml:space="preserve">Serbia have tension </w:t>
      </w:r>
      <w:r w:rsidR="00276026" w:rsidRPr="00D909D0">
        <w:rPr>
          <w:rFonts w:eastAsia="Times New Roman" w:cstheme="minorHAnsi"/>
          <w:kern w:val="0"/>
          <w:sz w:val="20"/>
          <w:szCs w:val="20"/>
          <w:lang w:val="en-US"/>
          <w14:ligatures w14:val="none"/>
        </w:rPr>
        <w:t>between the government and the philanthropic sector</w:t>
      </w:r>
      <w:r w:rsidR="00EF131E" w:rsidRPr="00D909D0">
        <w:rPr>
          <w:rFonts w:eastAsia="Times New Roman" w:cstheme="minorHAnsi"/>
          <w:kern w:val="0"/>
          <w:sz w:val="20"/>
          <w:szCs w:val="20"/>
          <w:lang w:val="en-US"/>
          <w14:ligatures w14:val="none"/>
        </w:rPr>
        <w:t>.</w:t>
      </w:r>
    </w:p>
    <w:p w14:paraId="722BE595" w14:textId="4170211E" w:rsidR="00A30055" w:rsidRPr="00D909D0" w:rsidRDefault="00A30055" w:rsidP="001B1A5B">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5: POLITICAL ENVIRONMENT SCORES BY REGION, 2018–2020</w:t>
      </w:r>
    </w:p>
    <w:p w14:paraId="7FDA8388" w14:textId="29A341AC" w:rsidR="00D67A0A" w:rsidRPr="00D909D0" w:rsidRDefault="00D67A0A" w:rsidP="00A30055">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0F869C6E" wp14:editId="694EDEDE">
            <wp:extent cx="4975860" cy="1714500"/>
            <wp:effectExtent l="0" t="0" r="0" b="0"/>
            <wp:docPr id="1466052522" name="Diagramm 1">
              <a:extLst xmlns:a="http://schemas.openxmlformats.org/drawingml/2006/main">
                <a:ext uri="{FF2B5EF4-FFF2-40B4-BE49-F238E27FC236}">
                  <a16:creationId xmlns:a16="http://schemas.microsoft.com/office/drawing/2014/main" id="{D31AEF6A-0233-4AF1-B220-76A59437E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583669" w14:textId="3B22AC63" w:rsidR="00826430" w:rsidRPr="00D909D0" w:rsidRDefault="00826430" w:rsidP="00826430">
      <w:pPr>
        <w:rPr>
          <w:rFonts w:cstheme="minorHAnsi"/>
          <w:sz w:val="20"/>
          <w:szCs w:val="20"/>
          <w:lang w:val="en-US"/>
        </w:rPr>
      </w:pPr>
      <w:r w:rsidRPr="00D909D0">
        <w:rPr>
          <w:rFonts w:cstheme="minorHAnsi"/>
          <w:sz w:val="20"/>
          <w:szCs w:val="20"/>
          <w:lang w:val="en-US"/>
        </w:rPr>
        <w:t xml:space="preserve">Source: Indiana University Lilly Family School of Philanthropy, </w:t>
      </w:r>
      <w:r w:rsidRPr="00D909D0">
        <w:rPr>
          <w:rFonts w:cstheme="minorHAnsi"/>
          <w:i/>
          <w:iCs/>
          <w:sz w:val="20"/>
          <w:szCs w:val="20"/>
          <w:lang w:val="en-US"/>
        </w:rPr>
        <w:t>2022 Global Philanthropy Environment Index</w:t>
      </w:r>
    </w:p>
    <w:p w14:paraId="1083B669" w14:textId="3794DE9D" w:rsidR="00C21BB7" w:rsidRPr="00D909D0" w:rsidRDefault="00466567" w:rsidP="002D00E8">
      <w:pPr>
        <w:pStyle w:val="Heading3"/>
        <w:rPr>
          <w:i/>
          <w:iCs/>
          <w:sz w:val="20"/>
          <w:szCs w:val="20"/>
          <w:lang w:val="en-US"/>
        </w:rPr>
      </w:pPr>
      <w:bookmarkStart w:id="10" w:name="_Toc138461139"/>
      <w:bookmarkStart w:id="11" w:name="_Toc138462038"/>
      <w:r w:rsidRPr="00D909D0">
        <w:rPr>
          <w:noProof/>
          <w:sz w:val="20"/>
          <w:szCs w:val="20"/>
          <w:lang w:val="en-US"/>
        </w:rPr>
        <mc:AlternateContent>
          <mc:Choice Requires="wps">
            <w:drawing>
              <wp:anchor distT="45720" distB="45720" distL="114300" distR="114300" simplePos="0" relativeHeight="251677696" behindDoc="0" locked="0" layoutInCell="1" allowOverlap="1" wp14:anchorId="4897AC2D" wp14:editId="2D388138">
                <wp:simplePos x="0" y="0"/>
                <wp:positionH relativeFrom="margin">
                  <wp:align>left</wp:align>
                </wp:positionH>
                <wp:positionV relativeFrom="paragraph">
                  <wp:posOffset>1905</wp:posOffset>
                </wp:positionV>
                <wp:extent cx="5715000" cy="38023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02380"/>
                        </a:xfrm>
                        <a:prstGeom prst="rect">
                          <a:avLst/>
                        </a:prstGeom>
                        <a:solidFill>
                          <a:schemeClr val="accent6">
                            <a:lumMod val="20000"/>
                            <a:lumOff val="80000"/>
                          </a:schemeClr>
                        </a:solidFill>
                        <a:ln w="9525">
                          <a:noFill/>
                          <a:miter lim="800000"/>
                          <a:headEnd/>
                          <a:tailEnd/>
                        </a:ln>
                      </wps:spPr>
                      <wps:txbx>
                        <w:txbxContent>
                          <w:p w14:paraId="4ED83ACD" w14:textId="2A21049A" w:rsidR="00276026" w:rsidRDefault="00BB0EA4" w:rsidP="00276026">
                            <w:pPr>
                              <w:rPr>
                                <w:i/>
                                <w:iCs/>
                              </w:rPr>
                            </w:pPr>
                            <w:r>
                              <w:rPr>
                                <w:i/>
                                <w:iCs/>
                              </w:rPr>
                              <w:t>“</w:t>
                            </w:r>
                            <w:r w:rsidR="00276026" w:rsidRPr="00276026">
                              <w:rPr>
                                <w:i/>
                                <w:iCs/>
                              </w:rPr>
                              <w:t xml:space="preserve">This is a very sensitive, complex and constantly changing area in post-communist countries (in both directions, for better and for worse). </w:t>
                            </w:r>
                          </w:p>
                          <w:p w14:paraId="4252E12F" w14:textId="4FBA4995" w:rsidR="00276026" w:rsidRDefault="00276026" w:rsidP="00276026">
                            <w:pPr>
                              <w:rPr>
                                <w:i/>
                                <w:iCs/>
                              </w:rPr>
                            </w:pPr>
                            <w:r w:rsidRPr="00276026">
                              <w:rPr>
                                <w:i/>
                                <w:iCs/>
                              </w:rPr>
                              <w:t xml:space="preserve">Positive trends can be observed in Romania, where </w:t>
                            </w:r>
                            <w:r>
                              <w:rPr>
                                <w:i/>
                                <w:iCs/>
                              </w:rPr>
                              <w:t>(...)</w:t>
                            </w:r>
                            <w:r w:rsidRPr="00276026">
                              <w:rPr>
                                <w:i/>
                                <w:iCs/>
                              </w:rPr>
                              <w:t xml:space="preserve"> </w:t>
                            </w:r>
                            <w:r w:rsidR="00BB0EA4">
                              <w:rPr>
                                <w:i/>
                                <w:iCs/>
                              </w:rPr>
                              <w:t>s</w:t>
                            </w:r>
                            <w:r w:rsidRPr="00276026">
                              <w:rPr>
                                <w:i/>
                                <w:iCs/>
                              </w:rPr>
                              <w:t>ince mid-2019 the governmental approach toward POs transformed and is now in good standing as the space for POs is expanding.</w:t>
                            </w:r>
                            <w:r>
                              <w:rPr>
                                <w:i/>
                                <w:iCs/>
                              </w:rPr>
                              <w:t xml:space="preserve"> (...) </w:t>
                            </w:r>
                            <w:r w:rsidRPr="00276026">
                              <w:rPr>
                                <w:i/>
                                <w:iCs/>
                              </w:rPr>
                              <w:t>Similarly, in Ukraine, the government recognizes the role of POs as change agents.</w:t>
                            </w:r>
                          </w:p>
                          <w:p w14:paraId="353A0031" w14:textId="7D4E10D7" w:rsidR="00276026" w:rsidRDefault="00276026" w:rsidP="00276026">
                            <w:pPr>
                              <w:rPr>
                                <w:i/>
                                <w:iCs/>
                              </w:rPr>
                            </w:pPr>
                            <w:r w:rsidRPr="00276026">
                              <w:rPr>
                                <w:i/>
                                <w:iCs/>
                              </w:rPr>
                              <w:t>The situation is relatively stable in the Czech Republic</w:t>
                            </w:r>
                            <w:r w:rsidR="00C21BB7">
                              <w:rPr>
                                <w:i/>
                                <w:iCs/>
                              </w:rPr>
                              <w:t>. (...)</w:t>
                            </w:r>
                            <w:r w:rsidR="00E367D1">
                              <w:rPr>
                                <w:i/>
                                <w:iCs/>
                              </w:rPr>
                              <w:t xml:space="preserve"> </w:t>
                            </w:r>
                            <w:r w:rsidRPr="00276026">
                              <w:rPr>
                                <w:i/>
                                <w:iCs/>
                              </w:rPr>
                              <w:t>Slovakia has signaled that the political and economic system does not fully recognize the potential of independent groups as actors and agents of social change</w:t>
                            </w:r>
                            <w:r>
                              <w:rPr>
                                <w:i/>
                                <w:iCs/>
                              </w:rPr>
                              <w:t>.</w:t>
                            </w:r>
                          </w:p>
                          <w:p w14:paraId="220B89A0" w14:textId="38A5B777" w:rsidR="00276026" w:rsidRDefault="00276026" w:rsidP="00276026">
                            <w:pPr>
                              <w:rPr>
                                <w:i/>
                                <w:iCs/>
                              </w:rPr>
                            </w:pPr>
                            <w:r w:rsidRPr="00276026">
                              <w:rPr>
                                <w:i/>
                                <w:iCs/>
                              </w:rPr>
                              <w:t>And then there are countries with downright tense environments for CSOs to operate in. In Bulgaria, the period between 2018 and 2020 was marked with tension between the government and CSOs.</w:t>
                            </w:r>
                            <w:r w:rsidR="00C21BB7">
                              <w:rPr>
                                <w:i/>
                                <w:iCs/>
                              </w:rPr>
                              <w:t xml:space="preserve"> (...)</w:t>
                            </w:r>
                            <w:r w:rsidR="00E367D1">
                              <w:rPr>
                                <w:i/>
                                <w:iCs/>
                              </w:rPr>
                              <w:t xml:space="preserve"> </w:t>
                            </w:r>
                            <w:r w:rsidR="00C21BB7" w:rsidRPr="00C21BB7">
                              <w:rPr>
                                <w:i/>
                                <w:iCs/>
                              </w:rPr>
                              <w:t>In Hungary, the political environment continues to be not so favorable for philanthropy. Traditional</w:t>
                            </w:r>
                            <w:r w:rsidR="00C21BB7">
                              <w:rPr>
                                <w:i/>
                                <w:iCs/>
                              </w:rPr>
                              <w:t xml:space="preserve"> </w:t>
                            </w:r>
                            <w:r w:rsidR="00C21BB7" w:rsidRPr="00C21BB7">
                              <w:rPr>
                                <w:i/>
                                <w:iCs/>
                              </w:rPr>
                              <w:t>channels of advocacy and attempts to negotiate with state institutions remain ineffective.</w:t>
                            </w:r>
                            <w:r w:rsidR="00C21BB7">
                              <w:rPr>
                                <w:i/>
                                <w:iCs/>
                              </w:rPr>
                              <w:t xml:space="preserve"> (...) </w:t>
                            </w:r>
                            <w:r w:rsidR="00C21BB7" w:rsidRPr="00C21BB7">
                              <w:rPr>
                                <w:i/>
                                <w:iCs/>
                              </w:rPr>
                              <w:t>In Poland, the two electoral victories of the populist-conservative party have petrified the political landscape. Negative outcomes like decreasing the quality of legislative processes, lack of public consultations, corruption or aggressive police interventions against women’s rights, LGBT or environmental activists have been developing since then, showing how fragile Polish democracy is.</w:t>
                            </w:r>
                            <w:r>
                              <w:rPr>
                                <w:i/>
                                <w:iCs/>
                              </w:rPr>
                              <w:t xml:space="preserve">“ </w:t>
                            </w:r>
                            <w:r>
                              <w:t>(</w:t>
                            </w:r>
                            <w:r w:rsidR="00C21BB7" w:rsidRPr="00C21BB7">
                              <w:t>Hyánek</w:t>
                            </w:r>
                            <w:r>
                              <w:t xml:space="preserve">, 2022, p. </w:t>
                            </w:r>
                            <w:r w:rsidR="00C21BB7">
                              <w:t>5-6</w:t>
                            </w:r>
                            <w:r>
                              <w:t>.)</w:t>
                            </w:r>
                            <w:r w:rsidRPr="00B81692">
                              <w:rPr>
                                <w:i/>
                                <w:iCs/>
                              </w:rPr>
                              <w:t xml:space="preserve"> </w:t>
                            </w:r>
                          </w:p>
                          <w:p w14:paraId="5F2D067C" w14:textId="7FC7A68D" w:rsidR="00C21BB7" w:rsidRPr="00C21BB7" w:rsidRDefault="00C21BB7" w:rsidP="00276026">
                            <w:r w:rsidRPr="00C21BB7">
                              <w:t xml:space="preserve">Note: Russia is not included in the </w:t>
                            </w:r>
                            <w:r>
                              <w:t>Central</w:t>
                            </w:r>
                            <w:r w:rsidRPr="00C21BB7">
                              <w:t xml:space="preserve"> Europe Regional </w:t>
                            </w:r>
                            <w:r>
                              <w:t>R</w:t>
                            </w:r>
                            <w:r w:rsidRPr="00C21BB7">
                              <w:t>eport.</w:t>
                            </w:r>
                          </w:p>
                          <w:p w14:paraId="66E658A8" w14:textId="77777777" w:rsidR="00C21BB7" w:rsidRDefault="00C21BB7"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7AC2D" id="Text Box 3" o:spid="_x0000_s1033" type="#_x0000_t202" style="position:absolute;margin-left:0;margin-top:.15pt;width:450pt;height:299.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" fillcolor="#e2efd9 [665]" stroked="f">
                <v:textbox>
                  <w:txbxContent>
                    <w:p w14:paraId="4ED83ACD" w14:textId="2A21049A" w:rsidR="00276026" w:rsidRDefault="00BB0EA4" w:rsidP="00276026">
                      <w:pPr>
                        <w:rPr>
                          <w:i/>
                          <w:iCs/>
                        </w:rPr>
                      </w:pPr>
                      <w:r>
                        <w:rPr>
                          <w:i/>
                          <w:iCs/>
                        </w:rPr>
                        <w:t>“</w:t>
                      </w:r>
                      <w:r w:rsidR="00276026" w:rsidRPr="00276026">
                        <w:rPr>
                          <w:i/>
                          <w:iCs/>
                        </w:rPr>
                        <w:t xml:space="preserve">This is a very sensitive, complex and constantly changing area in post-communist countries (in both directions, for better and for worse). </w:t>
                      </w:r>
                    </w:p>
                    <w:p w14:paraId="4252E12F" w14:textId="4FBA4995" w:rsidR="00276026" w:rsidRDefault="00276026" w:rsidP="00276026">
                      <w:pPr>
                        <w:rPr>
                          <w:i/>
                          <w:iCs/>
                        </w:rPr>
                      </w:pPr>
                      <w:r w:rsidRPr="00276026">
                        <w:rPr>
                          <w:i/>
                          <w:iCs/>
                        </w:rPr>
                        <w:t xml:space="preserve">Positive trends can be observed in Romania, where </w:t>
                      </w:r>
                      <w:r>
                        <w:rPr>
                          <w:i/>
                          <w:iCs/>
                        </w:rPr>
                        <w:t>(...)</w:t>
                      </w:r>
                      <w:r w:rsidRPr="00276026">
                        <w:rPr>
                          <w:i/>
                          <w:iCs/>
                        </w:rPr>
                        <w:t xml:space="preserve"> </w:t>
                      </w:r>
                      <w:r w:rsidR="00BB0EA4">
                        <w:rPr>
                          <w:i/>
                          <w:iCs/>
                        </w:rPr>
                        <w:t>s</w:t>
                      </w:r>
                      <w:r w:rsidRPr="00276026">
                        <w:rPr>
                          <w:i/>
                          <w:iCs/>
                        </w:rPr>
                        <w:t>ince mid-2019 the governmental approach toward POs transformed and is now in good standing as the space for POs is expanding.</w:t>
                      </w:r>
                      <w:r>
                        <w:rPr>
                          <w:i/>
                          <w:iCs/>
                        </w:rPr>
                        <w:t xml:space="preserve"> (...) </w:t>
                      </w:r>
                      <w:r w:rsidRPr="00276026">
                        <w:rPr>
                          <w:i/>
                          <w:iCs/>
                        </w:rPr>
                        <w:t>Similarly, in Ukraine, the government recognizes the role of POs as change agents.</w:t>
                      </w:r>
                    </w:p>
                    <w:p w14:paraId="353A0031" w14:textId="7D4E10D7" w:rsidR="00276026" w:rsidRDefault="00276026" w:rsidP="00276026">
                      <w:pPr>
                        <w:rPr>
                          <w:i/>
                          <w:iCs/>
                        </w:rPr>
                      </w:pPr>
                      <w:r w:rsidRPr="00276026">
                        <w:rPr>
                          <w:i/>
                          <w:iCs/>
                        </w:rPr>
                        <w:t>The situation is relatively stable in the Czech Republic</w:t>
                      </w:r>
                      <w:r w:rsidR="00C21BB7">
                        <w:rPr>
                          <w:i/>
                          <w:iCs/>
                        </w:rPr>
                        <w:t>. (...)</w:t>
                      </w:r>
                      <w:r w:rsidR="00E367D1">
                        <w:rPr>
                          <w:i/>
                          <w:iCs/>
                        </w:rPr>
                        <w:t xml:space="preserve"> </w:t>
                      </w:r>
                      <w:r w:rsidRPr="00276026">
                        <w:rPr>
                          <w:i/>
                          <w:iCs/>
                        </w:rPr>
                        <w:t>Slovakia has signaled that the political and economic system does not fully recognize the potential of independent groups as actors and agents of social change</w:t>
                      </w:r>
                      <w:r>
                        <w:rPr>
                          <w:i/>
                          <w:iCs/>
                        </w:rPr>
                        <w:t>.</w:t>
                      </w:r>
                    </w:p>
                    <w:p w14:paraId="220B89A0" w14:textId="38A5B777" w:rsidR="00276026" w:rsidRDefault="00276026" w:rsidP="00276026">
                      <w:pPr>
                        <w:rPr>
                          <w:i/>
                          <w:iCs/>
                        </w:rPr>
                      </w:pPr>
                      <w:r w:rsidRPr="00276026">
                        <w:rPr>
                          <w:i/>
                          <w:iCs/>
                        </w:rPr>
                        <w:t>And then there are countries with downright tense environments for CSOs to operate in. In Bulgaria, the period between 2018 and 2020 was marked with tension between the government and CSOs.</w:t>
                      </w:r>
                      <w:r w:rsidR="00C21BB7">
                        <w:rPr>
                          <w:i/>
                          <w:iCs/>
                        </w:rPr>
                        <w:t xml:space="preserve"> (...)</w:t>
                      </w:r>
                      <w:r w:rsidR="00E367D1">
                        <w:rPr>
                          <w:i/>
                          <w:iCs/>
                        </w:rPr>
                        <w:t xml:space="preserve"> </w:t>
                      </w:r>
                      <w:r w:rsidR="00C21BB7" w:rsidRPr="00C21BB7">
                        <w:rPr>
                          <w:i/>
                          <w:iCs/>
                        </w:rPr>
                        <w:t>In Hungary, the political environment continues to be not so favorable for philanthropy. Traditional</w:t>
                      </w:r>
                      <w:r w:rsidR="00C21BB7">
                        <w:rPr>
                          <w:i/>
                          <w:iCs/>
                        </w:rPr>
                        <w:t xml:space="preserve"> </w:t>
                      </w:r>
                      <w:r w:rsidR="00C21BB7" w:rsidRPr="00C21BB7">
                        <w:rPr>
                          <w:i/>
                          <w:iCs/>
                        </w:rPr>
                        <w:t>channels of advocacy and attempts to negotiate with state institutions remain ineffective.</w:t>
                      </w:r>
                      <w:r w:rsidR="00C21BB7">
                        <w:rPr>
                          <w:i/>
                          <w:iCs/>
                        </w:rPr>
                        <w:t xml:space="preserve"> (...) </w:t>
                      </w:r>
                      <w:r w:rsidR="00C21BB7" w:rsidRPr="00C21BB7">
                        <w:rPr>
                          <w:i/>
                          <w:iCs/>
                        </w:rPr>
                        <w:t>In Poland, the two electoral victories of the populist-conservative party have petrified the political landscape. Negative outcomes like decreasing the quality of legislative processes, lack of public consultations, corruption or aggressive police interventions against women’s rights, LGBT or environmental activists have been developing since then, showing how fragile Polish democracy is.</w:t>
                      </w:r>
                      <w:r>
                        <w:rPr>
                          <w:i/>
                          <w:iCs/>
                        </w:rPr>
                        <w:t xml:space="preserve">“ </w:t>
                      </w:r>
                      <w:r>
                        <w:t>(</w:t>
                      </w:r>
                      <w:r w:rsidR="00C21BB7" w:rsidRPr="00C21BB7">
                        <w:t>Hyánek</w:t>
                      </w:r>
                      <w:r>
                        <w:t xml:space="preserve">, 2022, p. </w:t>
                      </w:r>
                      <w:r w:rsidR="00C21BB7">
                        <w:t>5-6</w:t>
                      </w:r>
                      <w:r>
                        <w:t>.)</w:t>
                      </w:r>
                      <w:r w:rsidRPr="00B81692">
                        <w:rPr>
                          <w:i/>
                          <w:iCs/>
                        </w:rPr>
                        <w:t xml:space="preserve"> </w:t>
                      </w:r>
                    </w:p>
                    <w:p w14:paraId="5F2D067C" w14:textId="7FC7A68D" w:rsidR="00C21BB7" w:rsidRPr="00C21BB7" w:rsidRDefault="00C21BB7" w:rsidP="00276026">
                      <w:r w:rsidRPr="00C21BB7">
                        <w:t xml:space="preserve">Note: Russia is not included in the </w:t>
                      </w:r>
                      <w:r>
                        <w:t>Central</w:t>
                      </w:r>
                      <w:r w:rsidRPr="00C21BB7">
                        <w:t xml:space="preserve"> Europe Regional </w:t>
                      </w:r>
                      <w:r>
                        <w:t>R</w:t>
                      </w:r>
                      <w:r w:rsidRPr="00C21BB7">
                        <w:t>eport.</w:t>
                      </w:r>
                    </w:p>
                    <w:p w14:paraId="66E658A8" w14:textId="77777777" w:rsidR="00C21BB7" w:rsidRDefault="00C21BB7" w:rsidP="00276026"/>
                  </w:txbxContent>
                </v:textbox>
                <w10:wrap type="square" anchorx="margin"/>
              </v:shape>
            </w:pict>
          </mc:Fallback>
        </mc:AlternateContent>
      </w:r>
      <w:bookmarkEnd w:id="10"/>
      <w:r w:rsidR="002D00E8" w:rsidRPr="00D909D0">
        <w:rPr>
          <w:i/>
          <w:iCs/>
          <w:sz w:val="20"/>
          <w:szCs w:val="20"/>
          <w:lang w:val="en-US"/>
        </w:rPr>
        <w:t xml:space="preserve">4.1.6. </w:t>
      </w:r>
      <w:r w:rsidR="00D67A0A" w:rsidRPr="00D909D0">
        <w:rPr>
          <w:i/>
          <w:iCs/>
          <w:sz w:val="20"/>
          <w:szCs w:val="20"/>
          <w:lang w:val="en-US"/>
        </w:rPr>
        <w:t xml:space="preserve">Economic </w:t>
      </w:r>
      <w:r w:rsidR="002D00E8">
        <w:rPr>
          <w:i/>
          <w:iCs/>
          <w:sz w:val="20"/>
          <w:szCs w:val="20"/>
          <w:lang w:val="en-US"/>
        </w:rPr>
        <w:t>e</w:t>
      </w:r>
      <w:r w:rsidR="00D67A0A" w:rsidRPr="00D909D0">
        <w:rPr>
          <w:i/>
          <w:iCs/>
          <w:sz w:val="20"/>
          <w:szCs w:val="20"/>
          <w:lang w:val="en-US"/>
        </w:rPr>
        <w:t>nvironment</w:t>
      </w:r>
      <w:bookmarkEnd w:id="11"/>
      <w:r w:rsidR="00D67A0A" w:rsidRPr="00D909D0">
        <w:rPr>
          <w:i/>
          <w:iCs/>
          <w:sz w:val="20"/>
          <w:szCs w:val="20"/>
          <w:lang w:val="en-US"/>
        </w:rPr>
        <w:t xml:space="preserve"> </w:t>
      </w:r>
    </w:p>
    <w:p w14:paraId="7CF4FD67" w14:textId="436A7739" w:rsidR="00D67A0A" w:rsidRPr="00D909D0" w:rsidRDefault="00D67A0A" w:rsidP="00D67A0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This score measures the level of economic development in a region and its impact on the philanthropic sector. The global average score is 3.46, while the European average score is 3.88</w:t>
      </w:r>
      <w:r w:rsidR="00C21BB7" w:rsidRPr="00D909D0">
        <w:rPr>
          <w:rFonts w:eastAsia="Times New Roman" w:cstheme="minorHAnsi"/>
          <w:kern w:val="0"/>
          <w:sz w:val="20"/>
          <w:szCs w:val="20"/>
          <w:lang w:val="en-US"/>
          <w14:ligatures w14:val="none"/>
        </w:rPr>
        <w:t xml:space="preserve"> (Figure 6)</w:t>
      </w:r>
      <w:r w:rsidRPr="00D909D0">
        <w:rPr>
          <w:rFonts w:eastAsia="Times New Roman" w:cstheme="minorHAnsi"/>
          <w:kern w:val="0"/>
          <w:sz w:val="20"/>
          <w:szCs w:val="20"/>
          <w:lang w:val="en-US"/>
          <w14:ligatures w14:val="none"/>
        </w:rPr>
        <w:t>. Northern and Western Europe again have the highest scores, outpacing the global average by over a point</w:t>
      </w:r>
      <w:r w:rsidR="00A123CD" w:rsidRPr="00D909D0">
        <w:rPr>
          <w:rFonts w:eastAsia="Times New Roman" w:cstheme="minorHAnsi"/>
          <w:kern w:val="0"/>
          <w:sz w:val="20"/>
          <w:szCs w:val="20"/>
          <w:lang w:val="en-US"/>
          <w14:ligatures w14:val="none"/>
        </w:rPr>
        <w:t xml:space="preserve">, likely due in part to the ability for many governments to provide at least some relief to </w:t>
      </w:r>
      <w:r w:rsidR="00C21BB7" w:rsidRPr="00D909D0">
        <w:rPr>
          <w:rFonts w:eastAsia="Times New Roman" w:cstheme="minorHAnsi"/>
          <w:kern w:val="0"/>
          <w:sz w:val="20"/>
          <w:szCs w:val="20"/>
          <w:lang w:val="en-US"/>
          <w14:ligatures w14:val="none"/>
        </w:rPr>
        <w:t xml:space="preserve">philanthropic </w:t>
      </w:r>
      <w:r w:rsidR="00A123CD" w:rsidRPr="00D909D0">
        <w:rPr>
          <w:rFonts w:eastAsia="Times New Roman" w:cstheme="minorHAnsi"/>
          <w:kern w:val="0"/>
          <w:sz w:val="20"/>
          <w:szCs w:val="20"/>
          <w:lang w:val="en-US"/>
          <w14:ligatures w14:val="none"/>
        </w:rPr>
        <w:t>organizations with financial struggles</w:t>
      </w:r>
      <w:r w:rsidRPr="00D909D0">
        <w:rPr>
          <w:rFonts w:eastAsia="Times New Roman" w:cstheme="minorHAnsi"/>
          <w:kern w:val="0"/>
          <w:sz w:val="20"/>
          <w:szCs w:val="20"/>
          <w:lang w:val="en-US"/>
          <w14:ligatures w14:val="none"/>
        </w:rPr>
        <w:t>. Meanwhile, the Balkan</w:t>
      </w:r>
      <w:r w:rsidR="00C21BB7" w:rsidRPr="00D909D0">
        <w:rPr>
          <w:rFonts w:eastAsia="Times New Roman" w:cstheme="minorHAnsi"/>
          <w:kern w:val="0"/>
          <w:sz w:val="20"/>
          <w:szCs w:val="20"/>
          <w:lang w:val="en-US"/>
          <w14:ligatures w14:val="none"/>
        </w:rPr>
        <w:t xml:space="preserve"> Countrie</w:t>
      </w:r>
      <w:r w:rsidRPr="00D909D0">
        <w:rPr>
          <w:rFonts w:eastAsia="Times New Roman" w:cstheme="minorHAnsi"/>
          <w:kern w:val="0"/>
          <w:sz w:val="20"/>
          <w:szCs w:val="20"/>
          <w:lang w:val="en-US"/>
          <w14:ligatures w14:val="none"/>
        </w:rPr>
        <w:t xml:space="preserve">s, </w:t>
      </w:r>
      <w:r w:rsidR="00370F51" w:rsidRPr="00D909D0">
        <w:rPr>
          <w:rFonts w:eastAsia="Times New Roman" w:cstheme="minorHAnsi"/>
          <w:kern w:val="0"/>
          <w:sz w:val="20"/>
          <w:szCs w:val="20"/>
          <w:lang w:val="en-US"/>
          <w14:ligatures w14:val="none"/>
        </w:rPr>
        <w:t xml:space="preserve">Central Europe, </w:t>
      </w:r>
      <w:r w:rsidRPr="00D909D0">
        <w:rPr>
          <w:rFonts w:eastAsia="Times New Roman" w:cstheme="minorHAnsi"/>
          <w:kern w:val="0"/>
          <w:sz w:val="20"/>
          <w:szCs w:val="20"/>
          <w:lang w:val="en-US"/>
          <w14:ligatures w14:val="none"/>
        </w:rPr>
        <w:t xml:space="preserve">and Southern Europe have scores below the global average. A major reason for this performance was the outsized </w:t>
      </w:r>
      <w:r w:rsidR="00E367D1" w:rsidRPr="00D909D0">
        <w:rPr>
          <w:rFonts w:eastAsia="Times New Roman" w:cstheme="minorHAnsi"/>
          <w:kern w:val="0"/>
          <w:sz w:val="20"/>
          <w:szCs w:val="20"/>
          <w:lang w:val="en-US"/>
          <w14:ligatures w14:val="none"/>
        </w:rPr>
        <w:t>impact of</w:t>
      </w:r>
      <w:r w:rsidRPr="00D909D0">
        <w:rPr>
          <w:rFonts w:eastAsia="Times New Roman" w:cstheme="minorHAnsi"/>
          <w:kern w:val="0"/>
          <w:sz w:val="20"/>
          <w:szCs w:val="20"/>
          <w:lang w:val="en-US"/>
          <w14:ligatures w14:val="none"/>
        </w:rPr>
        <w:t xml:space="preserve"> the COVID-19 pandemic.</w:t>
      </w:r>
      <w:r w:rsidR="004B7B8C" w:rsidRPr="00D909D0">
        <w:rPr>
          <w:rFonts w:eastAsia="Times New Roman" w:cstheme="minorHAnsi"/>
          <w:kern w:val="0"/>
          <w:sz w:val="20"/>
          <w:szCs w:val="20"/>
          <w:lang w:val="en-US"/>
          <w14:ligatures w14:val="none"/>
        </w:rPr>
        <w:t xml:space="preserve"> For example, Italy suffered multiple waves of high </w:t>
      </w:r>
      <w:r w:rsidR="006175D8" w:rsidRPr="00D909D0">
        <w:rPr>
          <w:rFonts w:eastAsia="Times New Roman" w:cstheme="minorHAnsi"/>
          <w:kern w:val="0"/>
          <w:sz w:val="20"/>
          <w:szCs w:val="20"/>
          <w:lang w:val="en-US"/>
          <w14:ligatures w14:val="none"/>
        </w:rPr>
        <w:t>infection rates with resulting lockdowns. While the country eventually received assistance from the E</w:t>
      </w:r>
      <w:r w:rsidR="00C21BB7" w:rsidRPr="00D909D0">
        <w:rPr>
          <w:rFonts w:eastAsia="Times New Roman" w:cstheme="minorHAnsi"/>
          <w:kern w:val="0"/>
          <w:sz w:val="20"/>
          <w:szCs w:val="20"/>
          <w:lang w:val="en-US"/>
          <w14:ligatures w14:val="none"/>
        </w:rPr>
        <w:t xml:space="preserve">uropean </w:t>
      </w:r>
      <w:r w:rsidR="006175D8" w:rsidRPr="00D909D0">
        <w:rPr>
          <w:rFonts w:eastAsia="Times New Roman" w:cstheme="minorHAnsi"/>
          <w:kern w:val="0"/>
          <w:sz w:val="20"/>
          <w:szCs w:val="20"/>
          <w:lang w:val="en-US"/>
          <w14:ligatures w14:val="none"/>
        </w:rPr>
        <w:t>U</w:t>
      </w:r>
      <w:r w:rsidR="00C21BB7" w:rsidRPr="00D909D0">
        <w:rPr>
          <w:rFonts w:eastAsia="Times New Roman" w:cstheme="minorHAnsi"/>
          <w:kern w:val="0"/>
          <w:sz w:val="20"/>
          <w:szCs w:val="20"/>
          <w:lang w:val="en-US"/>
          <w14:ligatures w14:val="none"/>
        </w:rPr>
        <w:t>nion</w:t>
      </w:r>
      <w:r w:rsidR="006175D8" w:rsidRPr="00D909D0">
        <w:rPr>
          <w:rFonts w:eastAsia="Times New Roman" w:cstheme="minorHAnsi"/>
          <w:kern w:val="0"/>
          <w:sz w:val="20"/>
          <w:szCs w:val="20"/>
          <w:lang w:val="en-US"/>
          <w14:ligatures w14:val="none"/>
        </w:rPr>
        <w:t xml:space="preserve">, the </w:t>
      </w:r>
      <w:r w:rsidR="000241BD" w:rsidRPr="00D909D0">
        <w:rPr>
          <w:rFonts w:eastAsia="Times New Roman" w:cstheme="minorHAnsi"/>
          <w:kern w:val="0"/>
          <w:sz w:val="20"/>
          <w:szCs w:val="20"/>
          <w:lang w:val="en-US"/>
          <w14:ligatures w14:val="none"/>
        </w:rPr>
        <w:t>financial strain on the entire country also hit philanthropy hard.</w:t>
      </w:r>
      <w:r w:rsidR="006175D8" w:rsidRPr="00D909D0">
        <w:rPr>
          <w:rFonts w:eastAsia="Times New Roman" w:cstheme="minorHAnsi"/>
          <w:kern w:val="0"/>
          <w:sz w:val="20"/>
          <w:szCs w:val="20"/>
          <w:lang w:val="en-US"/>
          <w14:ligatures w14:val="none"/>
        </w:rPr>
        <w:t xml:space="preserve"> </w:t>
      </w:r>
      <w:r w:rsidRPr="00D909D0">
        <w:rPr>
          <w:rFonts w:eastAsia="Times New Roman" w:cstheme="minorHAnsi"/>
          <w:kern w:val="0"/>
          <w:sz w:val="20"/>
          <w:szCs w:val="20"/>
          <w:lang w:val="en-US"/>
          <w14:ligatures w14:val="none"/>
        </w:rPr>
        <w:t>The discrepancy between the regions results in the largest score range for the European regions at 1.91</w:t>
      </w:r>
      <w:r w:rsidR="00C21BB7" w:rsidRPr="00D909D0">
        <w:rPr>
          <w:rFonts w:eastAsia="Times New Roman" w:cstheme="minorHAnsi"/>
          <w:kern w:val="0"/>
          <w:sz w:val="20"/>
          <w:szCs w:val="20"/>
          <w:lang w:val="en-US"/>
          <w14:ligatures w14:val="none"/>
        </w:rPr>
        <w:t>, ranging from 3.09 (Balkan Countries) to 5.00 (Northern Europe).</w:t>
      </w:r>
    </w:p>
    <w:p w14:paraId="7CF85ECA" w14:textId="48B3D961" w:rsidR="00C21BB7" w:rsidRPr="00D909D0" w:rsidRDefault="00C21BB7" w:rsidP="00D67A0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6: ECONOMIC ENVIRONMENT SCORES BY REGION, 2018–2020</w:t>
      </w:r>
    </w:p>
    <w:p w14:paraId="5DAA4224" w14:textId="77777777" w:rsidR="00D67A0A" w:rsidRDefault="00D67A0A" w:rsidP="00C21BB7">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4300A1A8" wp14:editId="61B3D259">
            <wp:extent cx="4785360" cy="1615440"/>
            <wp:effectExtent l="0" t="0" r="0" b="3810"/>
            <wp:docPr id="845840409" name="Diagramm 1">
              <a:extLst xmlns:a="http://schemas.openxmlformats.org/drawingml/2006/main">
                <a:ext uri="{FF2B5EF4-FFF2-40B4-BE49-F238E27FC236}">
                  <a16:creationId xmlns:a16="http://schemas.microsoft.com/office/drawing/2014/main" id="{313F06F6-E763-4515-BC47-5A14DE447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66E1EA" w14:textId="4D0243C7" w:rsidR="002D00E8" w:rsidRPr="00F6620D" w:rsidRDefault="002D00E8" w:rsidP="002D00E8">
      <w:pPr>
        <w:rPr>
          <w:rFonts w:cstheme="minorHAnsi"/>
          <w:sz w:val="20"/>
          <w:szCs w:val="20"/>
          <w:lang w:val="en-US"/>
        </w:rPr>
      </w:pPr>
      <w:r>
        <w:rPr>
          <w:rFonts w:cstheme="minorHAnsi"/>
          <w:sz w:val="20"/>
          <w:szCs w:val="20"/>
          <w:lang w:val="en-US"/>
        </w:rPr>
        <w:t>So</w:t>
      </w:r>
      <w:r w:rsidRPr="00F6620D">
        <w:rPr>
          <w:rFonts w:cstheme="minorHAnsi"/>
          <w:sz w:val="20"/>
          <w:szCs w:val="20"/>
          <w:lang w:val="en-US"/>
        </w:rPr>
        <w:t xml:space="preserve">urce: Indiana University Lilly Family School of Philanthropy, </w:t>
      </w:r>
      <w:r w:rsidRPr="00F6620D">
        <w:rPr>
          <w:rFonts w:cstheme="minorHAnsi"/>
          <w:i/>
          <w:iCs/>
          <w:sz w:val="20"/>
          <w:szCs w:val="20"/>
          <w:lang w:val="en-US"/>
        </w:rPr>
        <w:t>2022 Global Philanthropy Environment Index</w:t>
      </w:r>
    </w:p>
    <w:p w14:paraId="2AA9EE56" w14:textId="77777777" w:rsidR="002D00E8" w:rsidRDefault="002D00E8" w:rsidP="00D909D0">
      <w:pPr>
        <w:spacing w:before="100" w:beforeAutospacing="1" w:after="100" w:afterAutospacing="1" w:line="240" w:lineRule="auto"/>
        <w:rPr>
          <w:rFonts w:eastAsia="Times New Roman" w:cstheme="minorHAnsi"/>
          <w:kern w:val="0"/>
          <w:sz w:val="20"/>
          <w:szCs w:val="20"/>
          <w:lang w:val="en-US"/>
          <w14:ligatures w14:val="none"/>
        </w:rPr>
      </w:pPr>
    </w:p>
    <w:p w14:paraId="0D6F4AE0" w14:textId="03A37580" w:rsidR="00A30055" w:rsidRPr="00D909D0" w:rsidRDefault="002D00E8" w:rsidP="00D909D0">
      <w:pPr>
        <w:rPr>
          <w:rFonts w:eastAsia="Times New Roman" w:cstheme="minorHAnsi"/>
          <w:b/>
          <w:bCs/>
          <w:kern w:val="0"/>
          <w:sz w:val="20"/>
          <w:szCs w:val="20"/>
          <w:lang w:val="en-US"/>
          <w14:ligatures w14:val="none"/>
        </w:rPr>
      </w:pPr>
      <w:r w:rsidRPr="00D909D0">
        <w:rPr>
          <w:rFonts w:cstheme="minorHAnsi"/>
          <w:noProof/>
          <w:sz w:val="20"/>
          <w:szCs w:val="20"/>
          <w:lang w:val="en-US"/>
        </w:rPr>
        <mc:AlternateContent>
          <mc:Choice Requires="wps">
            <w:drawing>
              <wp:anchor distT="45720" distB="45720" distL="114300" distR="114300" simplePos="0" relativeHeight="251679744" behindDoc="0" locked="0" layoutInCell="1" allowOverlap="1" wp14:anchorId="6A6B6159" wp14:editId="7F3D0F6D">
                <wp:simplePos x="0" y="0"/>
                <wp:positionH relativeFrom="margin">
                  <wp:align>left</wp:align>
                </wp:positionH>
                <wp:positionV relativeFrom="paragraph">
                  <wp:posOffset>0</wp:posOffset>
                </wp:positionV>
                <wp:extent cx="5715000" cy="12496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9680"/>
                        </a:xfrm>
                        <a:prstGeom prst="rect">
                          <a:avLst/>
                        </a:prstGeom>
                        <a:solidFill>
                          <a:schemeClr val="accent6">
                            <a:lumMod val="20000"/>
                            <a:lumOff val="80000"/>
                          </a:schemeClr>
                        </a:solidFill>
                        <a:ln w="9525">
                          <a:noFill/>
                          <a:miter lim="800000"/>
                          <a:headEnd/>
                          <a:tailEnd/>
                        </a:ln>
                      </wps:spPr>
                      <wps:txbx>
                        <w:txbxContent>
                          <w:p w14:paraId="3EF8C47A" w14:textId="334FAD4F" w:rsidR="00C21BB7" w:rsidRDefault="00E367D1" w:rsidP="00C21BB7">
                            <w:r>
                              <w:rPr>
                                <w:i/>
                                <w:iCs/>
                              </w:rPr>
                              <w:t>“</w:t>
                            </w:r>
                            <w:r w:rsidR="00C21BB7" w:rsidRPr="00C21BB7">
                              <w:rPr>
                                <w:i/>
                                <w:iCs/>
                              </w:rPr>
                              <w:t>Overall, countries in the region have struggled to successfully develop their economies, due to issues such as mismanagement, corruption, and high unemployment. In addition, the COVID-19 pandemic</w:t>
                            </w:r>
                            <w:r w:rsidRPr="00E367D1">
                              <w:rPr>
                                <w:i/>
                                <w:iCs/>
                              </w:rPr>
                              <w:t>—</w:t>
                            </w:r>
                            <w:r w:rsidR="00C21BB7" w:rsidRPr="00C21BB7">
                              <w:rPr>
                                <w:i/>
                                <w:iCs/>
                              </w:rPr>
                              <w:t>and natural disasters such as the 20</w:t>
                            </w:r>
                            <w:r>
                              <w:rPr>
                                <w:i/>
                                <w:iCs/>
                              </w:rPr>
                              <w:t>1</w:t>
                            </w:r>
                            <w:r w:rsidR="00C21BB7" w:rsidRPr="00C21BB7">
                              <w:rPr>
                                <w:i/>
                                <w:iCs/>
                              </w:rPr>
                              <w:t>9 earthquake in Albania and the 2020 earthquakes in Croatia</w:t>
                            </w:r>
                            <w:r w:rsidRPr="00E367D1">
                              <w:rPr>
                                <w:i/>
                                <w:iCs/>
                              </w:rPr>
                              <w:t>—</w:t>
                            </w:r>
                            <w:r w:rsidR="00C21BB7" w:rsidRPr="00C21BB7">
                              <w:rPr>
                                <w:i/>
                                <w:iCs/>
                              </w:rPr>
                              <w:t>exacerbated these problems and hindered the slowly improving economic conditions that countries started to see which has further decreased the space for philanthropy.</w:t>
                            </w:r>
                            <w:r w:rsidR="00C472A3">
                              <w:rPr>
                                <w:i/>
                                <w:iCs/>
                              </w:rPr>
                              <w:t>“</w:t>
                            </w:r>
                            <w:r w:rsidR="00C21BB7" w:rsidRPr="00C21BB7">
                              <w:rPr>
                                <w:i/>
                                <w:iCs/>
                              </w:rPr>
                              <w:t xml:space="preserve"> </w:t>
                            </w:r>
                            <w:r w:rsidR="00C21BB7">
                              <w:t>(</w:t>
                            </w:r>
                            <w:r w:rsidR="00C21BB7" w:rsidRPr="00C21BB7">
                              <w:t>Indiana University Lilly Family School of Philanthropy</w:t>
                            </w:r>
                            <w:r w:rsidR="00C21BB7">
                              <w:t>, 2022, p. 3.)</w:t>
                            </w:r>
                            <w:r w:rsidR="00C21BB7" w:rsidRPr="00B81692">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6159" id="Text Box 2" o:spid="_x0000_s1034" type="#_x0000_t202" style="position:absolute;margin-left:0;margin-top:0;width:450pt;height:98.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" fillcolor="#e2efd9 [665]" stroked="f">
                <v:textbox>
                  <w:txbxContent>
                    <w:p w14:paraId="3EF8C47A" w14:textId="334FAD4F" w:rsidR="00C21BB7" w:rsidRDefault="00E367D1" w:rsidP="00C21BB7">
                      <w:r>
                        <w:rPr>
                          <w:i/>
                          <w:iCs/>
                        </w:rPr>
                        <w:t>“</w:t>
                      </w:r>
                      <w:r w:rsidR="00C21BB7" w:rsidRPr="00C21BB7">
                        <w:rPr>
                          <w:i/>
                          <w:iCs/>
                        </w:rPr>
                        <w:t>Overall, countries in the region have struggled to successfully develop their economies, due to issues such as mismanagement, corruption, and high unemployment. In addition, the COVID-19 pandemic</w:t>
                      </w:r>
                      <w:r w:rsidRPr="00E367D1">
                        <w:rPr>
                          <w:i/>
                          <w:iCs/>
                        </w:rPr>
                        <w:t>—</w:t>
                      </w:r>
                      <w:r w:rsidR="00C21BB7" w:rsidRPr="00C21BB7">
                        <w:rPr>
                          <w:i/>
                          <w:iCs/>
                        </w:rPr>
                        <w:t>and natural disasters such as the 20</w:t>
                      </w:r>
                      <w:r>
                        <w:rPr>
                          <w:i/>
                          <w:iCs/>
                        </w:rPr>
                        <w:t>1</w:t>
                      </w:r>
                      <w:r w:rsidR="00C21BB7" w:rsidRPr="00C21BB7">
                        <w:rPr>
                          <w:i/>
                          <w:iCs/>
                        </w:rPr>
                        <w:t>9 earthquake in Albania and the 2020 earthquakes in Croatia</w:t>
                      </w:r>
                      <w:r w:rsidRPr="00E367D1">
                        <w:rPr>
                          <w:i/>
                          <w:iCs/>
                        </w:rPr>
                        <w:t>—</w:t>
                      </w:r>
                      <w:r w:rsidR="00C21BB7" w:rsidRPr="00C21BB7">
                        <w:rPr>
                          <w:i/>
                          <w:iCs/>
                        </w:rPr>
                        <w:t>exacerbated these problems and hindered the slowly improving economic conditions that countries started to see which has further decreased the space for philanthropy.</w:t>
                      </w:r>
                      <w:r w:rsidR="00C472A3">
                        <w:rPr>
                          <w:i/>
                          <w:iCs/>
                        </w:rPr>
                        <w:t>“</w:t>
                      </w:r>
                      <w:r w:rsidR="00C21BB7" w:rsidRPr="00C21BB7">
                        <w:rPr>
                          <w:i/>
                          <w:iCs/>
                        </w:rPr>
                        <w:t xml:space="preserve"> </w:t>
                      </w:r>
                      <w:r w:rsidR="00C21BB7">
                        <w:t>(</w:t>
                      </w:r>
                      <w:r w:rsidR="00C21BB7" w:rsidRPr="00C21BB7">
                        <w:t>Indiana University Lilly Family School of Philanthropy</w:t>
                      </w:r>
                      <w:r w:rsidR="00C21BB7">
                        <w:t>, 2022, p. 3.)</w:t>
                      </w:r>
                      <w:r w:rsidR="00C21BB7" w:rsidRPr="00B81692">
                        <w:rPr>
                          <w:i/>
                          <w:iCs/>
                        </w:rPr>
                        <w:t xml:space="preserve"> </w:t>
                      </w:r>
                    </w:p>
                  </w:txbxContent>
                </v:textbox>
                <w10:wrap type="square" anchorx="margin"/>
              </v:shape>
            </w:pict>
          </mc:Fallback>
        </mc:AlternateContent>
      </w:r>
    </w:p>
    <w:p w14:paraId="61840EC9" w14:textId="03C56F6E" w:rsidR="00C21BB7" w:rsidRPr="00D909D0" w:rsidRDefault="002D00E8" w:rsidP="00C21BB7">
      <w:pPr>
        <w:pStyle w:val="Heading3"/>
        <w:rPr>
          <w:rFonts w:asciiTheme="minorHAnsi" w:hAnsiTheme="minorHAnsi" w:cstheme="minorHAnsi"/>
          <w:i/>
          <w:iCs/>
          <w:sz w:val="20"/>
          <w:szCs w:val="20"/>
          <w:lang w:val="en-US"/>
        </w:rPr>
      </w:pPr>
      <w:bookmarkStart w:id="12" w:name="_Toc138462039"/>
      <w:r w:rsidRPr="00D909D0">
        <w:rPr>
          <w:rFonts w:asciiTheme="minorHAnsi" w:hAnsiTheme="minorHAnsi" w:cstheme="minorHAnsi"/>
          <w:i/>
          <w:iCs/>
          <w:sz w:val="20"/>
          <w:szCs w:val="20"/>
          <w:lang w:val="en-US"/>
        </w:rPr>
        <w:t xml:space="preserve">4.1.7. </w:t>
      </w:r>
      <w:r w:rsidR="00D67A0A" w:rsidRPr="00D909D0">
        <w:rPr>
          <w:rFonts w:asciiTheme="minorHAnsi" w:hAnsiTheme="minorHAnsi" w:cstheme="minorHAnsi"/>
          <w:i/>
          <w:iCs/>
          <w:sz w:val="20"/>
          <w:szCs w:val="20"/>
          <w:lang w:val="en-US"/>
        </w:rPr>
        <w:t>Socio-</w:t>
      </w:r>
      <w:r w:rsidRPr="00D909D0">
        <w:rPr>
          <w:rFonts w:asciiTheme="minorHAnsi" w:hAnsiTheme="minorHAnsi" w:cstheme="minorHAnsi"/>
          <w:i/>
          <w:iCs/>
          <w:sz w:val="20"/>
          <w:szCs w:val="20"/>
          <w:lang w:val="en-US"/>
        </w:rPr>
        <w:t>c</w:t>
      </w:r>
      <w:r w:rsidR="00D67A0A" w:rsidRPr="00D909D0">
        <w:rPr>
          <w:rFonts w:asciiTheme="minorHAnsi" w:hAnsiTheme="minorHAnsi" w:cstheme="minorHAnsi"/>
          <w:i/>
          <w:iCs/>
          <w:sz w:val="20"/>
          <w:szCs w:val="20"/>
          <w:lang w:val="en-US"/>
        </w:rPr>
        <w:t xml:space="preserve">ultural </w:t>
      </w:r>
      <w:r w:rsidRPr="00D909D0">
        <w:rPr>
          <w:rFonts w:asciiTheme="minorHAnsi" w:hAnsiTheme="minorHAnsi" w:cstheme="minorHAnsi"/>
          <w:i/>
          <w:iCs/>
          <w:sz w:val="20"/>
          <w:szCs w:val="20"/>
          <w:lang w:val="en-US"/>
        </w:rPr>
        <w:t>e</w:t>
      </w:r>
      <w:r w:rsidR="00D67A0A" w:rsidRPr="00D909D0">
        <w:rPr>
          <w:rFonts w:asciiTheme="minorHAnsi" w:hAnsiTheme="minorHAnsi" w:cstheme="minorHAnsi"/>
          <w:i/>
          <w:iCs/>
          <w:sz w:val="20"/>
          <w:szCs w:val="20"/>
          <w:lang w:val="en-US"/>
        </w:rPr>
        <w:t>nvironment</w:t>
      </w:r>
      <w:bookmarkEnd w:id="12"/>
    </w:p>
    <w:p w14:paraId="67B8444E" w14:textId="2F0C0834" w:rsidR="00D67A0A" w:rsidRPr="00D909D0" w:rsidRDefault="00D67A0A" w:rsidP="00D67A0A">
      <w:pPr>
        <w:spacing w:before="100" w:beforeAutospacing="1" w:after="100" w:afterAutospacing="1" w:line="240" w:lineRule="auto"/>
        <w:rPr>
          <w:rFonts w:eastAsia="Times New Roman" w:cstheme="minorHAnsi"/>
          <w:kern w:val="0"/>
          <w:sz w:val="20"/>
          <w:szCs w:val="20"/>
          <w:lang w:val="en-US"/>
          <w14:ligatures w14:val="none"/>
        </w:rPr>
      </w:pPr>
      <w:r w:rsidRPr="00D909D0">
        <w:rPr>
          <w:rFonts w:eastAsia="Times New Roman" w:cstheme="minorHAnsi"/>
          <w:kern w:val="0"/>
          <w:sz w:val="20"/>
          <w:szCs w:val="20"/>
          <w:lang w:val="en-US"/>
          <w14:ligatures w14:val="none"/>
        </w:rPr>
        <w:t>Th</w:t>
      </w:r>
      <w:r w:rsidR="00C21BB7" w:rsidRPr="00D909D0">
        <w:rPr>
          <w:rFonts w:eastAsia="Times New Roman" w:cstheme="minorHAnsi"/>
          <w:kern w:val="0"/>
          <w:sz w:val="20"/>
          <w:szCs w:val="20"/>
          <w:lang w:val="en-US"/>
          <w14:ligatures w14:val="none"/>
        </w:rPr>
        <w:t>e socio-cultural environment</w:t>
      </w:r>
      <w:r w:rsidRPr="00D909D0">
        <w:rPr>
          <w:rFonts w:eastAsia="Times New Roman" w:cstheme="minorHAnsi"/>
          <w:kern w:val="0"/>
          <w:sz w:val="20"/>
          <w:szCs w:val="20"/>
          <w:lang w:val="en-US"/>
          <w14:ligatures w14:val="none"/>
        </w:rPr>
        <w:t xml:space="preserve"> </w:t>
      </w:r>
      <w:r w:rsidR="00C21BB7" w:rsidRPr="00D909D0">
        <w:rPr>
          <w:rFonts w:eastAsia="Times New Roman" w:cstheme="minorHAnsi"/>
          <w:kern w:val="0"/>
          <w:sz w:val="20"/>
          <w:szCs w:val="20"/>
          <w:lang w:val="en-US"/>
          <w14:ligatures w14:val="none"/>
        </w:rPr>
        <w:t xml:space="preserve">factor captures </w:t>
      </w:r>
      <w:r w:rsidRPr="00D909D0">
        <w:rPr>
          <w:rFonts w:eastAsia="Times New Roman" w:cstheme="minorHAnsi"/>
          <w:kern w:val="0"/>
          <w:sz w:val="20"/>
          <w:szCs w:val="20"/>
          <w:lang w:val="en-US"/>
          <w14:ligatures w14:val="none"/>
        </w:rPr>
        <w:t>the level of trust and civic engagement in a region. The global average score is 3.82, while the European average score is 3.86</w:t>
      </w:r>
      <w:r w:rsidR="00C21BB7" w:rsidRPr="00D909D0">
        <w:rPr>
          <w:rFonts w:eastAsia="Times New Roman" w:cstheme="minorHAnsi"/>
          <w:kern w:val="0"/>
          <w:sz w:val="20"/>
          <w:szCs w:val="20"/>
          <w:lang w:val="en-US"/>
          <w14:ligatures w14:val="none"/>
        </w:rPr>
        <w:t xml:space="preserve"> (Figure 7)</w:t>
      </w:r>
      <w:r w:rsidRPr="00D909D0">
        <w:rPr>
          <w:rFonts w:eastAsia="Times New Roman" w:cstheme="minorHAnsi"/>
          <w:kern w:val="0"/>
          <w:sz w:val="20"/>
          <w:szCs w:val="20"/>
          <w:lang w:val="en-US"/>
          <w14:ligatures w14:val="none"/>
        </w:rPr>
        <w:t>. This narrow distance between the Europe</w:t>
      </w:r>
      <w:r w:rsidR="00C21BB7" w:rsidRPr="00D909D0">
        <w:rPr>
          <w:rFonts w:eastAsia="Times New Roman" w:cstheme="minorHAnsi"/>
          <w:kern w:val="0"/>
          <w:sz w:val="20"/>
          <w:szCs w:val="20"/>
          <w:lang w:val="en-US"/>
          <w14:ligatures w14:val="none"/>
        </w:rPr>
        <w:t>an average score</w:t>
      </w:r>
      <w:r w:rsidRPr="00D909D0">
        <w:rPr>
          <w:rFonts w:eastAsia="Times New Roman" w:cstheme="minorHAnsi"/>
          <w:kern w:val="0"/>
          <w:sz w:val="20"/>
          <w:szCs w:val="20"/>
          <w:lang w:val="en-US"/>
          <w14:ligatures w14:val="none"/>
        </w:rPr>
        <w:t xml:space="preserve"> and </w:t>
      </w:r>
      <w:r w:rsidR="00C21BB7" w:rsidRPr="00D909D0">
        <w:rPr>
          <w:rFonts w:eastAsia="Times New Roman" w:cstheme="minorHAnsi"/>
          <w:kern w:val="0"/>
          <w:sz w:val="20"/>
          <w:szCs w:val="20"/>
          <w:lang w:val="en-US"/>
          <w14:ligatures w14:val="none"/>
        </w:rPr>
        <w:t xml:space="preserve">the </w:t>
      </w:r>
      <w:r w:rsidRPr="00D909D0">
        <w:rPr>
          <w:rFonts w:eastAsia="Times New Roman" w:cstheme="minorHAnsi"/>
          <w:kern w:val="0"/>
          <w:sz w:val="20"/>
          <w:szCs w:val="20"/>
          <w:lang w:val="en-US"/>
          <w14:ligatures w14:val="none"/>
        </w:rPr>
        <w:t xml:space="preserve">global </w:t>
      </w:r>
      <w:r w:rsidR="00C21BB7" w:rsidRPr="00D909D0">
        <w:rPr>
          <w:rFonts w:eastAsia="Times New Roman" w:cstheme="minorHAnsi"/>
          <w:kern w:val="0"/>
          <w:sz w:val="20"/>
          <w:szCs w:val="20"/>
          <w:lang w:val="en-US"/>
          <w14:ligatures w14:val="none"/>
        </w:rPr>
        <w:t xml:space="preserve">average </w:t>
      </w:r>
      <w:r w:rsidRPr="00D909D0">
        <w:rPr>
          <w:rFonts w:eastAsia="Times New Roman" w:cstheme="minorHAnsi"/>
          <w:kern w:val="0"/>
          <w:sz w:val="20"/>
          <w:szCs w:val="20"/>
          <w:lang w:val="en-US"/>
          <w14:ligatures w14:val="none"/>
        </w:rPr>
        <w:t xml:space="preserve">score reflects that </w:t>
      </w:r>
      <w:r w:rsidR="00C21BB7" w:rsidRPr="00D909D0">
        <w:rPr>
          <w:rFonts w:eastAsia="Times New Roman" w:cstheme="minorHAnsi"/>
          <w:kern w:val="0"/>
          <w:sz w:val="20"/>
          <w:szCs w:val="20"/>
          <w:lang w:val="en-US"/>
          <w14:ligatures w14:val="none"/>
        </w:rPr>
        <w:t xml:space="preserve">every </w:t>
      </w:r>
      <w:r w:rsidRPr="00D909D0">
        <w:rPr>
          <w:rFonts w:eastAsia="Times New Roman" w:cstheme="minorHAnsi"/>
          <w:kern w:val="0"/>
          <w:sz w:val="20"/>
          <w:szCs w:val="20"/>
          <w:lang w:val="en-US"/>
          <w14:ligatures w14:val="none"/>
        </w:rPr>
        <w:t>region of the world with different types of philanthropy</w:t>
      </w:r>
      <w:r w:rsidR="00C472A3" w:rsidRPr="00D909D0">
        <w:rPr>
          <w:rFonts w:eastAsia="Times New Roman" w:cstheme="minorHAnsi"/>
          <w:kern w:val="0"/>
          <w:sz w:val="20"/>
          <w:szCs w:val="20"/>
          <w:lang w:val="en-US"/>
          <w14:ligatures w14:val="none"/>
        </w:rPr>
        <w:t xml:space="preserve"> has a relatively favorable socio-cultural environment for philanthropy, rooted in traditions, religions, and local cultures</w:t>
      </w:r>
      <w:r w:rsidRPr="00D909D0">
        <w:rPr>
          <w:rFonts w:eastAsia="Times New Roman" w:cstheme="minorHAnsi"/>
          <w:kern w:val="0"/>
          <w:sz w:val="20"/>
          <w:szCs w:val="20"/>
          <w:lang w:val="en-US"/>
          <w14:ligatures w14:val="none"/>
        </w:rPr>
        <w:t xml:space="preserve">. Northern Europe </w:t>
      </w:r>
      <w:r w:rsidR="00C472A3" w:rsidRPr="00D909D0">
        <w:rPr>
          <w:rFonts w:eastAsia="Times New Roman" w:cstheme="minorHAnsi"/>
          <w:kern w:val="0"/>
          <w:sz w:val="20"/>
          <w:szCs w:val="20"/>
          <w:lang w:val="en-US"/>
          <w14:ligatures w14:val="none"/>
        </w:rPr>
        <w:t>scores at</w:t>
      </w:r>
      <w:r w:rsidRPr="00D909D0">
        <w:rPr>
          <w:rFonts w:eastAsia="Times New Roman" w:cstheme="minorHAnsi"/>
          <w:kern w:val="0"/>
          <w:sz w:val="20"/>
          <w:szCs w:val="20"/>
          <w:lang w:val="en-US"/>
          <w14:ligatures w14:val="none"/>
        </w:rPr>
        <w:t xml:space="preserve"> 5.00</w:t>
      </w:r>
      <w:r w:rsidR="00C472A3" w:rsidRPr="00D909D0">
        <w:rPr>
          <w:rFonts w:eastAsia="Times New Roman" w:cstheme="minorHAnsi"/>
          <w:kern w:val="0"/>
          <w:sz w:val="20"/>
          <w:szCs w:val="20"/>
          <w:lang w:val="en-US"/>
          <w14:ligatures w14:val="none"/>
        </w:rPr>
        <w:t xml:space="preserve">. </w:t>
      </w:r>
      <w:r w:rsidR="00CB5BBE" w:rsidRPr="00D909D0">
        <w:rPr>
          <w:rFonts w:eastAsia="Times New Roman" w:cstheme="minorHAnsi"/>
          <w:kern w:val="0"/>
          <w:sz w:val="20"/>
          <w:szCs w:val="20"/>
          <w:lang w:val="en-US"/>
          <w14:ligatures w14:val="none"/>
        </w:rPr>
        <w:t xml:space="preserve">Looking at Denmark, which individually was also ranked </w:t>
      </w:r>
      <w:r w:rsidR="00136E1C" w:rsidRPr="00D909D0">
        <w:rPr>
          <w:rFonts w:eastAsia="Times New Roman" w:cstheme="minorHAnsi"/>
          <w:kern w:val="0"/>
          <w:sz w:val="20"/>
          <w:szCs w:val="20"/>
          <w:lang w:val="en-US"/>
          <w14:ligatures w14:val="none"/>
        </w:rPr>
        <w:t xml:space="preserve">5.00, some key aspects of this culture include high trust in organizations and belief in their contributions, as well as a high propensity to </w:t>
      </w:r>
      <w:r w:rsidR="00150B3E" w:rsidRPr="00D909D0">
        <w:rPr>
          <w:rFonts w:eastAsia="Times New Roman" w:cstheme="minorHAnsi"/>
          <w:kern w:val="0"/>
          <w:sz w:val="20"/>
          <w:szCs w:val="20"/>
          <w:lang w:val="en-US"/>
          <w14:ligatures w14:val="none"/>
        </w:rPr>
        <w:t>actively participate in these organizations. Meanwhile,</w:t>
      </w:r>
      <w:r w:rsidRPr="00D909D0">
        <w:rPr>
          <w:rFonts w:eastAsia="Times New Roman" w:cstheme="minorHAnsi"/>
          <w:kern w:val="0"/>
          <w:sz w:val="20"/>
          <w:szCs w:val="20"/>
          <w:lang w:val="en-US"/>
          <w14:ligatures w14:val="none"/>
        </w:rPr>
        <w:t xml:space="preserve"> Central Europe, the Balkans, and Southern Europe have scores below the global </w:t>
      </w:r>
      <w:r w:rsidR="00C472A3" w:rsidRPr="00D909D0">
        <w:rPr>
          <w:rFonts w:eastAsia="Times New Roman" w:cstheme="minorHAnsi"/>
          <w:kern w:val="0"/>
          <w:sz w:val="20"/>
          <w:szCs w:val="20"/>
          <w:lang w:val="en-US"/>
          <w14:ligatures w14:val="none"/>
        </w:rPr>
        <w:t xml:space="preserve">and continental </w:t>
      </w:r>
      <w:r w:rsidRPr="00D909D0">
        <w:rPr>
          <w:rFonts w:eastAsia="Times New Roman" w:cstheme="minorHAnsi"/>
          <w:kern w:val="0"/>
          <w:sz w:val="20"/>
          <w:szCs w:val="20"/>
          <w:lang w:val="en-US"/>
          <w14:ligatures w14:val="none"/>
        </w:rPr>
        <w:t>average.</w:t>
      </w:r>
      <w:r w:rsidR="0087121F" w:rsidRPr="00D909D0">
        <w:rPr>
          <w:rFonts w:eastAsia="Times New Roman" w:cstheme="minorHAnsi"/>
          <w:kern w:val="0"/>
          <w:sz w:val="20"/>
          <w:szCs w:val="20"/>
          <w:lang w:val="en-US"/>
          <w14:ligatures w14:val="none"/>
        </w:rPr>
        <w:t xml:space="preserve"> </w:t>
      </w:r>
      <w:r w:rsidR="001A7D2C" w:rsidRPr="00D909D0">
        <w:rPr>
          <w:rFonts w:eastAsia="Times New Roman" w:cstheme="minorHAnsi"/>
          <w:kern w:val="0"/>
          <w:sz w:val="20"/>
          <w:szCs w:val="20"/>
          <w:lang w:val="en-US"/>
          <w14:ligatures w14:val="none"/>
        </w:rPr>
        <w:t xml:space="preserve">Some issues mentioned across the regions include a lack of understanding </w:t>
      </w:r>
      <w:r w:rsidR="00E367D1" w:rsidRPr="00D909D0">
        <w:rPr>
          <w:rFonts w:eastAsia="Times New Roman" w:cstheme="minorHAnsi"/>
          <w:kern w:val="0"/>
          <w:sz w:val="20"/>
          <w:szCs w:val="20"/>
          <w:lang w:val="en-US"/>
          <w14:ligatures w14:val="none"/>
        </w:rPr>
        <w:t>of</w:t>
      </w:r>
      <w:r w:rsidR="001A7D2C" w:rsidRPr="00D909D0">
        <w:rPr>
          <w:rFonts w:eastAsia="Times New Roman" w:cstheme="minorHAnsi"/>
          <w:kern w:val="0"/>
          <w:sz w:val="20"/>
          <w:szCs w:val="20"/>
          <w:lang w:val="en-US"/>
          <w14:ligatures w14:val="none"/>
        </w:rPr>
        <w:t xml:space="preserve"> the </w:t>
      </w:r>
      <w:r w:rsidR="00A50E58" w:rsidRPr="00D909D0">
        <w:rPr>
          <w:rFonts w:eastAsia="Times New Roman" w:cstheme="minorHAnsi"/>
          <w:kern w:val="0"/>
          <w:sz w:val="20"/>
          <w:szCs w:val="20"/>
          <w:lang w:val="en-US"/>
          <w14:ligatures w14:val="none"/>
        </w:rPr>
        <w:t xml:space="preserve">work of philanthropic organizations and how it contributes to society, as well as a lack of trust </w:t>
      </w:r>
      <w:r w:rsidR="00351603" w:rsidRPr="00D909D0">
        <w:rPr>
          <w:rFonts w:eastAsia="Times New Roman" w:cstheme="minorHAnsi"/>
          <w:kern w:val="0"/>
          <w:sz w:val="20"/>
          <w:szCs w:val="20"/>
          <w:lang w:val="en-US"/>
          <w14:ligatures w14:val="none"/>
        </w:rPr>
        <w:t xml:space="preserve">for more formal forms of philanthropy. Philanthropic organizations also struggle to build sustainable levels of funding, which can result in them </w:t>
      </w:r>
      <w:r w:rsidR="00E95EA0" w:rsidRPr="00D909D0">
        <w:rPr>
          <w:rFonts w:eastAsia="Times New Roman" w:cstheme="minorHAnsi"/>
          <w:kern w:val="0"/>
          <w:sz w:val="20"/>
          <w:szCs w:val="20"/>
          <w:lang w:val="en-US"/>
          <w14:ligatures w14:val="none"/>
        </w:rPr>
        <w:t xml:space="preserve">becoming dependent on state funding to operate. This can also raise questions about their </w:t>
      </w:r>
      <w:r w:rsidR="00C472A3" w:rsidRPr="00D909D0">
        <w:rPr>
          <w:rFonts w:eastAsia="Times New Roman" w:cstheme="minorHAnsi"/>
          <w:kern w:val="0"/>
          <w:sz w:val="20"/>
          <w:szCs w:val="20"/>
          <w:lang w:val="en-US"/>
          <w14:ligatures w14:val="none"/>
        </w:rPr>
        <w:t xml:space="preserve">operations and </w:t>
      </w:r>
      <w:r w:rsidR="00E95EA0" w:rsidRPr="00D909D0">
        <w:rPr>
          <w:rFonts w:eastAsia="Times New Roman" w:cstheme="minorHAnsi"/>
          <w:kern w:val="0"/>
          <w:sz w:val="20"/>
          <w:szCs w:val="20"/>
          <w:lang w:val="en-US"/>
          <w14:ligatures w14:val="none"/>
        </w:rPr>
        <w:t>goals</w:t>
      </w:r>
      <w:r w:rsidR="00DB7BE8" w:rsidRPr="00D909D0">
        <w:rPr>
          <w:rFonts w:eastAsia="Times New Roman" w:cstheme="minorHAnsi"/>
          <w:kern w:val="0"/>
          <w:sz w:val="20"/>
          <w:szCs w:val="20"/>
          <w:lang w:val="en-US"/>
          <w14:ligatures w14:val="none"/>
        </w:rPr>
        <w:t>.</w:t>
      </w:r>
    </w:p>
    <w:p w14:paraId="54963D8B" w14:textId="69D13009" w:rsidR="00C472A3" w:rsidRPr="00D909D0" w:rsidRDefault="00C472A3" w:rsidP="00D67A0A">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Figure 7: SOCIO-CULTURAL ENVIRONMENT SCORES BY REGION, 2018–2020</w:t>
      </w:r>
    </w:p>
    <w:p w14:paraId="23214D63" w14:textId="77777777" w:rsidR="00D67A0A" w:rsidRPr="00D909D0" w:rsidRDefault="00D67A0A" w:rsidP="00C472A3">
      <w:pPr>
        <w:spacing w:before="100" w:beforeAutospacing="1" w:after="100" w:afterAutospacing="1" w:line="240" w:lineRule="auto"/>
        <w:jc w:val="center"/>
        <w:rPr>
          <w:rFonts w:eastAsia="Times New Roman" w:cstheme="minorHAnsi"/>
          <w:kern w:val="0"/>
          <w:sz w:val="20"/>
          <w:szCs w:val="20"/>
          <w:lang w:val="en-US"/>
          <w14:ligatures w14:val="none"/>
        </w:rPr>
      </w:pPr>
      <w:r w:rsidRPr="00D909D0">
        <w:rPr>
          <w:rFonts w:cstheme="minorHAnsi"/>
          <w:noProof/>
          <w:sz w:val="20"/>
          <w:szCs w:val="20"/>
          <w:lang w:val="en-US"/>
        </w:rPr>
        <w:drawing>
          <wp:inline distT="0" distB="0" distL="0" distR="0" wp14:anchorId="4E4C3309" wp14:editId="5075F7B8">
            <wp:extent cx="4930140" cy="1752600"/>
            <wp:effectExtent l="0" t="0" r="3810" b="0"/>
            <wp:docPr id="367939649" name="Diagramm 1">
              <a:extLst xmlns:a="http://schemas.openxmlformats.org/drawingml/2006/main">
                <a:ext uri="{FF2B5EF4-FFF2-40B4-BE49-F238E27FC236}">
                  <a16:creationId xmlns:a16="http://schemas.microsoft.com/office/drawing/2014/main" id="{AD640B94-570A-4CB5-B5D1-5B66E5488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87FB5C" w14:textId="1C946B1E" w:rsidR="00A30055" w:rsidRPr="00D909D0" w:rsidRDefault="00466567" w:rsidP="00D909D0">
      <w:pPr>
        <w:rPr>
          <w:rFonts w:eastAsia="Times New Roman" w:cstheme="minorHAnsi"/>
          <w:kern w:val="0"/>
          <w:sz w:val="20"/>
          <w:szCs w:val="20"/>
          <w:lang w:val="en-US"/>
          <w14:ligatures w14:val="none"/>
        </w:rPr>
      </w:pPr>
      <w:r w:rsidRPr="00D909D0">
        <w:rPr>
          <w:rFonts w:cstheme="minorHAnsi"/>
          <w:noProof/>
          <w:sz w:val="20"/>
          <w:szCs w:val="20"/>
          <w:lang w:val="en-US"/>
        </w:rPr>
        <mc:AlternateContent>
          <mc:Choice Requires="wps">
            <w:drawing>
              <wp:anchor distT="45720" distB="45720" distL="114300" distR="114300" simplePos="0" relativeHeight="251681792" behindDoc="0" locked="0" layoutInCell="1" allowOverlap="1" wp14:anchorId="6DBDF734" wp14:editId="5F2D96B0">
                <wp:simplePos x="0" y="0"/>
                <wp:positionH relativeFrom="margin">
                  <wp:align>left</wp:align>
                </wp:positionH>
                <wp:positionV relativeFrom="paragraph">
                  <wp:posOffset>382270</wp:posOffset>
                </wp:positionV>
                <wp:extent cx="5715000" cy="14935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3520"/>
                        </a:xfrm>
                        <a:prstGeom prst="rect">
                          <a:avLst/>
                        </a:prstGeom>
                        <a:solidFill>
                          <a:schemeClr val="accent6">
                            <a:lumMod val="20000"/>
                            <a:lumOff val="80000"/>
                          </a:schemeClr>
                        </a:solidFill>
                        <a:ln w="9525">
                          <a:noFill/>
                          <a:miter lim="800000"/>
                          <a:headEnd/>
                          <a:tailEnd/>
                        </a:ln>
                      </wps:spPr>
                      <wps:txbx>
                        <w:txbxContent>
                          <w:p w14:paraId="67162361" w14:textId="12B872FD" w:rsidR="00C472A3" w:rsidRDefault="00E367D1" w:rsidP="00C472A3">
                            <w:r>
                              <w:rPr>
                                <w:i/>
                                <w:iCs/>
                              </w:rPr>
                              <w:t>“</w:t>
                            </w:r>
                            <w:r w:rsidR="00C472A3" w:rsidRPr="00C472A3">
                              <w:rPr>
                                <w:i/>
                                <w:iCs/>
                              </w:rPr>
                              <w:t>The high dependence on government money can be a problem for some parts of the philanthropic/nonprofit sector (especially service organizations). This danger is greater when there is not widespread support for private philanthropy and giving in a particular country. A major problem is the low awareness of the real nature of nonprofit organizations—their motives, their goals, and their contributions to society. Many people believe that their activities are not sustainable. The general public can be described as poorly informed, but a significant part of the political representation and public administration.</w:t>
                            </w:r>
                            <w:r w:rsidR="00C472A3">
                              <w:rPr>
                                <w:i/>
                                <w:iCs/>
                              </w:rPr>
                              <w:t xml:space="preserve">“ </w:t>
                            </w:r>
                            <w:r w:rsidR="00C472A3">
                              <w:t>(</w:t>
                            </w:r>
                            <w:r w:rsidR="00C472A3" w:rsidRPr="00C21BB7">
                              <w:t>Hyánek</w:t>
                            </w:r>
                            <w:r w:rsidR="00C472A3">
                              <w:t>, 2022, p. 7.)</w:t>
                            </w:r>
                            <w:r w:rsidR="00C472A3" w:rsidRPr="00B81692">
                              <w:rPr>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F734" id="Text Box 1" o:spid="_x0000_s1035" type="#_x0000_t202" style="position:absolute;margin-left:0;margin-top:30.1pt;width:450pt;height:117.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" fillcolor="#e2efd9 [665]" stroked="f">
                <v:textbox>
                  <w:txbxContent>
                    <w:p w14:paraId="67162361" w14:textId="12B872FD" w:rsidR="00C472A3" w:rsidRDefault="00E367D1" w:rsidP="00C472A3">
                      <w:r>
                        <w:rPr>
                          <w:i/>
                          <w:iCs/>
                        </w:rPr>
                        <w:t>“</w:t>
                      </w:r>
                      <w:r w:rsidR="00C472A3" w:rsidRPr="00C472A3">
                        <w:rPr>
                          <w:i/>
                          <w:iCs/>
                        </w:rPr>
                        <w:t>The high dependence on government money can be a problem for some parts of the philanthropic/nonprofit sector (especially service organizations). This danger is greater when there is not widespread support for private philanthropy and giving in a particular country. A major problem is the low awareness of the real nature of nonprofit organizations—their motives, their goals, and their contributions to society. Many people believe that their activities are not sustainable. The general public can be described as poorly informed, but a significant part of the political representation and public administration.</w:t>
                      </w:r>
                      <w:r w:rsidR="00C472A3">
                        <w:rPr>
                          <w:i/>
                          <w:iCs/>
                        </w:rPr>
                        <w:t xml:space="preserve">“ </w:t>
                      </w:r>
                      <w:r w:rsidR="00C472A3">
                        <w:t>(</w:t>
                      </w:r>
                      <w:r w:rsidR="00C472A3" w:rsidRPr="00C21BB7">
                        <w:t>Hyánek</w:t>
                      </w:r>
                      <w:r w:rsidR="00C472A3">
                        <w:t>, 2022, p. 7.)</w:t>
                      </w:r>
                      <w:r w:rsidR="00C472A3" w:rsidRPr="00B81692">
                        <w:rPr>
                          <w:i/>
                          <w:iCs/>
                        </w:rPr>
                        <w:t xml:space="preserve"> </w:t>
                      </w:r>
                    </w:p>
                  </w:txbxContent>
                </v:textbox>
                <w10:wrap type="square" anchorx="margin"/>
              </v:shape>
            </w:pict>
          </mc:Fallback>
        </mc:AlternateContent>
      </w:r>
      <w:r w:rsidR="00A30055" w:rsidRPr="00D909D0">
        <w:rPr>
          <w:rFonts w:cstheme="minorHAnsi"/>
          <w:sz w:val="20"/>
          <w:szCs w:val="20"/>
          <w:lang w:val="en-US"/>
        </w:rPr>
        <w:t xml:space="preserve">Source: Indiana University Lilly Family School of Philanthropy, </w:t>
      </w:r>
      <w:r w:rsidR="00A30055" w:rsidRPr="00D909D0">
        <w:rPr>
          <w:rFonts w:cstheme="minorHAnsi"/>
          <w:i/>
          <w:iCs/>
          <w:sz w:val="20"/>
          <w:szCs w:val="20"/>
          <w:lang w:val="en-US"/>
        </w:rPr>
        <w:t>2022 Global Philanthropy Environment Index</w:t>
      </w:r>
    </w:p>
    <w:p w14:paraId="4CB83AA9" w14:textId="31610AFF" w:rsidR="00C472A3" w:rsidRPr="00D909D0" w:rsidRDefault="00D67A0A">
      <w:pPr>
        <w:rPr>
          <w:rFonts w:eastAsiaTheme="majorEastAsia" w:cstheme="minorHAnsi"/>
          <w:color w:val="2F5496" w:themeColor="accent1" w:themeShade="BF"/>
          <w:sz w:val="20"/>
          <w:szCs w:val="20"/>
          <w:lang w:val="en-US"/>
        </w:rPr>
      </w:pPr>
      <w:r w:rsidRPr="00D909D0">
        <w:rPr>
          <w:rFonts w:eastAsia="Times New Roman" w:cstheme="minorHAnsi"/>
          <w:kern w:val="0"/>
          <w:sz w:val="20"/>
          <w:szCs w:val="20"/>
          <w:lang w:val="en-US"/>
          <w14:ligatures w14:val="none"/>
        </w:rPr>
        <w:t>Overall, t</w:t>
      </w:r>
      <w:r w:rsidR="00C472A3" w:rsidRPr="00D909D0">
        <w:rPr>
          <w:rFonts w:eastAsia="Times New Roman" w:cstheme="minorHAnsi"/>
          <w:kern w:val="0"/>
          <w:sz w:val="20"/>
          <w:szCs w:val="20"/>
          <w:lang w:val="en-US"/>
          <w14:ligatures w14:val="none"/>
        </w:rPr>
        <w:t xml:space="preserve">he regional scores </w:t>
      </w:r>
      <w:r w:rsidRPr="00D909D0">
        <w:rPr>
          <w:rFonts w:eastAsia="Times New Roman" w:cstheme="minorHAnsi"/>
          <w:kern w:val="0"/>
          <w:sz w:val="20"/>
          <w:szCs w:val="20"/>
          <w:lang w:val="en-US"/>
          <w14:ligatures w14:val="none"/>
        </w:rPr>
        <w:t>indicate that although there is work to do</w:t>
      </w:r>
      <w:r w:rsidR="00C472A3" w:rsidRPr="00D909D0">
        <w:rPr>
          <w:rFonts w:eastAsia="Times New Roman" w:cstheme="minorHAnsi"/>
          <w:kern w:val="0"/>
          <w:sz w:val="20"/>
          <w:szCs w:val="20"/>
          <w:lang w:val="en-US"/>
          <w14:ligatures w14:val="none"/>
        </w:rPr>
        <w:t xml:space="preserve"> in the Eastern part of the continent</w:t>
      </w:r>
      <w:r w:rsidRPr="00D909D0">
        <w:rPr>
          <w:rFonts w:eastAsia="Times New Roman" w:cstheme="minorHAnsi"/>
          <w:kern w:val="0"/>
          <w:sz w:val="20"/>
          <w:szCs w:val="20"/>
          <w:lang w:val="en-US"/>
          <w14:ligatures w14:val="none"/>
        </w:rPr>
        <w:t>, regions</w:t>
      </w:r>
      <w:r w:rsidR="00466567" w:rsidRPr="00D909D0">
        <w:rPr>
          <w:rFonts w:eastAsia="Times New Roman" w:cstheme="minorHAnsi"/>
          <w:kern w:val="0"/>
          <w:sz w:val="20"/>
          <w:szCs w:val="20"/>
          <w:lang w:val="en-US"/>
          <w14:ligatures w14:val="none"/>
        </w:rPr>
        <w:t>—</w:t>
      </w:r>
      <w:r w:rsidR="00C472A3" w:rsidRPr="00D909D0">
        <w:rPr>
          <w:rFonts w:eastAsia="Times New Roman" w:cstheme="minorHAnsi"/>
          <w:kern w:val="0"/>
          <w:sz w:val="20"/>
          <w:szCs w:val="20"/>
          <w:lang w:val="en-US"/>
          <w14:ligatures w14:val="none"/>
        </w:rPr>
        <w:t>such as the Balkan Countries, Central Europe, and Southern Europe</w:t>
      </w:r>
      <w:r w:rsidR="00466567" w:rsidRPr="00D909D0">
        <w:rPr>
          <w:rFonts w:eastAsia="Times New Roman" w:cstheme="minorHAnsi"/>
          <w:kern w:val="0"/>
          <w:sz w:val="20"/>
          <w:szCs w:val="20"/>
          <w:lang w:val="en-US"/>
          <w14:ligatures w14:val="none"/>
        </w:rPr>
        <w:t>—</w:t>
      </w:r>
      <w:r w:rsidRPr="00D909D0">
        <w:rPr>
          <w:rFonts w:eastAsia="Times New Roman" w:cstheme="minorHAnsi"/>
          <w:kern w:val="0"/>
          <w:sz w:val="20"/>
          <w:szCs w:val="20"/>
          <w:lang w:val="en-US"/>
          <w14:ligatures w14:val="none"/>
        </w:rPr>
        <w:t xml:space="preserve">have promoted certain aspects of the enabling environment for philanthropy well. Particularly, the scores for </w:t>
      </w:r>
      <w:r w:rsidR="00B05797" w:rsidRPr="00D909D0">
        <w:rPr>
          <w:rFonts w:eastAsia="Times New Roman" w:cstheme="minorHAnsi"/>
          <w:kern w:val="0"/>
          <w:sz w:val="20"/>
          <w:szCs w:val="20"/>
          <w:lang w:val="en-US"/>
          <w14:ligatures w14:val="none"/>
        </w:rPr>
        <w:t xml:space="preserve">ease of operating </w:t>
      </w:r>
      <w:r w:rsidR="00C472A3" w:rsidRPr="00D909D0">
        <w:rPr>
          <w:rFonts w:eastAsia="Times New Roman" w:cstheme="minorHAnsi"/>
          <w:kern w:val="0"/>
          <w:sz w:val="20"/>
          <w:szCs w:val="20"/>
          <w:lang w:val="en-US"/>
          <w14:ligatures w14:val="none"/>
        </w:rPr>
        <w:t xml:space="preserve">a philanthropic organization </w:t>
      </w:r>
      <w:r w:rsidR="00B05797" w:rsidRPr="00D909D0">
        <w:rPr>
          <w:rFonts w:eastAsia="Times New Roman" w:cstheme="minorHAnsi"/>
          <w:kern w:val="0"/>
          <w:sz w:val="20"/>
          <w:szCs w:val="20"/>
          <w:lang w:val="en-US"/>
          <w14:ligatures w14:val="none"/>
        </w:rPr>
        <w:t>and cross-border philanthropic flows</w:t>
      </w:r>
      <w:r w:rsidRPr="00D909D0">
        <w:rPr>
          <w:rFonts w:eastAsia="Times New Roman" w:cstheme="minorHAnsi"/>
          <w:kern w:val="0"/>
          <w:sz w:val="20"/>
          <w:szCs w:val="20"/>
          <w:lang w:val="en-US"/>
          <w14:ligatures w14:val="none"/>
        </w:rPr>
        <w:t xml:space="preserve"> stand out as they are the two areas where all of the regions scored better than the global average. On the other hand, </w:t>
      </w:r>
      <w:r w:rsidR="00C472A3" w:rsidRPr="00D909D0">
        <w:rPr>
          <w:rFonts w:eastAsia="Times New Roman" w:cstheme="minorHAnsi"/>
          <w:kern w:val="0"/>
          <w:sz w:val="20"/>
          <w:szCs w:val="20"/>
          <w:lang w:val="en-US"/>
          <w14:ligatures w14:val="none"/>
        </w:rPr>
        <w:t xml:space="preserve">the economic environment and the </w:t>
      </w:r>
      <w:r w:rsidR="00B05797" w:rsidRPr="00D909D0">
        <w:rPr>
          <w:rFonts w:eastAsia="Times New Roman" w:cstheme="minorHAnsi"/>
          <w:kern w:val="0"/>
          <w:sz w:val="20"/>
          <w:szCs w:val="20"/>
          <w:lang w:val="en-US"/>
          <w14:ligatures w14:val="none"/>
        </w:rPr>
        <w:t xml:space="preserve">socio-cultural environment </w:t>
      </w:r>
      <w:r w:rsidRPr="00D909D0">
        <w:rPr>
          <w:rFonts w:eastAsia="Times New Roman" w:cstheme="minorHAnsi"/>
          <w:kern w:val="0"/>
          <w:sz w:val="20"/>
          <w:szCs w:val="20"/>
          <w:lang w:val="en-US"/>
          <w14:ligatures w14:val="none"/>
        </w:rPr>
        <w:t>show</w:t>
      </w:r>
      <w:r w:rsidR="00C472A3" w:rsidRPr="00D909D0">
        <w:rPr>
          <w:rFonts w:eastAsia="Times New Roman" w:cstheme="minorHAnsi"/>
          <w:kern w:val="0"/>
          <w:sz w:val="20"/>
          <w:szCs w:val="20"/>
          <w:lang w:val="en-US"/>
          <w14:ligatures w14:val="none"/>
        </w:rPr>
        <w:t xml:space="preserve"> that the Eastern part of the continent has a much less favorable environment than the West</w:t>
      </w:r>
      <w:r w:rsidRPr="00D909D0">
        <w:rPr>
          <w:rFonts w:eastAsia="Times New Roman" w:cstheme="minorHAnsi"/>
          <w:kern w:val="0"/>
          <w:sz w:val="20"/>
          <w:szCs w:val="20"/>
          <w:lang w:val="en-US"/>
          <w14:ligatures w14:val="none"/>
        </w:rPr>
        <w:t>.</w:t>
      </w:r>
    </w:p>
    <w:p w14:paraId="7085B337" w14:textId="70D281A9" w:rsidR="007A33F4" w:rsidRPr="00D909D0" w:rsidRDefault="00A03D37" w:rsidP="00D909D0">
      <w:pPr>
        <w:pStyle w:val="Heading2"/>
        <w:numPr>
          <w:ilvl w:val="1"/>
          <w:numId w:val="13"/>
        </w:numPr>
        <w:rPr>
          <w:rFonts w:asciiTheme="minorHAnsi" w:hAnsiTheme="minorHAnsi" w:cstheme="minorHAnsi"/>
          <w:i/>
          <w:iCs/>
          <w:sz w:val="20"/>
          <w:szCs w:val="20"/>
          <w:lang w:val="en-US"/>
        </w:rPr>
      </w:pPr>
      <w:bookmarkStart w:id="13" w:name="_Toc138462040"/>
      <w:r w:rsidRPr="00D909D0">
        <w:rPr>
          <w:rFonts w:asciiTheme="minorHAnsi" w:hAnsiTheme="minorHAnsi" w:cstheme="minorHAnsi"/>
          <w:i/>
          <w:iCs/>
          <w:sz w:val="20"/>
          <w:szCs w:val="20"/>
          <w:lang w:val="en-US"/>
        </w:rPr>
        <w:t xml:space="preserve">Regional </w:t>
      </w:r>
      <w:r w:rsidR="00D341D3">
        <w:rPr>
          <w:rFonts w:asciiTheme="minorHAnsi" w:hAnsiTheme="minorHAnsi" w:cstheme="minorHAnsi"/>
          <w:i/>
          <w:iCs/>
          <w:sz w:val="20"/>
          <w:szCs w:val="20"/>
          <w:lang w:val="en-US"/>
        </w:rPr>
        <w:t>c</w:t>
      </w:r>
      <w:r w:rsidRPr="00D909D0">
        <w:rPr>
          <w:rFonts w:asciiTheme="minorHAnsi" w:hAnsiTheme="minorHAnsi" w:cstheme="minorHAnsi"/>
          <w:i/>
          <w:iCs/>
          <w:sz w:val="20"/>
          <w:szCs w:val="20"/>
          <w:lang w:val="en-US"/>
        </w:rPr>
        <w:t xml:space="preserve">hanges by </w:t>
      </w:r>
      <w:r w:rsidR="00D341D3">
        <w:rPr>
          <w:rFonts w:asciiTheme="minorHAnsi" w:hAnsiTheme="minorHAnsi" w:cstheme="minorHAnsi"/>
          <w:i/>
          <w:iCs/>
          <w:sz w:val="20"/>
          <w:szCs w:val="20"/>
          <w:lang w:val="en-US"/>
        </w:rPr>
        <w:t>f</w:t>
      </w:r>
      <w:r w:rsidRPr="00D909D0">
        <w:rPr>
          <w:rFonts w:asciiTheme="minorHAnsi" w:hAnsiTheme="minorHAnsi" w:cstheme="minorHAnsi"/>
          <w:i/>
          <w:iCs/>
          <w:sz w:val="20"/>
          <w:szCs w:val="20"/>
          <w:lang w:val="en-US"/>
        </w:rPr>
        <w:t>actor between 2014–2017 and 2018–2020</w:t>
      </w:r>
      <w:bookmarkEnd w:id="13"/>
    </w:p>
    <w:p w14:paraId="41ABB468" w14:textId="6D47A3D6" w:rsidR="00C63622" w:rsidRPr="00D909D0" w:rsidRDefault="00C63622" w:rsidP="00C63622">
      <w:pPr>
        <w:rPr>
          <w:rFonts w:cstheme="minorHAnsi"/>
          <w:sz w:val="20"/>
          <w:szCs w:val="20"/>
          <w:lang w:val="en-US"/>
        </w:rPr>
      </w:pPr>
      <w:r w:rsidRPr="00D909D0">
        <w:rPr>
          <w:rFonts w:cstheme="minorHAnsi"/>
          <w:sz w:val="20"/>
          <w:szCs w:val="20"/>
          <w:lang w:val="en-US"/>
        </w:rPr>
        <w:t xml:space="preserve">The </w:t>
      </w:r>
      <w:r w:rsidR="00E367D1" w:rsidRPr="00D909D0">
        <w:rPr>
          <w:rFonts w:cstheme="minorHAnsi"/>
          <w:sz w:val="20"/>
          <w:szCs w:val="20"/>
          <w:lang w:val="en-US"/>
        </w:rPr>
        <w:t>following</w:t>
      </w:r>
      <w:r w:rsidRPr="00D909D0">
        <w:rPr>
          <w:rFonts w:cstheme="minorHAnsi"/>
          <w:sz w:val="20"/>
          <w:szCs w:val="20"/>
          <w:lang w:val="en-US"/>
        </w:rPr>
        <w:t xml:space="preserve"> section</w:t>
      </w:r>
      <w:r w:rsidR="00E367D1" w:rsidRPr="00D909D0">
        <w:rPr>
          <w:rFonts w:cstheme="minorHAnsi"/>
          <w:sz w:val="20"/>
          <w:szCs w:val="20"/>
          <w:lang w:val="en-US"/>
        </w:rPr>
        <w:t xml:space="preserve"> details</w:t>
      </w:r>
      <w:r w:rsidRPr="00D909D0">
        <w:rPr>
          <w:rFonts w:cstheme="minorHAnsi"/>
          <w:sz w:val="20"/>
          <w:szCs w:val="20"/>
          <w:lang w:val="en-US"/>
        </w:rPr>
        <w:t xml:space="preserve"> how the European philanthropic landscape has changed over time by comparing the philanthropic environment of 3</w:t>
      </w:r>
      <w:r w:rsidR="00937F2D" w:rsidRPr="00D909D0">
        <w:rPr>
          <w:rFonts w:cstheme="minorHAnsi"/>
          <w:sz w:val="20"/>
          <w:szCs w:val="20"/>
          <w:lang w:val="en-US"/>
        </w:rPr>
        <w:t>0 European</w:t>
      </w:r>
      <w:r w:rsidRPr="00D909D0">
        <w:rPr>
          <w:rFonts w:cstheme="minorHAnsi"/>
          <w:sz w:val="20"/>
          <w:szCs w:val="20"/>
          <w:lang w:val="en-US"/>
        </w:rPr>
        <w:t xml:space="preserve"> countries</w:t>
      </w:r>
      <w:r w:rsidR="00937F2D" w:rsidRPr="00D909D0">
        <w:rPr>
          <w:rStyle w:val="FootnoteReference"/>
          <w:rFonts w:cstheme="minorHAnsi"/>
          <w:sz w:val="20"/>
          <w:szCs w:val="20"/>
          <w:lang w:val="en-US"/>
        </w:rPr>
        <w:footnoteReference w:id="2"/>
      </w:r>
      <w:r w:rsidRPr="00D909D0">
        <w:rPr>
          <w:rFonts w:cstheme="minorHAnsi"/>
          <w:sz w:val="20"/>
          <w:szCs w:val="20"/>
          <w:lang w:val="en-US"/>
        </w:rPr>
        <w:t xml:space="preserve"> between the </w:t>
      </w:r>
      <w:r w:rsidR="0064517C" w:rsidRPr="00D909D0">
        <w:rPr>
          <w:rFonts w:cstheme="minorHAnsi"/>
          <w:sz w:val="20"/>
          <w:szCs w:val="20"/>
          <w:lang w:val="en-US"/>
        </w:rPr>
        <w:t>2014–2017</w:t>
      </w:r>
      <w:r w:rsidRPr="00D909D0">
        <w:rPr>
          <w:rFonts w:cstheme="minorHAnsi"/>
          <w:sz w:val="20"/>
          <w:szCs w:val="20"/>
          <w:lang w:val="en-US"/>
        </w:rPr>
        <w:t xml:space="preserve"> time period and the 2018</w:t>
      </w:r>
      <w:r w:rsidR="0064517C" w:rsidRPr="00D909D0">
        <w:rPr>
          <w:rFonts w:cstheme="minorHAnsi"/>
          <w:sz w:val="20"/>
          <w:szCs w:val="20"/>
          <w:lang w:val="en-US"/>
        </w:rPr>
        <w:t>–</w:t>
      </w:r>
      <w:r w:rsidRPr="00D909D0">
        <w:rPr>
          <w:rFonts w:cstheme="minorHAnsi"/>
          <w:sz w:val="20"/>
          <w:szCs w:val="20"/>
          <w:lang w:val="en-US"/>
        </w:rPr>
        <w:t>2020 time period.</w:t>
      </w:r>
    </w:p>
    <w:p w14:paraId="36E4A1A2" w14:textId="7AFB5BD5" w:rsidR="00C63622" w:rsidRPr="00D909D0" w:rsidRDefault="00937F2D" w:rsidP="00C63622">
      <w:pPr>
        <w:rPr>
          <w:rFonts w:cstheme="minorHAnsi"/>
          <w:sz w:val="20"/>
          <w:szCs w:val="20"/>
          <w:lang w:val="en-US"/>
        </w:rPr>
      </w:pPr>
      <w:r w:rsidRPr="00D909D0">
        <w:rPr>
          <w:rFonts w:cstheme="minorHAnsi"/>
          <w:sz w:val="20"/>
          <w:szCs w:val="20"/>
          <w:lang w:val="en-US"/>
        </w:rPr>
        <w:t>The overall score increased from 3.99 to 4.09 between 2014</w:t>
      </w:r>
      <w:r w:rsidR="0064517C" w:rsidRPr="00D909D0">
        <w:rPr>
          <w:rFonts w:cstheme="minorHAnsi"/>
          <w:sz w:val="20"/>
          <w:szCs w:val="20"/>
          <w:lang w:val="en-US"/>
        </w:rPr>
        <w:t>–</w:t>
      </w:r>
      <w:r w:rsidRPr="00D909D0">
        <w:rPr>
          <w:rFonts w:cstheme="minorHAnsi"/>
          <w:sz w:val="20"/>
          <w:szCs w:val="20"/>
          <w:lang w:val="en-US"/>
        </w:rPr>
        <w:t>2017 and 2018</w:t>
      </w:r>
      <w:r w:rsidR="0064517C" w:rsidRPr="00D909D0">
        <w:rPr>
          <w:rFonts w:cstheme="minorHAnsi"/>
          <w:sz w:val="20"/>
          <w:szCs w:val="20"/>
          <w:lang w:val="en-US"/>
        </w:rPr>
        <w:t>–</w:t>
      </w:r>
      <w:r w:rsidRPr="00D909D0">
        <w:rPr>
          <w:rFonts w:cstheme="minorHAnsi"/>
          <w:sz w:val="20"/>
          <w:szCs w:val="20"/>
          <w:lang w:val="en-US"/>
        </w:rPr>
        <w:t>2020. Four of</w:t>
      </w:r>
      <w:r w:rsidR="00C63622" w:rsidRPr="00D909D0">
        <w:rPr>
          <w:rFonts w:cstheme="minorHAnsi"/>
          <w:sz w:val="20"/>
          <w:szCs w:val="20"/>
          <w:lang w:val="en-US"/>
        </w:rPr>
        <w:t xml:space="preserve"> the five factors</w:t>
      </w:r>
      <w:r w:rsidR="00E367D1" w:rsidRPr="00D909D0">
        <w:rPr>
          <w:rFonts w:cstheme="minorHAnsi"/>
          <w:sz w:val="20"/>
          <w:szCs w:val="20"/>
          <w:lang w:val="en-US"/>
        </w:rPr>
        <w:t>—</w:t>
      </w:r>
      <w:r w:rsidR="00C63622" w:rsidRPr="00D909D0">
        <w:rPr>
          <w:rFonts w:cstheme="minorHAnsi"/>
          <w:sz w:val="20"/>
          <w:szCs w:val="20"/>
          <w:lang w:val="en-US"/>
        </w:rPr>
        <w:t xml:space="preserve">ease of operating a philanthropic organization, tax incentives, cross-border philanthropy, </w:t>
      </w:r>
      <w:r w:rsidRPr="00D909D0">
        <w:rPr>
          <w:rFonts w:cstheme="minorHAnsi"/>
          <w:sz w:val="20"/>
          <w:szCs w:val="20"/>
          <w:lang w:val="en-US"/>
        </w:rPr>
        <w:t xml:space="preserve">and the </w:t>
      </w:r>
      <w:r w:rsidR="00C63622" w:rsidRPr="00D909D0">
        <w:rPr>
          <w:rFonts w:cstheme="minorHAnsi"/>
          <w:sz w:val="20"/>
          <w:szCs w:val="20"/>
          <w:lang w:val="en-US"/>
        </w:rPr>
        <w:t>political environment</w:t>
      </w:r>
      <w:r w:rsidRPr="00D909D0">
        <w:rPr>
          <w:rFonts w:cstheme="minorHAnsi"/>
          <w:sz w:val="20"/>
          <w:szCs w:val="20"/>
          <w:lang w:val="en-US"/>
        </w:rPr>
        <w:t xml:space="preserve"> for philanthropy</w:t>
      </w:r>
      <w:r w:rsidR="00E367D1" w:rsidRPr="00D909D0">
        <w:rPr>
          <w:rFonts w:cstheme="minorHAnsi"/>
          <w:sz w:val="20"/>
          <w:szCs w:val="20"/>
          <w:lang w:val="en-US"/>
        </w:rPr>
        <w:t>—</w:t>
      </w:r>
      <w:r w:rsidR="00C63622" w:rsidRPr="00D909D0">
        <w:rPr>
          <w:rFonts w:cstheme="minorHAnsi"/>
          <w:sz w:val="20"/>
          <w:szCs w:val="20"/>
          <w:lang w:val="en-US"/>
        </w:rPr>
        <w:t>showed an increase at the continental level</w:t>
      </w:r>
      <w:r w:rsidRPr="00D909D0">
        <w:rPr>
          <w:rFonts w:cstheme="minorHAnsi"/>
          <w:sz w:val="20"/>
          <w:szCs w:val="20"/>
          <w:lang w:val="en-US"/>
        </w:rPr>
        <w:t xml:space="preserve"> (Figure 8)</w:t>
      </w:r>
      <w:r w:rsidR="00C63622" w:rsidRPr="00D909D0">
        <w:rPr>
          <w:rFonts w:cstheme="minorHAnsi"/>
          <w:sz w:val="20"/>
          <w:szCs w:val="20"/>
          <w:lang w:val="en-US"/>
        </w:rPr>
        <w:t>.</w:t>
      </w:r>
      <w:r w:rsidR="00C63622" w:rsidRPr="00D909D0">
        <w:rPr>
          <w:rStyle w:val="FootnoteReference"/>
          <w:rFonts w:cstheme="minorHAnsi"/>
          <w:sz w:val="20"/>
          <w:szCs w:val="20"/>
          <w:lang w:val="en-US"/>
        </w:rPr>
        <w:footnoteReference w:id="3"/>
      </w:r>
      <w:r w:rsidRPr="00D909D0">
        <w:rPr>
          <w:rFonts w:cstheme="minorHAnsi"/>
          <w:sz w:val="20"/>
          <w:szCs w:val="20"/>
          <w:lang w:val="en-US"/>
        </w:rPr>
        <w:t xml:space="preserve"> The political </w:t>
      </w:r>
      <w:r w:rsidR="00E367D1" w:rsidRPr="00D909D0">
        <w:rPr>
          <w:rFonts w:cstheme="minorHAnsi"/>
          <w:sz w:val="20"/>
          <w:szCs w:val="20"/>
          <w:lang w:val="en-US"/>
        </w:rPr>
        <w:t>environment</w:t>
      </w:r>
      <w:r w:rsidRPr="00D909D0">
        <w:rPr>
          <w:rFonts w:cstheme="minorHAnsi"/>
          <w:sz w:val="20"/>
          <w:szCs w:val="20"/>
          <w:lang w:val="en-US"/>
        </w:rPr>
        <w:t xml:space="preserve"> score shows the biggest improvement over time, while the socio-cultural environment score showed a slight decrease (-0.01).</w:t>
      </w:r>
    </w:p>
    <w:p w14:paraId="326F4960" w14:textId="17FEE6F4" w:rsidR="00C63622" w:rsidRPr="00D909D0" w:rsidRDefault="00937F2D" w:rsidP="000D24A4">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eastAsia="Times New Roman" w:cstheme="minorHAnsi"/>
          <w:b/>
          <w:bCs/>
          <w:kern w:val="0"/>
          <w:sz w:val="20"/>
          <w:szCs w:val="20"/>
          <w:lang w:val="en-US"/>
          <w14:ligatures w14:val="none"/>
        </w:rPr>
        <w:t xml:space="preserve">Figure 8: EUROPEAN AVERAGE SCORES BY FACTOR </w:t>
      </w:r>
      <w:r w:rsidR="00917774" w:rsidRPr="00D909D0">
        <w:rPr>
          <w:rFonts w:eastAsia="Times New Roman" w:cstheme="minorHAnsi"/>
          <w:b/>
          <w:bCs/>
          <w:kern w:val="0"/>
          <w:sz w:val="20"/>
          <w:szCs w:val="20"/>
          <w:lang w:val="en-US"/>
          <w14:ligatures w14:val="none"/>
        </w:rPr>
        <w:t>BETWEEN</w:t>
      </w:r>
      <w:r w:rsidRPr="00D909D0">
        <w:rPr>
          <w:rFonts w:eastAsia="Times New Roman" w:cstheme="minorHAnsi"/>
          <w:b/>
          <w:bCs/>
          <w:kern w:val="0"/>
          <w:sz w:val="20"/>
          <w:szCs w:val="20"/>
          <w:lang w:val="en-US"/>
          <w14:ligatures w14:val="none"/>
        </w:rPr>
        <w:t xml:space="preserve"> 2014</w:t>
      </w:r>
      <w:r w:rsidR="0064517C" w:rsidRPr="00D909D0">
        <w:rPr>
          <w:rFonts w:eastAsia="Times New Roman" w:cstheme="minorHAnsi"/>
          <w:b/>
          <w:bCs/>
          <w:kern w:val="0"/>
          <w:sz w:val="20"/>
          <w:szCs w:val="20"/>
          <w:lang w:val="en-US"/>
          <w14:ligatures w14:val="none"/>
        </w:rPr>
        <w:t>–</w:t>
      </w:r>
      <w:r w:rsidRPr="00D909D0">
        <w:rPr>
          <w:rFonts w:eastAsia="Times New Roman" w:cstheme="minorHAnsi"/>
          <w:b/>
          <w:bCs/>
          <w:kern w:val="0"/>
          <w:sz w:val="20"/>
          <w:szCs w:val="20"/>
          <w:lang w:val="en-US"/>
          <w14:ligatures w14:val="none"/>
        </w:rPr>
        <w:t xml:space="preserve">2017 </w:t>
      </w:r>
      <w:r w:rsidR="00917774" w:rsidRPr="00D909D0">
        <w:rPr>
          <w:rFonts w:eastAsia="Times New Roman" w:cstheme="minorHAnsi"/>
          <w:b/>
          <w:bCs/>
          <w:kern w:val="0"/>
          <w:sz w:val="20"/>
          <w:szCs w:val="20"/>
          <w:lang w:val="en-US"/>
          <w14:ligatures w14:val="none"/>
        </w:rPr>
        <w:t xml:space="preserve">AND </w:t>
      </w:r>
      <w:r w:rsidRPr="00D909D0">
        <w:rPr>
          <w:rFonts w:eastAsia="Times New Roman" w:cstheme="minorHAnsi"/>
          <w:b/>
          <w:bCs/>
          <w:kern w:val="0"/>
          <w:sz w:val="20"/>
          <w:szCs w:val="20"/>
          <w:lang w:val="en-US"/>
          <w14:ligatures w14:val="none"/>
        </w:rPr>
        <w:t>2018–2020</w:t>
      </w:r>
    </w:p>
    <w:p w14:paraId="393A3E07" w14:textId="2B19A685" w:rsidR="00C63622" w:rsidRPr="00D909D0" w:rsidRDefault="00C63622" w:rsidP="00C63622">
      <w:pPr>
        <w:rPr>
          <w:rFonts w:cstheme="minorHAnsi"/>
          <w:sz w:val="20"/>
          <w:szCs w:val="20"/>
          <w:lang w:val="en-US"/>
        </w:rPr>
      </w:pPr>
      <w:r w:rsidRPr="00D909D0">
        <w:rPr>
          <w:rFonts w:cstheme="minorHAnsi"/>
          <w:noProof/>
          <w:sz w:val="20"/>
          <w:szCs w:val="20"/>
          <w:lang w:val="en-US"/>
        </w:rPr>
        <w:drawing>
          <wp:inline distT="0" distB="0" distL="0" distR="0" wp14:anchorId="12160AB2" wp14:editId="79EFC2FA">
            <wp:extent cx="5655449" cy="1974797"/>
            <wp:effectExtent l="0" t="0" r="0" b="0"/>
            <wp:docPr id="1249804019" name="Chart 1">
              <a:extLst xmlns:a="http://schemas.openxmlformats.org/drawingml/2006/main">
                <a:ext uri="{FF2B5EF4-FFF2-40B4-BE49-F238E27FC236}">
                  <a16:creationId xmlns:a16="http://schemas.microsoft.com/office/drawing/2014/main" id="{449C6BFA-4FC2-97B0-41F2-182F793FC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4B585B" w14:textId="270DB1F3" w:rsidR="00917774" w:rsidRPr="00D909D0" w:rsidRDefault="00937F2D" w:rsidP="00C63622">
      <w:pPr>
        <w:rPr>
          <w:rFonts w:cstheme="minorHAnsi"/>
          <w:i/>
          <w:iCs/>
          <w:sz w:val="20"/>
          <w:szCs w:val="20"/>
          <w:lang w:val="en-US"/>
        </w:rPr>
      </w:pPr>
      <w:r w:rsidRPr="00D909D0">
        <w:rPr>
          <w:rFonts w:cstheme="minorHAnsi"/>
          <w:sz w:val="20"/>
          <w:szCs w:val="20"/>
          <w:lang w:val="en-US"/>
        </w:rPr>
        <w:t xml:space="preserve">Source: Indiana University Lilly Family School of Philanthropy, </w:t>
      </w:r>
      <w:r w:rsidRPr="00D909D0">
        <w:rPr>
          <w:rFonts w:cstheme="minorHAnsi"/>
          <w:i/>
          <w:iCs/>
          <w:sz w:val="20"/>
          <w:szCs w:val="20"/>
          <w:lang w:val="en-US"/>
        </w:rPr>
        <w:t>2022 Global Philanthropy Environment Index</w:t>
      </w:r>
    </w:p>
    <w:p w14:paraId="7B8F4C2E" w14:textId="1EE0F011" w:rsidR="00F35BF3" w:rsidRPr="00D909D0" w:rsidRDefault="00F35BF3" w:rsidP="00C63622">
      <w:pPr>
        <w:rPr>
          <w:rFonts w:cstheme="minorHAnsi"/>
          <w:sz w:val="20"/>
          <w:szCs w:val="20"/>
          <w:lang w:val="en-US"/>
        </w:rPr>
      </w:pPr>
      <w:r w:rsidRPr="00D909D0">
        <w:rPr>
          <w:rFonts w:cstheme="minorHAnsi"/>
          <w:sz w:val="20"/>
          <w:szCs w:val="20"/>
          <w:lang w:val="en-US"/>
        </w:rPr>
        <w:t>Nineteen of the 30 countries included in this analysis showed an increase in their overall philanthropic scores</w:t>
      </w:r>
      <w:r w:rsidR="000D24A4" w:rsidRPr="00D909D0">
        <w:rPr>
          <w:rFonts w:cstheme="minorHAnsi"/>
          <w:sz w:val="20"/>
          <w:szCs w:val="20"/>
          <w:lang w:val="en-US"/>
        </w:rPr>
        <w:t xml:space="preserve"> (Figure 9). Norway reported the highest level of improvement (10%) and Poland experienced the biggest drop (-8%) between 2014</w:t>
      </w:r>
      <w:r w:rsidR="0064517C" w:rsidRPr="00D909D0">
        <w:rPr>
          <w:rFonts w:cstheme="minorHAnsi"/>
          <w:sz w:val="20"/>
          <w:szCs w:val="20"/>
          <w:lang w:val="en-US"/>
        </w:rPr>
        <w:t>–</w:t>
      </w:r>
      <w:r w:rsidR="000D24A4" w:rsidRPr="00D909D0">
        <w:rPr>
          <w:rFonts w:cstheme="minorHAnsi"/>
          <w:sz w:val="20"/>
          <w:szCs w:val="20"/>
          <w:lang w:val="en-US"/>
        </w:rPr>
        <w:t>2017 and 2018</w:t>
      </w:r>
      <w:r w:rsidR="0064517C" w:rsidRPr="00D909D0">
        <w:rPr>
          <w:rFonts w:cstheme="minorHAnsi"/>
          <w:sz w:val="20"/>
          <w:szCs w:val="20"/>
          <w:lang w:val="en-US"/>
        </w:rPr>
        <w:t>–</w:t>
      </w:r>
      <w:r w:rsidR="000D24A4" w:rsidRPr="00D909D0">
        <w:rPr>
          <w:rFonts w:cstheme="minorHAnsi"/>
          <w:sz w:val="20"/>
          <w:szCs w:val="20"/>
          <w:lang w:val="en-US"/>
        </w:rPr>
        <w:t>2020.</w:t>
      </w:r>
    </w:p>
    <w:p w14:paraId="76AC8A0C" w14:textId="3DF1758A" w:rsidR="00917774" w:rsidRPr="00D909D0" w:rsidRDefault="002D00E8" w:rsidP="00917774">
      <w:pPr>
        <w:spacing w:before="100" w:beforeAutospacing="1" w:after="100" w:afterAutospacing="1" w:line="240" w:lineRule="auto"/>
        <w:rPr>
          <w:rFonts w:eastAsia="Times New Roman" w:cstheme="minorHAnsi"/>
          <w:b/>
          <w:bCs/>
          <w:kern w:val="0"/>
          <w:sz w:val="20"/>
          <w:szCs w:val="20"/>
          <w:lang w:val="en-US"/>
          <w14:ligatures w14:val="none"/>
        </w:rPr>
      </w:pPr>
      <w:r w:rsidRPr="00D909D0">
        <w:rPr>
          <w:rFonts w:cstheme="minorHAnsi"/>
          <w:noProof/>
          <w:sz w:val="20"/>
          <w:szCs w:val="20"/>
          <w:lang w:val="en-US"/>
        </w:rPr>
        <w:drawing>
          <wp:anchor distT="0" distB="0" distL="114300" distR="114300" simplePos="0" relativeHeight="251682816" behindDoc="1" locked="0" layoutInCell="1" allowOverlap="1" wp14:anchorId="3B7D45BA" wp14:editId="2CE10DCE">
            <wp:simplePos x="0" y="0"/>
            <wp:positionH relativeFrom="column">
              <wp:posOffset>487680</wp:posOffset>
            </wp:positionH>
            <wp:positionV relativeFrom="paragraph">
              <wp:posOffset>246380</wp:posOffset>
            </wp:positionV>
            <wp:extent cx="4764101" cy="1905640"/>
            <wp:effectExtent l="0" t="0" r="0" b="0"/>
            <wp:wrapNone/>
            <wp:docPr id="1151224981" name="Chart 1">
              <a:extLst xmlns:a="http://schemas.openxmlformats.org/drawingml/2006/main">
                <a:ext uri="{FF2B5EF4-FFF2-40B4-BE49-F238E27FC236}">
                  <a16:creationId xmlns:a16="http://schemas.microsoft.com/office/drawing/2014/main" id="{DB68310F-3CAF-8E19-8055-8A30D29494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917774" w:rsidRPr="00D909D0">
        <w:rPr>
          <w:rFonts w:eastAsia="Times New Roman" w:cstheme="minorHAnsi"/>
          <w:b/>
          <w:bCs/>
          <w:kern w:val="0"/>
          <w:sz w:val="20"/>
          <w:szCs w:val="20"/>
          <w:lang w:val="en-US"/>
          <w14:ligatures w14:val="none"/>
        </w:rPr>
        <w:t xml:space="preserve">Figure 9: NUMBER OF COUNTRIES WITH CHANGES </w:t>
      </w:r>
      <w:r>
        <w:rPr>
          <w:rFonts w:eastAsia="Times New Roman" w:cstheme="minorHAnsi"/>
          <w:b/>
          <w:bCs/>
          <w:kern w:val="0"/>
          <w:sz w:val="20"/>
          <w:szCs w:val="20"/>
          <w:lang w:val="en-US"/>
          <w14:ligatures w14:val="none"/>
        </w:rPr>
        <w:t>THAT AFFECTED</w:t>
      </w:r>
      <w:r w:rsidRPr="00D909D0">
        <w:rPr>
          <w:rFonts w:eastAsia="Times New Roman" w:cstheme="minorHAnsi"/>
          <w:b/>
          <w:bCs/>
          <w:kern w:val="0"/>
          <w:sz w:val="20"/>
          <w:szCs w:val="20"/>
          <w:lang w:val="en-US"/>
          <w14:ligatures w14:val="none"/>
        </w:rPr>
        <w:t xml:space="preserve"> </w:t>
      </w:r>
      <w:r w:rsidR="00917774" w:rsidRPr="00D909D0">
        <w:rPr>
          <w:rFonts w:eastAsia="Times New Roman" w:cstheme="minorHAnsi"/>
          <w:b/>
          <w:bCs/>
          <w:kern w:val="0"/>
          <w:sz w:val="20"/>
          <w:szCs w:val="20"/>
          <w:lang w:val="en-US"/>
          <w14:ligatures w14:val="none"/>
        </w:rPr>
        <w:t xml:space="preserve">THE </w:t>
      </w:r>
      <w:r w:rsidR="00F35BF3" w:rsidRPr="00D909D0">
        <w:rPr>
          <w:rFonts w:eastAsia="Times New Roman" w:cstheme="minorHAnsi"/>
          <w:b/>
          <w:bCs/>
          <w:kern w:val="0"/>
          <w:sz w:val="20"/>
          <w:szCs w:val="20"/>
          <w:lang w:val="en-US"/>
          <w14:ligatures w14:val="none"/>
        </w:rPr>
        <w:t xml:space="preserve">OVERALL </w:t>
      </w:r>
      <w:r w:rsidR="00917774" w:rsidRPr="00D909D0">
        <w:rPr>
          <w:rFonts w:eastAsia="Times New Roman" w:cstheme="minorHAnsi"/>
          <w:b/>
          <w:bCs/>
          <w:kern w:val="0"/>
          <w:sz w:val="20"/>
          <w:szCs w:val="20"/>
          <w:lang w:val="en-US"/>
          <w14:ligatures w14:val="none"/>
        </w:rPr>
        <w:t>PHILANTHROPIC S</w:t>
      </w:r>
      <w:r w:rsidR="00F35BF3" w:rsidRPr="00D909D0">
        <w:rPr>
          <w:rFonts w:eastAsia="Times New Roman" w:cstheme="minorHAnsi"/>
          <w:b/>
          <w:bCs/>
          <w:kern w:val="0"/>
          <w:sz w:val="20"/>
          <w:szCs w:val="20"/>
          <w:lang w:val="en-US"/>
          <w14:ligatures w14:val="none"/>
        </w:rPr>
        <w:t>CORE</w:t>
      </w:r>
      <w:r w:rsidR="00917774" w:rsidRPr="00D909D0">
        <w:rPr>
          <w:rFonts w:eastAsia="Times New Roman" w:cstheme="minorHAnsi"/>
          <w:b/>
          <w:bCs/>
          <w:kern w:val="0"/>
          <w:sz w:val="20"/>
          <w:szCs w:val="20"/>
          <w:lang w:val="en-US"/>
          <w14:ligatures w14:val="none"/>
        </w:rPr>
        <w:t xml:space="preserve"> BETWEEN 2014–2017 AND 2018–2020 </w:t>
      </w:r>
    </w:p>
    <w:p w14:paraId="1065CA55" w14:textId="23E0C677" w:rsidR="00917774" w:rsidRPr="00D909D0" w:rsidRDefault="00917774" w:rsidP="00917774">
      <w:pPr>
        <w:spacing w:before="100" w:beforeAutospacing="1" w:after="100" w:afterAutospacing="1" w:line="240" w:lineRule="auto"/>
        <w:rPr>
          <w:rFonts w:eastAsia="Times New Roman" w:cstheme="minorHAnsi"/>
          <w:b/>
          <w:bCs/>
          <w:kern w:val="0"/>
          <w:sz w:val="20"/>
          <w:szCs w:val="20"/>
          <w:lang w:val="en-US"/>
          <w14:ligatures w14:val="none"/>
        </w:rPr>
      </w:pPr>
    </w:p>
    <w:p w14:paraId="0D200BAD" w14:textId="77777777" w:rsidR="000D24A4" w:rsidRPr="00D909D0" w:rsidRDefault="000D24A4" w:rsidP="00917774">
      <w:pPr>
        <w:rPr>
          <w:rFonts w:cstheme="minorHAnsi"/>
          <w:sz w:val="20"/>
          <w:szCs w:val="20"/>
          <w:lang w:val="en-US"/>
        </w:rPr>
      </w:pPr>
    </w:p>
    <w:p w14:paraId="5FC15DF8" w14:textId="77777777" w:rsidR="000D24A4" w:rsidRPr="00D909D0" w:rsidRDefault="000D24A4" w:rsidP="00917774">
      <w:pPr>
        <w:rPr>
          <w:rFonts w:cstheme="minorHAnsi"/>
          <w:sz w:val="20"/>
          <w:szCs w:val="20"/>
          <w:lang w:val="en-US"/>
        </w:rPr>
      </w:pPr>
    </w:p>
    <w:p w14:paraId="3DFACAF8" w14:textId="77777777" w:rsidR="000D24A4" w:rsidRPr="00D909D0" w:rsidRDefault="000D24A4" w:rsidP="00917774">
      <w:pPr>
        <w:rPr>
          <w:rFonts w:cstheme="minorHAnsi"/>
          <w:sz w:val="20"/>
          <w:szCs w:val="20"/>
          <w:lang w:val="en-US"/>
        </w:rPr>
      </w:pPr>
    </w:p>
    <w:p w14:paraId="6E8242E2" w14:textId="77777777" w:rsidR="000D24A4" w:rsidRPr="00D909D0" w:rsidRDefault="000D24A4" w:rsidP="00917774">
      <w:pPr>
        <w:rPr>
          <w:rFonts w:cstheme="minorHAnsi"/>
          <w:sz w:val="20"/>
          <w:szCs w:val="20"/>
          <w:lang w:val="en-US"/>
        </w:rPr>
      </w:pPr>
    </w:p>
    <w:p w14:paraId="690D8207" w14:textId="3FEE7A9C" w:rsidR="00917774" w:rsidRPr="00D909D0" w:rsidRDefault="00917774" w:rsidP="00917774">
      <w:pPr>
        <w:rPr>
          <w:rFonts w:cstheme="minorHAnsi"/>
          <w:i/>
          <w:iCs/>
          <w:sz w:val="20"/>
          <w:szCs w:val="20"/>
          <w:lang w:val="en-US"/>
        </w:rPr>
      </w:pPr>
      <w:r w:rsidRPr="00D909D0">
        <w:rPr>
          <w:rFonts w:cstheme="minorHAnsi"/>
          <w:sz w:val="20"/>
          <w:szCs w:val="20"/>
          <w:lang w:val="en-US"/>
        </w:rPr>
        <w:t xml:space="preserve">Source: Indiana University Lilly Family School of Philanthropy, </w:t>
      </w:r>
      <w:r w:rsidRPr="00D909D0">
        <w:rPr>
          <w:rFonts w:cstheme="minorHAnsi"/>
          <w:i/>
          <w:iCs/>
          <w:sz w:val="20"/>
          <w:szCs w:val="20"/>
          <w:lang w:val="en-US"/>
        </w:rPr>
        <w:t>2022 Global Philanthropy Environment Index</w:t>
      </w:r>
    </w:p>
    <w:p w14:paraId="48B904AF" w14:textId="369D2C9E" w:rsidR="00966071" w:rsidRPr="004F788C" w:rsidRDefault="00966071" w:rsidP="004F788C">
      <w:pPr>
        <w:pStyle w:val="Heading1"/>
        <w:numPr>
          <w:ilvl w:val="0"/>
          <w:numId w:val="13"/>
        </w:numPr>
        <w:rPr>
          <w:sz w:val="20"/>
          <w:szCs w:val="20"/>
          <w:lang w:val="en-US"/>
        </w:rPr>
      </w:pPr>
      <w:bookmarkStart w:id="14" w:name="_Toc138462041"/>
      <w:r w:rsidRPr="004F788C">
        <w:rPr>
          <w:sz w:val="20"/>
          <w:szCs w:val="20"/>
          <w:lang w:val="en-US"/>
        </w:rPr>
        <w:t xml:space="preserve">The Future of European </w:t>
      </w:r>
      <w:r w:rsidR="002D00E8" w:rsidRPr="004F788C">
        <w:rPr>
          <w:sz w:val="20"/>
          <w:szCs w:val="20"/>
          <w:lang w:val="en-US"/>
        </w:rPr>
        <w:t>p</w:t>
      </w:r>
      <w:r w:rsidRPr="004F788C">
        <w:rPr>
          <w:sz w:val="20"/>
          <w:szCs w:val="20"/>
          <w:lang w:val="en-US"/>
        </w:rPr>
        <w:t>hilanthropy</w:t>
      </w:r>
      <w:bookmarkEnd w:id="14"/>
    </w:p>
    <w:p w14:paraId="7CF58430" w14:textId="724C4A31" w:rsidR="00966071" w:rsidRPr="00D909D0" w:rsidRDefault="00966071" w:rsidP="00966071">
      <w:pPr>
        <w:rPr>
          <w:rFonts w:cstheme="minorHAnsi"/>
          <w:sz w:val="20"/>
          <w:szCs w:val="20"/>
          <w:lang w:val="en-US"/>
        </w:rPr>
      </w:pPr>
      <w:r w:rsidRPr="00D909D0">
        <w:rPr>
          <w:rFonts w:cstheme="minorHAnsi"/>
          <w:sz w:val="20"/>
          <w:szCs w:val="20"/>
          <w:lang w:val="en-US"/>
        </w:rPr>
        <w:t xml:space="preserve">The future of philanthropy in Europe has the potential to be very dynamic. While the long-term effects of the COVID-19 pandemic on European philanthropy are still unclear, the various crises have led to opportunities for philanthropy, such as </w:t>
      </w:r>
      <w:r w:rsidR="00C60023" w:rsidRPr="00D909D0">
        <w:rPr>
          <w:rFonts w:cstheme="minorHAnsi"/>
          <w:sz w:val="20"/>
          <w:szCs w:val="20"/>
          <w:lang w:val="en-US"/>
        </w:rPr>
        <w:t xml:space="preserve">deeper collaboration and networking, </w:t>
      </w:r>
      <w:r w:rsidRPr="00D909D0">
        <w:rPr>
          <w:rFonts w:cstheme="minorHAnsi"/>
          <w:sz w:val="20"/>
          <w:szCs w:val="20"/>
          <w:lang w:val="en-US"/>
        </w:rPr>
        <w:t>increasing digitalization of giving</w:t>
      </w:r>
      <w:r w:rsidR="00C60023" w:rsidRPr="00D909D0">
        <w:rPr>
          <w:rFonts w:cstheme="minorHAnsi"/>
          <w:sz w:val="20"/>
          <w:szCs w:val="20"/>
          <w:lang w:val="en-US"/>
        </w:rPr>
        <w:t>,</w:t>
      </w:r>
      <w:r w:rsidRPr="00D909D0">
        <w:rPr>
          <w:rFonts w:cstheme="minorHAnsi"/>
          <w:sz w:val="20"/>
          <w:szCs w:val="20"/>
          <w:lang w:val="en-US"/>
        </w:rPr>
        <w:t xml:space="preserve"> and the enhancement of informal and new ways of giving.</w:t>
      </w:r>
    </w:p>
    <w:p w14:paraId="71DD24BD" w14:textId="6A0165EC" w:rsidR="00966071" w:rsidRPr="00D909D0" w:rsidRDefault="00966071" w:rsidP="00966071">
      <w:pPr>
        <w:rPr>
          <w:rFonts w:cstheme="minorHAnsi"/>
          <w:sz w:val="20"/>
          <w:szCs w:val="20"/>
          <w:lang w:val="en-US"/>
        </w:rPr>
      </w:pPr>
      <w:r w:rsidRPr="00D909D0">
        <w:rPr>
          <w:rFonts w:cstheme="minorHAnsi"/>
          <w:sz w:val="20"/>
          <w:szCs w:val="20"/>
          <w:lang w:val="en-US"/>
        </w:rPr>
        <w:t xml:space="preserve">European regional experts have highlighted that a key trend for philanthropy is an increasing level of networking and collaboration. </w:t>
      </w:r>
      <w:r w:rsidR="00C60023" w:rsidRPr="00D909D0">
        <w:rPr>
          <w:rFonts w:cstheme="minorHAnsi"/>
          <w:sz w:val="20"/>
          <w:szCs w:val="20"/>
          <w:lang w:val="en-US"/>
        </w:rPr>
        <w:t xml:space="preserve">Experts from </w:t>
      </w:r>
      <w:r w:rsidRPr="00D909D0">
        <w:rPr>
          <w:rFonts w:cstheme="minorHAnsi"/>
          <w:sz w:val="20"/>
          <w:szCs w:val="20"/>
          <w:lang w:val="en-US"/>
        </w:rPr>
        <w:t>Southern and Central Europe mentioned the importance of joint policy making and service provision with the governments to address the increasing socio-economic disparities and other societal issues.</w:t>
      </w:r>
    </w:p>
    <w:p w14:paraId="4BD757E0" w14:textId="43CBB104" w:rsidR="00966071" w:rsidRPr="00D909D0" w:rsidRDefault="00966071" w:rsidP="00966071">
      <w:pPr>
        <w:rPr>
          <w:rFonts w:cstheme="minorHAnsi"/>
          <w:sz w:val="20"/>
          <w:szCs w:val="20"/>
          <w:lang w:val="en-US"/>
        </w:rPr>
      </w:pPr>
      <w:r w:rsidRPr="00D909D0">
        <w:rPr>
          <w:rFonts w:cstheme="minorHAnsi"/>
          <w:sz w:val="20"/>
          <w:szCs w:val="20"/>
          <w:lang w:val="en-US"/>
        </w:rPr>
        <w:t xml:space="preserve">Another key trend is the digitalization of giving, as all the five regional experts mentioned the digital transformation and technological innovations that are likely to innovate </w:t>
      </w:r>
      <w:r w:rsidR="00C60023" w:rsidRPr="00D909D0">
        <w:rPr>
          <w:rFonts w:cstheme="minorHAnsi"/>
          <w:sz w:val="20"/>
          <w:szCs w:val="20"/>
          <w:lang w:val="en-US"/>
        </w:rPr>
        <w:t xml:space="preserve">both </w:t>
      </w:r>
      <w:r w:rsidRPr="00D909D0">
        <w:rPr>
          <w:rFonts w:cstheme="minorHAnsi"/>
          <w:sz w:val="20"/>
          <w:szCs w:val="20"/>
          <w:lang w:val="en-US"/>
        </w:rPr>
        <w:t xml:space="preserve">giving </w:t>
      </w:r>
      <w:r w:rsidR="00C60023" w:rsidRPr="00D909D0">
        <w:rPr>
          <w:rFonts w:cstheme="minorHAnsi"/>
          <w:sz w:val="20"/>
          <w:szCs w:val="20"/>
          <w:lang w:val="en-US"/>
        </w:rPr>
        <w:t>and</w:t>
      </w:r>
      <w:r w:rsidRPr="00D909D0">
        <w:rPr>
          <w:rFonts w:cstheme="minorHAnsi"/>
          <w:sz w:val="20"/>
          <w:szCs w:val="20"/>
          <w:lang w:val="en-US"/>
        </w:rPr>
        <w:t xml:space="preserve"> fundraising. Online and mobile giving, crowdfunding platforms, and crypto giving</w:t>
      </w:r>
      <w:r w:rsidR="00C60023" w:rsidRPr="00D909D0">
        <w:rPr>
          <w:rFonts w:cstheme="minorHAnsi"/>
          <w:sz w:val="20"/>
          <w:szCs w:val="20"/>
          <w:lang w:val="en-US"/>
        </w:rPr>
        <w:t>—</w:t>
      </w:r>
      <w:r w:rsidRPr="00D909D0">
        <w:rPr>
          <w:rFonts w:cstheme="minorHAnsi"/>
          <w:sz w:val="20"/>
          <w:szCs w:val="20"/>
          <w:lang w:val="en-US"/>
        </w:rPr>
        <w:t xml:space="preserve">just to mention a </w:t>
      </w:r>
      <w:r w:rsidR="00C60023" w:rsidRPr="00D909D0">
        <w:rPr>
          <w:rFonts w:cstheme="minorHAnsi"/>
          <w:sz w:val="20"/>
          <w:szCs w:val="20"/>
          <w:lang w:val="en-US"/>
        </w:rPr>
        <w:t xml:space="preserve">few— are </w:t>
      </w:r>
      <w:r w:rsidRPr="00D909D0">
        <w:rPr>
          <w:rFonts w:cstheme="minorHAnsi"/>
          <w:sz w:val="20"/>
          <w:szCs w:val="20"/>
          <w:lang w:val="en-US"/>
        </w:rPr>
        <w:t>seem</w:t>
      </w:r>
      <w:r w:rsidR="00C60023" w:rsidRPr="00D909D0">
        <w:rPr>
          <w:rFonts w:cstheme="minorHAnsi"/>
          <w:sz w:val="20"/>
          <w:szCs w:val="20"/>
          <w:lang w:val="en-US"/>
        </w:rPr>
        <w:t>ingly</w:t>
      </w:r>
      <w:r w:rsidRPr="00D909D0">
        <w:rPr>
          <w:rFonts w:cstheme="minorHAnsi"/>
          <w:sz w:val="20"/>
          <w:szCs w:val="20"/>
          <w:lang w:val="en-US"/>
        </w:rPr>
        <w:t xml:space="preserve"> </w:t>
      </w:r>
      <w:r w:rsidR="00C60023" w:rsidRPr="00D909D0">
        <w:rPr>
          <w:rFonts w:cstheme="minorHAnsi"/>
          <w:sz w:val="20"/>
          <w:szCs w:val="20"/>
          <w:lang w:val="en-US"/>
        </w:rPr>
        <w:t>continuing to</w:t>
      </w:r>
      <w:r w:rsidRPr="00D909D0">
        <w:rPr>
          <w:rFonts w:cstheme="minorHAnsi"/>
          <w:sz w:val="20"/>
          <w:szCs w:val="20"/>
          <w:lang w:val="en-US"/>
        </w:rPr>
        <w:t xml:space="preserve"> increase</w:t>
      </w:r>
      <w:r w:rsidR="00C60023" w:rsidRPr="00D909D0">
        <w:rPr>
          <w:rFonts w:cstheme="minorHAnsi"/>
          <w:sz w:val="20"/>
          <w:szCs w:val="20"/>
          <w:lang w:val="en-US"/>
        </w:rPr>
        <w:t>,</w:t>
      </w:r>
      <w:r w:rsidRPr="00D909D0">
        <w:rPr>
          <w:rFonts w:cstheme="minorHAnsi"/>
          <w:sz w:val="20"/>
          <w:szCs w:val="20"/>
          <w:lang w:val="en-US"/>
        </w:rPr>
        <w:t xml:space="preserve"> which could lead to the revitalization of giving. However, new technologies will make philanthropy face new challenges</w:t>
      </w:r>
      <w:r w:rsidR="00C60023" w:rsidRPr="00D909D0">
        <w:rPr>
          <w:rFonts w:cstheme="minorHAnsi"/>
          <w:sz w:val="20"/>
          <w:szCs w:val="20"/>
          <w:lang w:val="en-US"/>
        </w:rPr>
        <w:t>.</w:t>
      </w:r>
    </w:p>
    <w:p w14:paraId="684DCE2E" w14:textId="20036912" w:rsidR="00376937" w:rsidRPr="00D909D0" w:rsidRDefault="00966071">
      <w:pPr>
        <w:rPr>
          <w:rFonts w:eastAsiaTheme="majorEastAsia" w:cstheme="minorHAnsi"/>
          <w:color w:val="2F5496" w:themeColor="accent1" w:themeShade="BF"/>
          <w:sz w:val="20"/>
          <w:szCs w:val="20"/>
          <w:lang w:val="en-US"/>
        </w:rPr>
      </w:pPr>
      <w:r w:rsidRPr="00D909D0">
        <w:rPr>
          <w:rFonts w:cstheme="minorHAnsi"/>
          <w:sz w:val="20"/>
          <w:szCs w:val="20"/>
          <w:lang w:val="en-US"/>
        </w:rPr>
        <w:t xml:space="preserve">Finally, as new ways of giving and volunteering are emerging, informal philanthropy is gaining space on the old continent as well. To better understand these acts of generosity and to provide a more complete landscape of philanthropy in Europe, not only practitioners but also researchers need to </w:t>
      </w:r>
      <w:r w:rsidR="00C60023" w:rsidRPr="00D909D0">
        <w:rPr>
          <w:rFonts w:cstheme="minorHAnsi"/>
          <w:sz w:val="20"/>
          <w:szCs w:val="20"/>
          <w:lang w:val="en-US"/>
        </w:rPr>
        <w:t>pivot</w:t>
      </w:r>
      <w:r w:rsidRPr="00D909D0">
        <w:rPr>
          <w:rFonts w:cstheme="minorHAnsi"/>
          <w:sz w:val="20"/>
          <w:szCs w:val="20"/>
          <w:lang w:val="en-US"/>
        </w:rPr>
        <w:t xml:space="preserve"> to capture such activities.</w:t>
      </w:r>
    </w:p>
    <w:p w14:paraId="02AF0BD5" w14:textId="52520031" w:rsidR="00966071" w:rsidRPr="00D909D0" w:rsidRDefault="00966071" w:rsidP="00D909D0">
      <w:pPr>
        <w:pStyle w:val="Heading1"/>
        <w:numPr>
          <w:ilvl w:val="0"/>
          <w:numId w:val="13"/>
        </w:numPr>
        <w:rPr>
          <w:rFonts w:asciiTheme="minorHAnsi" w:hAnsiTheme="minorHAnsi" w:cstheme="minorHAnsi"/>
          <w:sz w:val="20"/>
          <w:szCs w:val="20"/>
          <w:lang w:val="en-US"/>
        </w:rPr>
      </w:pPr>
      <w:bookmarkStart w:id="15" w:name="_Toc138462042"/>
      <w:r w:rsidRPr="00D909D0">
        <w:rPr>
          <w:rFonts w:asciiTheme="minorHAnsi" w:hAnsiTheme="minorHAnsi" w:cstheme="minorHAnsi"/>
          <w:sz w:val="20"/>
          <w:szCs w:val="20"/>
          <w:lang w:val="en-US"/>
        </w:rPr>
        <w:t>Limitations</w:t>
      </w:r>
      <w:bookmarkEnd w:id="15"/>
    </w:p>
    <w:p w14:paraId="10659877" w14:textId="6CF93A60"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This paper provides a snapshot of the European philanthropic environment during a specific time period</w:t>
      </w:r>
      <w:r w:rsidR="00C60023" w:rsidRPr="00D909D0">
        <w:rPr>
          <w:rFonts w:asciiTheme="minorHAnsi" w:hAnsiTheme="minorHAnsi" w:cstheme="minorHAnsi"/>
          <w:sz w:val="20"/>
          <w:szCs w:val="20"/>
        </w:rPr>
        <w:t xml:space="preserve"> and</w:t>
      </w:r>
      <w:r w:rsidRPr="00D909D0">
        <w:rPr>
          <w:rFonts w:asciiTheme="minorHAnsi" w:hAnsiTheme="minorHAnsi" w:cstheme="minorHAnsi"/>
          <w:sz w:val="20"/>
          <w:szCs w:val="20"/>
        </w:rPr>
        <w:t xml:space="preserve"> focus</w:t>
      </w:r>
      <w:r w:rsidR="00C60023" w:rsidRPr="00D909D0">
        <w:rPr>
          <w:rFonts w:asciiTheme="minorHAnsi" w:hAnsiTheme="minorHAnsi" w:cstheme="minorHAnsi"/>
          <w:sz w:val="20"/>
          <w:szCs w:val="20"/>
        </w:rPr>
        <w:t>es</w:t>
      </w:r>
      <w:r w:rsidRPr="00D909D0">
        <w:rPr>
          <w:rFonts w:asciiTheme="minorHAnsi" w:hAnsiTheme="minorHAnsi" w:cstheme="minorHAnsi"/>
          <w:sz w:val="20"/>
          <w:szCs w:val="20"/>
        </w:rPr>
        <w:t xml:space="preserve"> on a limited number of European countries. Additionally, the data collection relies on expert questionnaires, which may introduce some level of subjectivity. Future research should continue to enhance the methodology and to include European countries that are often underrepresented in global research</w:t>
      </w:r>
      <w:r w:rsidR="00C60023" w:rsidRPr="00D909D0">
        <w:rPr>
          <w:rFonts w:asciiTheme="minorHAnsi" w:hAnsiTheme="minorHAnsi" w:cstheme="minorHAnsi"/>
          <w:sz w:val="20"/>
          <w:szCs w:val="20"/>
        </w:rPr>
        <w:t>—</w:t>
      </w:r>
      <w:r w:rsidRPr="00D909D0">
        <w:rPr>
          <w:rFonts w:asciiTheme="minorHAnsi" w:hAnsiTheme="minorHAnsi" w:cstheme="minorHAnsi"/>
          <w:sz w:val="20"/>
          <w:szCs w:val="20"/>
        </w:rPr>
        <w:t>such as Baltic countries</w:t>
      </w:r>
      <w:r w:rsidR="00C60023" w:rsidRPr="00D909D0">
        <w:rPr>
          <w:rFonts w:asciiTheme="minorHAnsi" w:hAnsiTheme="minorHAnsi" w:cstheme="minorHAnsi"/>
          <w:sz w:val="20"/>
          <w:szCs w:val="20"/>
        </w:rPr>
        <w:t>—</w:t>
      </w:r>
      <w:r w:rsidRPr="00D909D0">
        <w:rPr>
          <w:rFonts w:asciiTheme="minorHAnsi" w:hAnsiTheme="minorHAnsi" w:cstheme="minorHAnsi"/>
          <w:sz w:val="20"/>
          <w:szCs w:val="20"/>
        </w:rPr>
        <w:t xml:space="preserve">to further analyze the evolving philanthropic landscape in Europe. </w:t>
      </w:r>
    </w:p>
    <w:p w14:paraId="2496B58C" w14:textId="22C84600" w:rsidR="00966071" w:rsidRPr="00D909D0" w:rsidRDefault="00966071" w:rsidP="00D909D0">
      <w:pPr>
        <w:pStyle w:val="Heading1"/>
        <w:numPr>
          <w:ilvl w:val="0"/>
          <w:numId w:val="13"/>
        </w:numPr>
        <w:rPr>
          <w:rFonts w:asciiTheme="minorHAnsi" w:hAnsiTheme="minorHAnsi" w:cstheme="minorHAnsi"/>
          <w:sz w:val="20"/>
          <w:szCs w:val="20"/>
          <w:lang w:val="en-US"/>
        </w:rPr>
      </w:pPr>
      <w:bookmarkStart w:id="16" w:name="_Toc138462043"/>
      <w:r w:rsidRPr="00D909D0">
        <w:rPr>
          <w:rFonts w:asciiTheme="minorHAnsi" w:hAnsiTheme="minorHAnsi" w:cstheme="minorHAnsi"/>
          <w:sz w:val="20"/>
          <w:szCs w:val="20"/>
          <w:lang w:val="en-US"/>
        </w:rPr>
        <w:t>Conclusion</w:t>
      </w:r>
      <w:bookmarkEnd w:id="16"/>
    </w:p>
    <w:p w14:paraId="44BF7BB3" w14:textId="2273A048"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This paper provides valuable insights into the opportunities and challenges that</w:t>
      </w:r>
      <w:r w:rsidR="00C60023" w:rsidRPr="00D909D0">
        <w:rPr>
          <w:rFonts w:asciiTheme="minorHAnsi" w:hAnsiTheme="minorHAnsi" w:cstheme="minorHAnsi"/>
          <w:sz w:val="20"/>
          <w:szCs w:val="20"/>
        </w:rPr>
        <w:t xml:space="preserve"> the philanthropic environments</w:t>
      </w:r>
      <w:r w:rsidRPr="00D909D0">
        <w:rPr>
          <w:rFonts w:asciiTheme="minorHAnsi" w:hAnsiTheme="minorHAnsi" w:cstheme="minorHAnsi"/>
          <w:sz w:val="20"/>
          <w:szCs w:val="20"/>
        </w:rPr>
        <w:t xml:space="preserve"> </w:t>
      </w:r>
      <w:r w:rsidR="00C60023" w:rsidRPr="00D909D0">
        <w:rPr>
          <w:rFonts w:asciiTheme="minorHAnsi" w:hAnsiTheme="minorHAnsi" w:cstheme="minorHAnsi"/>
          <w:sz w:val="20"/>
          <w:szCs w:val="20"/>
        </w:rPr>
        <w:t xml:space="preserve">of </w:t>
      </w:r>
      <w:r w:rsidRPr="00D909D0">
        <w:rPr>
          <w:rFonts w:asciiTheme="minorHAnsi" w:hAnsiTheme="minorHAnsi" w:cstheme="minorHAnsi"/>
          <w:sz w:val="20"/>
          <w:szCs w:val="20"/>
        </w:rPr>
        <w:t>33 European countries faced during the 2018-2020 time period. The findings indicate a modest improvement in the European philanthropic environment, with an increase in the average score from 3.99 in the 2014-2017 time period to 4.09 in the 2018-2020 time period. However, this improvement was not consistent across the continent: while the West</w:t>
      </w:r>
      <w:r w:rsidR="00C60023" w:rsidRPr="00D909D0">
        <w:rPr>
          <w:rFonts w:asciiTheme="minorHAnsi" w:hAnsiTheme="minorHAnsi" w:cstheme="minorHAnsi"/>
          <w:sz w:val="20"/>
          <w:szCs w:val="20"/>
        </w:rPr>
        <w:t xml:space="preserve">— which includes </w:t>
      </w:r>
      <w:r w:rsidRPr="00D909D0">
        <w:rPr>
          <w:rFonts w:asciiTheme="minorHAnsi" w:hAnsiTheme="minorHAnsi" w:cstheme="minorHAnsi"/>
          <w:sz w:val="20"/>
          <w:szCs w:val="20"/>
        </w:rPr>
        <w:t>Western and Northern Europe</w:t>
      </w:r>
      <w:r w:rsidR="00C60023" w:rsidRPr="00D909D0">
        <w:rPr>
          <w:rFonts w:asciiTheme="minorHAnsi" w:hAnsiTheme="minorHAnsi" w:cstheme="minorHAnsi"/>
          <w:sz w:val="20"/>
          <w:szCs w:val="20"/>
        </w:rPr>
        <w:t>—</w:t>
      </w:r>
      <w:r w:rsidRPr="00D909D0">
        <w:rPr>
          <w:rFonts w:asciiTheme="minorHAnsi" w:hAnsiTheme="minorHAnsi" w:cstheme="minorHAnsi"/>
          <w:sz w:val="20"/>
          <w:szCs w:val="20"/>
        </w:rPr>
        <w:t>experienced and improvement, the East</w:t>
      </w:r>
      <w:r w:rsidR="00C60023" w:rsidRPr="00D909D0">
        <w:rPr>
          <w:rFonts w:asciiTheme="minorHAnsi" w:hAnsiTheme="minorHAnsi" w:cstheme="minorHAnsi"/>
          <w:sz w:val="20"/>
          <w:szCs w:val="20"/>
        </w:rPr>
        <w:t xml:space="preserve">—which </w:t>
      </w:r>
      <w:r w:rsidRPr="00D909D0">
        <w:rPr>
          <w:rFonts w:asciiTheme="minorHAnsi" w:hAnsiTheme="minorHAnsi" w:cstheme="minorHAnsi"/>
          <w:sz w:val="20"/>
          <w:szCs w:val="20"/>
        </w:rPr>
        <w:t>includ</w:t>
      </w:r>
      <w:r w:rsidR="00C60023" w:rsidRPr="00D909D0">
        <w:rPr>
          <w:rFonts w:asciiTheme="minorHAnsi" w:hAnsiTheme="minorHAnsi" w:cstheme="minorHAnsi"/>
          <w:sz w:val="20"/>
          <w:szCs w:val="20"/>
        </w:rPr>
        <w:t>es</w:t>
      </w:r>
      <w:r w:rsidRPr="00D909D0">
        <w:rPr>
          <w:rFonts w:asciiTheme="minorHAnsi" w:hAnsiTheme="minorHAnsi" w:cstheme="minorHAnsi"/>
          <w:sz w:val="20"/>
          <w:szCs w:val="20"/>
        </w:rPr>
        <w:t xml:space="preserve"> the Balkan </w:t>
      </w:r>
      <w:r w:rsidR="00C60023" w:rsidRPr="00D909D0">
        <w:rPr>
          <w:rFonts w:asciiTheme="minorHAnsi" w:hAnsiTheme="minorHAnsi" w:cstheme="minorHAnsi"/>
          <w:sz w:val="20"/>
          <w:szCs w:val="20"/>
        </w:rPr>
        <w:t>c</w:t>
      </w:r>
      <w:r w:rsidRPr="00D909D0">
        <w:rPr>
          <w:rFonts w:asciiTheme="minorHAnsi" w:hAnsiTheme="minorHAnsi" w:cstheme="minorHAnsi"/>
          <w:sz w:val="20"/>
          <w:szCs w:val="20"/>
        </w:rPr>
        <w:t>ountries, Central Europe, and Southern Europe</w:t>
      </w:r>
      <w:r w:rsidR="00C60023" w:rsidRPr="00D909D0">
        <w:rPr>
          <w:rFonts w:asciiTheme="minorHAnsi" w:hAnsiTheme="minorHAnsi" w:cstheme="minorHAnsi"/>
          <w:sz w:val="20"/>
          <w:szCs w:val="20"/>
        </w:rPr>
        <w:t>—</w:t>
      </w:r>
      <w:r w:rsidRPr="00D909D0">
        <w:rPr>
          <w:rFonts w:asciiTheme="minorHAnsi" w:hAnsiTheme="minorHAnsi" w:cstheme="minorHAnsi"/>
          <w:sz w:val="20"/>
          <w:szCs w:val="20"/>
        </w:rPr>
        <w:t>faced a slight decline in the overall score for philanthropy.</w:t>
      </w:r>
    </w:p>
    <w:p w14:paraId="00F95294" w14:textId="77777777"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 </w:t>
      </w:r>
    </w:p>
    <w:p w14:paraId="77E1B55B" w14:textId="48D8B6CF"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The paper emphasizes the importance of</w:t>
      </w:r>
      <w:r w:rsidR="00C60023" w:rsidRPr="00D909D0">
        <w:rPr>
          <w:rFonts w:asciiTheme="minorHAnsi" w:hAnsiTheme="minorHAnsi" w:cstheme="minorHAnsi"/>
          <w:sz w:val="20"/>
          <w:szCs w:val="20"/>
        </w:rPr>
        <w:t xml:space="preserve"> both</w:t>
      </w:r>
      <w:r w:rsidRPr="00D909D0">
        <w:rPr>
          <w:rFonts w:asciiTheme="minorHAnsi" w:hAnsiTheme="minorHAnsi" w:cstheme="minorHAnsi"/>
          <w:sz w:val="20"/>
          <w:szCs w:val="20"/>
        </w:rPr>
        <w:t xml:space="preserve"> a consistent and enabling regulatory environment </w:t>
      </w:r>
      <w:r w:rsidR="00C60023" w:rsidRPr="00D909D0">
        <w:rPr>
          <w:rFonts w:asciiTheme="minorHAnsi" w:hAnsiTheme="minorHAnsi" w:cstheme="minorHAnsi"/>
          <w:sz w:val="20"/>
          <w:szCs w:val="20"/>
        </w:rPr>
        <w:t xml:space="preserve">as well as </w:t>
      </w:r>
      <w:r w:rsidRPr="00D909D0">
        <w:rPr>
          <w:rFonts w:asciiTheme="minorHAnsi" w:hAnsiTheme="minorHAnsi" w:cstheme="minorHAnsi"/>
          <w:sz w:val="20"/>
          <w:szCs w:val="20"/>
        </w:rPr>
        <w:t xml:space="preserve">cross-sectoral and cross-country collaborations to enhance philanthropy in Europe. It also identifies areas of concern and potential threats to the philanthropic environment in Europe, including economic challenges, political uncertainties as well as the low level of public knowledge about and trust towards philanthropic organizations. Looking ahead, the future of philanthropy in Europe is expected to be characterized by collaboration, innovative technologies, and the spread of informal ways of giving. </w:t>
      </w:r>
    </w:p>
    <w:p w14:paraId="28F749BD" w14:textId="77777777"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 </w:t>
      </w:r>
    </w:p>
    <w:p w14:paraId="31D4A968" w14:textId="77777777" w:rsidR="00966071" w:rsidRPr="00D909D0" w:rsidRDefault="00966071" w:rsidP="00966071">
      <w:pPr>
        <w:pStyle w:val="xmsonormal"/>
        <w:shd w:val="clear" w:color="auto" w:fill="FFFFFF"/>
        <w:spacing w:before="0" w:beforeAutospacing="0" w:after="0" w:afterAutospacing="0"/>
        <w:rPr>
          <w:rFonts w:asciiTheme="minorHAnsi" w:hAnsiTheme="minorHAnsi" w:cstheme="minorHAnsi"/>
          <w:sz w:val="20"/>
          <w:szCs w:val="20"/>
        </w:rPr>
      </w:pPr>
      <w:r w:rsidRPr="00D909D0">
        <w:rPr>
          <w:rFonts w:asciiTheme="minorHAnsi" w:hAnsiTheme="minorHAnsi" w:cstheme="minorHAnsi"/>
          <w:sz w:val="20"/>
          <w:szCs w:val="20"/>
        </w:rPr>
        <w:t>This paper provides valuable insights for policymakers, practitioners, and researchers to better understand and support philanthropy in the region, contributing to sustainable development and social impact.</w:t>
      </w:r>
    </w:p>
    <w:p w14:paraId="236184FB" w14:textId="77777777" w:rsidR="002D00E8" w:rsidRDefault="002D00E8">
      <w:pPr>
        <w:rPr>
          <w:rFonts w:eastAsiaTheme="majorEastAsia" w:cstheme="minorHAnsi"/>
          <w:color w:val="2F5496" w:themeColor="accent1" w:themeShade="BF"/>
          <w:sz w:val="20"/>
          <w:szCs w:val="20"/>
          <w:lang w:val="en-US"/>
        </w:rPr>
      </w:pPr>
      <w:r>
        <w:rPr>
          <w:rFonts w:cstheme="minorHAnsi"/>
          <w:sz w:val="20"/>
          <w:szCs w:val="20"/>
          <w:lang w:val="en-US"/>
        </w:rPr>
        <w:br w:type="page"/>
      </w:r>
    </w:p>
    <w:p w14:paraId="6828008B" w14:textId="0C9EA40B" w:rsidR="002D00E8" w:rsidRDefault="004F788C" w:rsidP="002D00E8">
      <w:pPr>
        <w:pStyle w:val="Heading1"/>
        <w:rPr>
          <w:rFonts w:asciiTheme="minorHAnsi" w:hAnsiTheme="minorHAnsi" w:cstheme="minorHAnsi"/>
          <w:sz w:val="20"/>
          <w:szCs w:val="20"/>
          <w:lang w:val="en-US"/>
        </w:rPr>
      </w:pPr>
      <w:bookmarkStart w:id="17" w:name="_Toc138462044"/>
      <w:r>
        <w:rPr>
          <w:rFonts w:asciiTheme="minorHAnsi" w:hAnsiTheme="minorHAnsi" w:cstheme="minorHAnsi"/>
          <w:sz w:val="20"/>
          <w:szCs w:val="20"/>
          <w:lang w:val="en-US"/>
        </w:rPr>
        <w:t>Acknowledgement</w:t>
      </w:r>
      <w:bookmarkEnd w:id="17"/>
    </w:p>
    <w:p w14:paraId="2A9FE38D" w14:textId="5E649940" w:rsidR="002D00E8" w:rsidRPr="00771400" w:rsidRDefault="002D00E8" w:rsidP="002D00E8">
      <w:pPr>
        <w:pStyle w:val="NoSpacing"/>
        <w:rPr>
          <w:rFonts w:cstheme="minorHAnsi"/>
          <w:sz w:val="20"/>
          <w:szCs w:val="20"/>
        </w:rPr>
      </w:pPr>
      <w:r w:rsidRPr="00771400">
        <w:rPr>
          <w:rFonts w:cstheme="minorHAnsi"/>
          <w:sz w:val="20"/>
          <w:szCs w:val="20"/>
        </w:rPr>
        <w:t xml:space="preserve">This paper was developed based on the data collected as part of the 2022 </w:t>
      </w:r>
      <w:r w:rsidRPr="00771400">
        <w:rPr>
          <w:rFonts w:cstheme="minorHAnsi"/>
          <w:i/>
          <w:sz w:val="20"/>
          <w:szCs w:val="20"/>
        </w:rPr>
        <w:t>Global Philanthropy Environment Index</w:t>
      </w:r>
      <w:r w:rsidRPr="00771400">
        <w:rPr>
          <w:rFonts w:cstheme="minorHAnsi"/>
          <w:sz w:val="20"/>
          <w:szCs w:val="20"/>
        </w:rPr>
        <w:t xml:space="preserve"> researched and published by the Indiana University Lilly Family School of Philanthropy. For more information about the global study, please visit </w:t>
      </w:r>
      <w:hyperlink r:id="rId18" w:history="1">
        <w:r w:rsidR="00D341D3" w:rsidRPr="00D909D0">
          <w:rPr>
            <w:rStyle w:val="Hyperlink"/>
            <w:sz w:val="20"/>
            <w:szCs w:val="20"/>
          </w:rPr>
          <w:t>https://globalindices.iupui.edu/environment-index/index.html</w:t>
        </w:r>
      </w:hyperlink>
      <w:r w:rsidR="00D341D3" w:rsidRPr="00D909D0">
        <w:rPr>
          <w:sz w:val="20"/>
          <w:szCs w:val="20"/>
        </w:rPr>
        <w:t>.</w:t>
      </w:r>
      <w:r w:rsidRPr="00771400">
        <w:rPr>
          <w:rFonts w:cstheme="minorHAnsi"/>
          <w:sz w:val="20"/>
          <w:szCs w:val="20"/>
        </w:rPr>
        <w:t xml:space="preserve"> </w:t>
      </w:r>
    </w:p>
    <w:p w14:paraId="52E95B95" w14:textId="34F5BF76" w:rsidR="002D00E8" w:rsidRPr="00771400" w:rsidRDefault="002D00E8" w:rsidP="002D00E8">
      <w:pPr>
        <w:pStyle w:val="NoSpacing"/>
        <w:rPr>
          <w:rFonts w:cstheme="minorHAnsi"/>
          <w:sz w:val="20"/>
          <w:szCs w:val="20"/>
        </w:rPr>
      </w:pPr>
      <w:r w:rsidRPr="00771400">
        <w:rPr>
          <w:rFonts w:cstheme="minorHAnsi"/>
          <w:sz w:val="20"/>
          <w:szCs w:val="20"/>
        </w:rPr>
        <w:t xml:space="preserve">The authors of this paper would like to thank the </w:t>
      </w:r>
      <w:r w:rsidRPr="00771400">
        <w:rPr>
          <w:rFonts w:cstheme="minorHAnsi"/>
          <w:i/>
          <w:sz w:val="20"/>
          <w:szCs w:val="20"/>
        </w:rPr>
        <w:t xml:space="preserve">Global Philanthropy </w:t>
      </w:r>
      <w:r w:rsidR="00D341D3" w:rsidRPr="00771400">
        <w:rPr>
          <w:rFonts w:cstheme="minorHAnsi"/>
          <w:i/>
          <w:sz w:val="20"/>
          <w:szCs w:val="20"/>
        </w:rPr>
        <w:t xml:space="preserve">Environment Index </w:t>
      </w:r>
      <w:r w:rsidRPr="00771400">
        <w:rPr>
          <w:rFonts w:cstheme="minorHAnsi"/>
          <w:sz w:val="20"/>
          <w:szCs w:val="20"/>
        </w:rPr>
        <w:t xml:space="preserve">project team for their contribution to this paper. </w:t>
      </w:r>
    </w:p>
    <w:p w14:paraId="03CA8F3D" w14:textId="2C7A7079" w:rsidR="002D00E8" w:rsidRPr="00771400" w:rsidRDefault="002D00E8" w:rsidP="00D909D0">
      <w:pPr>
        <w:pStyle w:val="NoSpacing"/>
        <w:rPr>
          <w:rFonts w:cstheme="minorHAnsi"/>
          <w:sz w:val="20"/>
          <w:szCs w:val="20"/>
        </w:rPr>
      </w:pPr>
      <w:r w:rsidRPr="00771400">
        <w:rPr>
          <w:rFonts w:cstheme="minorHAnsi"/>
          <w:sz w:val="20"/>
          <w:szCs w:val="20"/>
        </w:rPr>
        <w:t xml:space="preserve">The </w:t>
      </w:r>
      <w:r w:rsidRPr="00771400">
        <w:rPr>
          <w:rFonts w:cstheme="minorHAnsi"/>
          <w:i/>
          <w:sz w:val="20"/>
          <w:szCs w:val="20"/>
        </w:rPr>
        <w:t xml:space="preserve">Global Philanthropy </w:t>
      </w:r>
      <w:r w:rsidR="00D341D3" w:rsidRPr="00771400">
        <w:rPr>
          <w:rFonts w:cstheme="minorHAnsi"/>
          <w:i/>
          <w:sz w:val="20"/>
          <w:szCs w:val="20"/>
        </w:rPr>
        <w:t>Environment Index</w:t>
      </w:r>
      <w:r w:rsidRPr="00771400">
        <w:rPr>
          <w:rFonts w:cstheme="minorHAnsi"/>
          <w:sz w:val="20"/>
          <w:szCs w:val="20"/>
        </w:rPr>
        <w:t xml:space="preserve"> was funded by the</w:t>
      </w:r>
      <w:r w:rsidR="00D341D3" w:rsidRPr="00771400">
        <w:rPr>
          <w:rFonts w:cstheme="minorHAnsi"/>
          <w:sz w:val="20"/>
          <w:szCs w:val="20"/>
        </w:rPr>
        <w:t xml:space="preserve"> Charles Stewart Mott Foundation</w:t>
      </w:r>
      <w:r w:rsidRPr="00771400">
        <w:rPr>
          <w:rFonts w:cstheme="minorHAnsi"/>
          <w:sz w:val="20"/>
          <w:szCs w:val="20"/>
        </w:rPr>
        <w:t xml:space="preserve"> and the John Templeton Foundation. </w:t>
      </w:r>
      <w:r w:rsidR="00D341D3" w:rsidRPr="00771400">
        <w:rPr>
          <w:rFonts w:cstheme="minorHAnsi"/>
          <w:sz w:val="20"/>
          <w:szCs w:val="20"/>
        </w:rPr>
        <w:t xml:space="preserve">The research team greatly appreciates the support of the Indiana University Office of the Vice President for Research, Jerre L. Stead and Mary Joy Stead, WINGS, and the IUPUI Office of International Affairs Sustainable Development Goals Grant. </w:t>
      </w:r>
      <w:r w:rsidRPr="00771400">
        <w:rPr>
          <w:rFonts w:cstheme="minorHAnsi"/>
          <w:sz w:val="20"/>
          <w:szCs w:val="20"/>
        </w:rPr>
        <w:t>The opinions expressed in this paper are those of the authors and do not necessarily reflect the official positions or policies of these foundations</w:t>
      </w:r>
      <w:r w:rsidR="00D341D3" w:rsidRPr="00771400">
        <w:rPr>
          <w:rFonts w:cstheme="minorHAnsi"/>
          <w:sz w:val="20"/>
          <w:szCs w:val="20"/>
        </w:rPr>
        <w:t>, organizations, or individuals</w:t>
      </w:r>
      <w:r w:rsidRPr="00771400">
        <w:rPr>
          <w:rFonts w:cstheme="minorHAnsi"/>
          <w:sz w:val="20"/>
          <w:szCs w:val="20"/>
        </w:rPr>
        <w:t>.</w:t>
      </w:r>
    </w:p>
    <w:p w14:paraId="3D605AAF" w14:textId="535E6A7C" w:rsidR="002D00E8" w:rsidRPr="00F6620D" w:rsidRDefault="002D00E8" w:rsidP="002D00E8">
      <w:pPr>
        <w:pStyle w:val="Heading1"/>
        <w:rPr>
          <w:rFonts w:asciiTheme="minorHAnsi" w:hAnsiTheme="minorHAnsi" w:cstheme="minorHAnsi"/>
          <w:sz w:val="20"/>
          <w:szCs w:val="20"/>
          <w:lang w:val="en-US"/>
        </w:rPr>
      </w:pPr>
      <w:bookmarkStart w:id="18" w:name="_Toc138462045"/>
      <w:r>
        <w:rPr>
          <w:rFonts w:asciiTheme="minorHAnsi" w:hAnsiTheme="minorHAnsi" w:cstheme="minorHAnsi"/>
          <w:sz w:val="20"/>
          <w:szCs w:val="20"/>
          <w:lang w:val="en-US"/>
        </w:rPr>
        <w:t>References</w:t>
      </w:r>
      <w:bookmarkEnd w:id="18"/>
    </w:p>
    <w:p w14:paraId="3483D374" w14:textId="77777777" w:rsidR="002D00E8" w:rsidRPr="00D909D0" w:rsidRDefault="002D00E8"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Anand, P. U., &amp; Hayling, C. (2014). Levers for change--philanthropy in select South East Asian countries. </w:t>
      </w:r>
      <w:r w:rsidRPr="00D909D0">
        <w:rPr>
          <w:rFonts w:ascii="Calibri" w:eastAsia="Calibri" w:hAnsi="Calibri" w:cs="Calibri"/>
          <w:i/>
          <w:iCs/>
          <w:color w:val="000000"/>
          <w:kern w:val="0"/>
          <w:sz w:val="20"/>
          <w:szCs w:val="20"/>
          <w:lang w:val="en-US" w:eastAsia="en-US"/>
          <w14:ligatures w14:val="none"/>
        </w:rPr>
        <w:t xml:space="preserve">Social Insight Research Series. </w:t>
      </w:r>
      <w:r w:rsidRPr="00D909D0">
        <w:rPr>
          <w:rFonts w:ascii="Calibri" w:eastAsia="Calibri" w:hAnsi="Calibri" w:cs="Calibri"/>
          <w:color w:val="000000"/>
          <w:kern w:val="0"/>
          <w:sz w:val="20"/>
          <w:szCs w:val="20"/>
          <w:lang w:val="en-US" w:eastAsia="en-US"/>
          <w14:ligatures w14:val="none"/>
        </w:rPr>
        <w:t>Lien Centre for Social Innovation Reports.</w:t>
      </w:r>
    </w:p>
    <w:p w14:paraId="35D22619" w14:textId="77777777" w:rsidR="00771400" w:rsidRPr="00D909D0" w:rsidRDefault="00771400"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0DF77D03" w14:textId="4B1AFD53" w:rsidR="00D341D3" w:rsidRPr="00D909D0" w:rsidRDefault="00D341D3"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roofErr w:type="spellStart"/>
      <w:r w:rsidRPr="00D909D0">
        <w:rPr>
          <w:rFonts w:ascii="Calibri" w:eastAsia="Calibri" w:hAnsi="Calibri" w:cs="Calibri"/>
          <w:color w:val="000000"/>
          <w:kern w:val="0"/>
          <w:sz w:val="20"/>
          <w:szCs w:val="20"/>
          <w:lang w:val="en-US" w:eastAsia="en-US"/>
          <w14:ligatures w14:val="none"/>
        </w:rPr>
        <w:t>Enjorlas</w:t>
      </w:r>
      <w:proofErr w:type="spellEnd"/>
      <w:r w:rsidRPr="00D909D0">
        <w:rPr>
          <w:rFonts w:ascii="Calibri" w:eastAsia="Calibri" w:hAnsi="Calibri" w:cs="Calibri"/>
          <w:color w:val="000000"/>
          <w:kern w:val="0"/>
          <w:sz w:val="20"/>
          <w:szCs w:val="20"/>
          <w:lang w:val="en-US" w:eastAsia="en-US"/>
          <w14:ligatures w14:val="none"/>
        </w:rPr>
        <w:t xml:space="preserve">, B. (2022). </w:t>
      </w:r>
      <w:r w:rsidRPr="00D909D0">
        <w:rPr>
          <w:rFonts w:ascii="Calibri" w:eastAsia="Calibri" w:hAnsi="Calibri" w:cs="Calibri"/>
          <w:i/>
          <w:iCs/>
          <w:color w:val="000000"/>
          <w:kern w:val="0"/>
          <w:sz w:val="20"/>
          <w:szCs w:val="20"/>
          <w:lang w:val="en-US" w:eastAsia="en-US"/>
          <w14:ligatures w14:val="none"/>
        </w:rPr>
        <w:t xml:space="preserve">2022 Global Philanthropy Environment Index Region Report: Northern Europe. </w:t>
      </w:r>
      <w:hyperlink r:id="rId19" w:history="1">
        <w:r w:rsidRPr="00D909D0">
          <w:rPr>
            <w:rFonts w:ascii="Calibri" w:eastAsia="Calibri" w:hAnsi="Calibri" w:cs="Calibri"/>
            <w:color w:val="000000"/>
            <w:kern w:val="0"/>
            <w:lang w:val="en-US" w:eastAsia="en-US"/>
            <w14:ligatures w14:val="none"/>
          </w:rPr>
          <w:t>https://scholarworks.iupui.edu/bitstream/handle/1805/27913/2022GPEINorthernEurope.pdf</w:t>
        </w:r>
      </w:hyperlink>
      <w:r w:rsidR="00771400" w:rsidRPr="00D909D0">
        <w:rPr>
          <w:rFonts w:ascii="Calibri" w:eastAsia="Calibri" w:hAnsi="Calibri" w:cs="Calibri"/>
          <w:color w:val="000000"/>
          <w:kern w:val="0"/>
          <w:sz w:val="20"/>
          <w:szCs w:val="20"/>
          <w:lang w:val="en-US" w:eastAsia="en-US"/>
          <w14:ligatures w14:val="none"/>
        </w:rPr>
        <w:t xml:space="preserve"> </w:t>
      </w:r>
      <w:r w:rsidRPr="00D909D0">
        <w:rPr>
          <w:rFonts w:ascii="Calibri" w:eastAsia="Calibri" w:hAnsi="Calibri" w:cs="Calibri"/>
          <w:color w:val="000000"/>
          <w:kern w:val="0"/>
          <w:sz w:val="20"/>
          <w:szCs w:val="20"/>
          <w:lang w:val="en-US" w:eastAsia="en-US"/>
          <w14:ligatures w14:val="none"/>
        </w:rPr>
        <w:t xml:space="preserve"> </w:t>
      </w:r>
    </w:p>
    <w:p w14:paraId="00AAA71E"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4053E0F5" w14:textId="1D87E00A" w:rsidR="002D00E8" w:rsidRPr="00D909D0" w:rsidRDefault="002D00E8"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Epperly, B., &amp; Lee, T. (2015). Corruption and NGO sustainability. </w:t>
      </w:r>
      <w:proofErr w:type="spellStart"/>
      <w:r w:rsidRPr="00D909D0">
        <w:rPr>
          <w:rFonts w:ascii="Calibri" w:eastAsia="Calibri" w:hAnsi="Calibri" w:cs="Calibri"/>
          <w:i/>
          <w:iCs/>
          <w:color w:val="000000"/>
          <w:kern w:val="0"/>
          <w:sz w:val="20"/>
          <w:szCs w:val="20"/>
          <w:lang w:val="en-US" w:eastAsia="en-US"/>
          <w14:ligatures w14:val="none"/>
        </w:rPr>
        <w:t>Voluntas</w:t>
      </w:r>
      <w:proofErr w:type="spellEnd"/>
      <w:r w:rsidRPr="00D909D0">
        <w:rPr>
          <w:rFonts w:ascii="Calibri" w:eastAsia="Calibri" w:hAnsi="Calibri" w:cs="Calibri"/>
          <w:i/>
          <w:iCs/>
          <w:color w:val="000000"/>
          <w:kern w:val="0"/>
          <w:sz w:val="20"/>
          <w:szCs w:val="20"/>
          <w:lang w:val="en-US" w:eastAsia="en-US"/>
          <w14:ligatures w14:val="none"/>
        </w:rPr>
        <w:t>: International Journal of Voluntary &amp; Nonprofit Organizations</w:t>
      </w:r>
      <w:r w:rsidRPr="00D909D0">
        <w:rPr>
          <w:rFonts w:ascii="Calibri" w:eastAsia="Calibri" w:hAnsi="Calibri" w:cs="Calibri"/>
          <w:color w:val="000000"/>
          <w:kern w:val="0"/>
          <w:sz w:val="20"/>
          <w:szCs w:val="20"/>
          <w:lang w:val="en-US" w:eastAsia="en-US"/>
          <w14:ligatures w14:val="none"/>
        </w:rPr>
        <w:t>, 26(1), 171-197.</w:t>
      </w:r>
    </w:p>
    <w:p w14:paraId="4E1D9C40"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6CE9EC58" w14:textId="4878673E" w:rsidR="002D00E8" w:rsidRPr="00D909D0" w:rsidRDefault="002D00E8"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i/>
          <w:iCs/>
          <w:color w:val="000000"/>
          <w:kern w:val="0"/>
          <w:sz w:val="20"/>
          <w:szCs w:val="20"/>
          <w:lang w:val="en-US" w:eastAsia="en-US"/>
          <w14:ligatures w14:val="none"/>
        </w:rPr>
      </w:pPr>
      <w:proofErr w:type="spellStart"/>
      <w:r w:rsidRPr="00D909D0">
        <w:rPr>
          <w:rFonts w:ascii="Calibri" w:eastAsia="Calibri" w:hAnsi="Calibri" w:cs="Calibri"/>
          <w:color w:val="000000"/>
          <w:kern w:val="0"/>
          <w:sz w:val="20"/>
          <w:szCs w:val="20"/>
          <w:lang w:val="es-ES" w:eastAsia="en-US"/>
          <w14:ligatures w14:val="none"/>
        </w:rPr>
        <w:t>Garcia</w:t>
      </w:r>
      <w:proofErr w:type="spellEnd"/>
      <w:r w:rsidRPr="00D909D0">
        <w:rPr>
          <w:rFonts w:ascii="Calibri" w:eastAsia="Calibri" w:hAnsi="Calibri" w:cs="Calibri"/>
          <w:color w:val="000000"/>
          <w:kern w:val="0"/>
          <w:sz w:val="20"/>
          <w:szCs w:val="20"/>
          <w:lang w:val="es-ES" w:eastAsia="en-US"/>
          <w14:ligatures w14:val="none"/>
        </w:rPr>
        <w:t xml:space="preserve">, S., Osili, U., &amp; </w:t>
      </w:r>
      <w:proofErr w:type="spellStart"/>
      <w:r w:rsidRPr="00D909D0">
        <w:rPr>
          <w:rFonts w:ascii="Calibri" w:eastAsia="Calibri" w:hAnsi="Calibri" w:cs="Calibri"/>
          <w:color w:val="000000"/>
          <w:kern w:val="0"/>
          <w:sz w:val="20"/>
          <w:szCs w:val="20"/>
          <w:lang w:val="es-ES" w:eastAsia="en-US"/>
          <w14:ligatures w14:val="none"/>
        </w:rPr>
        <w:t>Kou</w:t>
      </w:r>
      <w:proofErr w:type="spellEnd"/>
      <w:r w:rsidRPr="00D909D0">
        <w:rPr>
          <w:rFonts w:ascii="Calibri" w:eastAsia="Calibri" w:hAnsi="Calibri" w:cs="Calibri"/>
          <w:color w:val="000000"/>
          <w:kern w:val="0"/>
          <w:sz w:val="20"/>
          <w:szCs w:val="20"/>
          <w:lang w:val="es-ES" w:eastAsia="en-US"/>
          <w14:ligatures w14:val="none"/>
        </w:rPr>
        <w:t xml:space="preserve">, X. (2019). </w:t>
      </w:r>
      <w:r w:rsidRPr="00D909D0">
        <w:rPr>
          <w:rFonts w:ascii="Calibri" w:eastAsia="Calibri" w:hAnsi="Calibri" w:cs="Calibri"/>
          <w:color w:val="000000"/>
          <w:kern w:val="0"/>
          <w:sz w:val="20"/>
          <w:szCs w:val="20"/>
          <w:lang w:val="en-US" w:eastAsia="en-US"/>
          <w14:ligatures w14:val="none"/>
        </w:rPr>
        <w:t xml:space="preserve">Measuring the environment for philanthropy across countries: How changing political and economic landscapes affect charitable giving. </w:t>
      </w:r>
      <w:r w:rsidRPr="00D909D0">
        <w:rPr>
          <w:rFonts w:ascii="Calibri" w:eastAsia="Calibri" w:hAnsi="Calibri" w:cs="Calibri"/>
          <w:i/>
          <w:iCs/>
          <w:color w:val="000000"/>
          <w:kern w:val="0"/>
          <w:sz w:val="20"/>
          <w:szCs w:val="20"/>
          <w:lang w:val="en-US" w:eastAsia="en-US"/>
          <w14:ligatures w14:val="none"/>
        </w:rPr>
        <w:t>ISTR 2018 Working Papers Series.</w:t>
      </w:r>
    </w:p>
    <w:p w14:paraId="4463D93F"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1AB0329F" w14:textId="1AB59D65" w:rsidR="00771400" w:rsidRPr="00D909D0" w:rsidRDefault="00771400"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Hyánek, V. (2022). </w:t>
      </w:r>
      <w:r w:rsidRPr="00D909D0">
        <w:rPr>
          <w:rFonts w:ascii="Calibri" w:eastAsia="Calibri" w:hAnsi="Calibri" w:cs="Calibri"/>
          <w:i/>
          <w:iCs/>
          <w:color w:val="000000"/>
          <w:kern w:val="0"/>
          <w:sz w:val="20"/>
          <w:szCs w:val="20"/>
          <w:lang w:val="en-US" w:eastAsia="en-US"/>
          <w14:ligatures w14:val="none"/>
        </w:rPr>
        <w:t xml:space="preserve">2022 Global Philanthropy Environment Index Region Report: Central Europe. </w:t>
      </w:r>
      <w:hyperlink r:id="rId20" w:history="1">
        <w:r w:rsidRPr="00D909D0">
          <w:rPr>
            <w:rFonts w:ascii="Calibri" w:eastAsia="Calibri" w:hAnsi="Calibri" w:cs="Calibri"/>
            <w:color w:val="000000"/>
            <w:kern w:val="0"/>
            <w:lang w:val="en-US" w:eastAsia="en-US"/>
            <w14:ligatures w14:val="none"/>
          </w:rPr>
          <w:t>https://scholarworks.iupui.edu/bitstream/handle/1805/27909/2022GPEICentralEurope.pdf</w:t>
        </w:r>
      </w:hyperlink>
      <w:r w:rsidRPr="00D909D0">
        <w:rPr>
          <w:rFonts w:ascii="Calibri" w:eastAsia="Calibri" w:hAnsi="Calibri" w:cs="Calibri"/>
          <w:color w:val="000000"/>
          <w:kern w:val="0"/>
          <w:sz w:val="20"/>
          <w:szCs w:val="20"/>
          <w:lang w:val="en-US" w:eastAsia="en-US"/>
          <w14:ligatures w14:val="none"/>
        </w:rPr>
        <w:t xml:space="preserve"> </w:t>
      </w:r>
    </w:p>
    <w:p w14:paraId="2861BD52"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401E3D6A" w14:textId="1F9B6AED" w:rsidR="00D341D3" w:rsidRPr="00D909D0" w:rsidRDefault="00D341D3"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Indiana University Lilly Family School of Philanthropy. (2018). </w:t>
      </w:r>
      <w:r w:rsidRPr="00D909D0">
        <w:rPr>
          <w:rFonts w:ascii="Calibri" w:eastAsia="Calibri" w:hAnsi="Calibri" w:cs="Calibri"/>
          <w:i/>
          <w:iCs/>
          <w:color w:val="000000"/>
          <w:kern w:val="0"/>
          <w:sz w:val="20"/>
          <w:szCs w:val="20"/>
          <w:lang w:val="en-US" w:eastAsia="en-US"/>
          <w14:ligatures w14:val="none"/>
        </w:rPr>
        <w:t>2018 Global Philanthropy Environment Index</w:t>
      </w:r>
      <w:r w:rsidRPr="00D909D0">
        <w:rPr>
          <w:rFonts w:ascii="Calibri" w:eastAsia="Calibri" w:hAnsi="Calibri" w:cs="Calibri"/>
          <w:color w:val="000000"/>
          <w:kern w:val="0"/>
          <w:sz w:val="20"/>
          <w:szCs w:val="20"/>
          <w:lang w:val="en-US" w:eastAsia="en-US"/>
          <w14:ligatures w14:val="none"/>
        </w:rPr>
        <w:t xml:space="preserve">. </w:t>
      </w:r>
      <w:hyperlink r:id="rId21" w:history="1">
        <w:r w:rsidRPr="00D909D0">
          <w:rPr>
            <w:rFonts w:ascii="Calibri" w:eastAsia="Calibri" w:hAnsi="Calibri" w:cs="Calibri"/>
            <w:color w:val="000000"/>
            <w:kern w:val="0"/>
            <w:lang w:val="en-US" w:eastAsia="en-US"/>
            <w14:ligatures w14:val="none"/>
          </w:rPr>
          <w:t>https://scholarworks.iupui.edu/handle/1805/15958</w:t>
        </w:r>
      </w:hyperlink>
      <w:r w:rsidRPr="00D909D0">
        <w:rPr>
          <w:rFonts w:ascii="Calibri" w:eastAsia="Calibri" w:hAnsi="Calibri" w:cs="Calibri"/>
          <w:color w:val="000000"/>
          <w:kern w:val="0"/>
          <w:sz w:val="20"/>
          <w:szCs w:val="20"/>
          <w:lang w:val="en-US" w:eastAsia="en-US"/>
          <w14:ligatures w14:val="none"/>
        </w:rPr>
        <w:t xml:space="preserve"> </w:t>
      </w:r>
    </w:p>
    <w:p w14:paraId="1ED246AB"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259B94EC" w14:textId="132F7619" w:rsidR="00D341D3" w:rsidRPr="00D909D0" w:rsidRDefault="00D341D3"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Indiana University Lilly Family School of Philanthropy. (2022). </w:t>
      </w:r>
      <w:r w:rsidRPr="00D909D0">
        <w:rPr>
          <w:rFonts w:ascii="Calibri" w:eastAsia="Calibri" w:hAnsi="Calibri" w:cs="Calibri"/>
          <w:i/>
          <w:iCs/>
          <w:color w:val="000000"/>
          <w:kern w:val="0"/>
          <w:sz w:val="20"/>
          <w:szCs w:val="20"/>
          <w:lang w:val="en-US" w:eastAsia="en-US"/>
          <w14:ligatures w14:val="none"/>
        </w:rPr>
        <w:t>2022 Global Philanthropy Environment Index.</w:t>
      </w:r>
      <w:r w:rsidRPr="00D909D0">
        <w:rPr>
          <w:rFonts w:ascii="Calibri" w:eastAsia="Calibri" w:hAnsi="Calibri" w:cs="Calibri"/>
          <w:color w:val="000000"/>
          <w:kern w:val="0"/>
          <w:sz w:val="20"/>
          <w:szCs w:val="20"/>
          <w:lang w:val="en-US" w:eastAsia="en-US"/>
          <w14:ligatures w14:val="none"/>
        </w:rPr>
        <w:t xml:space="preserve"> </w:t>
      </w:r>
      <w:hyperlink r:id="rId22" w:history="1">
        <w:r w:rsidRPr="00D909D0">
          <w:rPr>
            <w:rFonts w:ascii="Calibri" w:eastAsia="Calibri" w:hAnsi="Calibri" w:cs="Calibri"/>
            <w:color w:val="000000"/>
            <w:kern w:val="0"/>
            <w:lang w:eastAsia="en-US"/>
            <w14:ligatures w14:val="none"/>
          </w:rPr>
          <w:t>https://scholarworks.iupui.edu/handle/1805/28098</w:t>
        </w:r>
      </w:hyperlink>
      <w:r w:rsidRPr="00D909D0">
        <w:rPr>
          <w:rFonts w:ascii="Calibri" w:eastAsia="Calibri" w:hAnsi="Calibri" w:cs="Calibri"/>
          <w:color w:val="000000"/>
          <w:kern w:val="0"/>
          <w:sz w:val="20"/>
          <w:szCs w:val="20"/>
          <w:lang w:val="en-US" w:eastAsia="en-US"/>
          <w14:ligatures w14:val="none"/>
        </w:rPr>
        <w:t xml:space="preserve"> </w:t>
      </w:r>
    </w:p>
    <w:p w14:paraId="41D3548E"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6F684448" w14:textId="3D0E4D8C" w:rsidR="00771400" w:rsidRPr="00D909D0" w:rsidRDefault="00771400"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i/>
          <w:iCs/>
          <w:color w:val="000000"/>
          <w:kern w:val="0"/>
          <w:sz w:val="20"/>
          <w:szCs w:val="20"/>
          <w:lang w:val="es-ES" w:eastAsia="en-US"/>
          <w14:ligatures w14:val="none"/>
        </w:rPr>
      </w:pPr>
      <w:r w:rsidRPr="00D909D0">
        <w:rPr>
          <w:rFonts w:ascii="Calibri" w:eastAsia="Calibri" w:hAnsi="Calibri" w:cs="Calibri"/>
          <w:color w:val="000000"/>
          <w:kern w:val="0"/>
          <w:sz w:val="20"/>
          <w:szCs w:val="20"/>
          <w:lang w:val="en-US" w:eastAsia="en-US"/>
          <w14:ligatures w14:val="none"/>
        </w:rPr>
        <w:t xml:space="preserve">Indiana University Lilly Family School of Philanthropy. (2022). </w:t>
      </w:r>
      <w:r w:rsidRPr="00D909D0">
        <w:rPr>
          <w:rFonts w:ascii="Calibri" w:eastAsia="Calibri" w:hAnsi="Calibri" w:cs="Calibri"/>
          <w:i/>
          <w:iCs/>
          <w:color w:val="000000"/>
          <w:kern w:val="0"/>
          <w:sz w:val="20"/>
          <w:szCs w:val="20"/>
          <w:lang w:val="en-US" w:eastAsia="en-US"/>
          <w14:ligatures w14:val="none"/>
        </w:rPr>
        <w:t>2022 Global Philanthropy Environment Index Region Report: Balkan Countries.</w:t>
      </w:r>
      <w:r w:rsidRPr="00D909D0">
        <w:rPr>
          <w:rFonts w:ascii="Calibri" w:eastAsia="Calibri" w:hAnsi="Calibri" w:cs="Calibri"/>
          <w:i/>
          <w:iCs/>
          <w:color w:val="000000"/>
          <w:kern w:val="0"/>
          <w:sz w:val="20"/>
          <w:szCs w:val="20"/>
          <w:lang w:val="en-US" w:eastAsia="en-US"/>
          <w14:ligatures w14:val="none"/>
        </w:rPr>
        <w:tab/>
      </w:r>
      <w:r w:rsidRPr="00D909D0">
        <w:rPr>
          <w:rFonts w:ascii="Calibri" w:eastAsia="Calibri" w:hAnsi="Calibri" w:cs="Calibri"/>
          <w:color w:val="000000"/>
          <w:kern w:val="0"/>
          <w:sz w:val="20"/>
          <w:szCs w:val="20"/>
          <w:lang w:val="en-US" w:eastAsia="en-US"/>
          <w14:ligatures w14:val="none"/>
        </w:rPr>
        <w:t xml:space="preserve"> </w:t>
      </w:r>
      <w:hyperlink r:id="rId23" w:history="1">
        <w:r w:rsidRPr="00D909D0">
          <w:rPr>
            <w:rFonts w:ascii="Calibri" w:eastAsia="Calibri" w:hAnsi="Calibri" w:cs="Calibri"/>
            <w:color w:val="000000"/>
            <w:kern w:val="0"/>
            <w:lang w:val="es-ES" w:eastAsia="en-US"/>
            <w14:ligatures w14:val="none"/>
          </w:rPr>
          <w:t>https://scholarworks.iupui.edu/bitstream/handle/1805/27905/2022GPEIBalkanCountries.pdf</w:t>
        </w:r>
      </w:hyperlink>
      <w:r w:rsidRPr="00D909D0">
        <w:rPr>
          <w:rFonts w:ascii="Calibri" w:eastAsia="Calibri" w:hAnsi="Calibri" w:cs="Calibri"/>
          <w:color w:val="000000"/>
          <w:kern w:val="0"/>
          <w:sz w:val="20"/>
          <w:szCs w:val="20"/>
          <w:lang w:val="es-ES" w:eastAsia="en-US"/>
          <w14:ligatures w14:val="none"/>
        </w:rPr>
        <w:t xml:space="preserve"> </w:t>
      </w:r>
    </w:p>
    <w:p w14:paraId="66D527C3" w14:textId="77777777" w:rsidR="0077140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s-ES" w:eastAsia="en-US"/>
          <w14:ligatures w14:val="none"/>
        </w:rPr>
      </w:pPr>
    </w:p>
    <w:p w14:paraId="0B6D10CD" w14:textId="75FF866E" w:rsidR="00771400" w:rsidRPr="009B6AF1" w:rsidRDefault="00771400"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nl-NL" w:eastAsia="en-US"/>
          <w14:ligatures w14:val="none"/>
        </w:rPr>
      </w:pPr>
      <w:r w:rsidRPr="00D909D0">
        <w:rPr>
          <w:rFonts w:ascii="Calibri" w:eastAsia="Calibri" w:hAnsi="Calibri" w:cs="Calibri"/>
          <w:color w:val="000000"/>
          <w:kern w:val="0"/>
          <w:sz w:val="20"/>
          <w:szCs w:val="20"/>
          <w:lang w:val="es-ES" w:eastAsia="en-US"/>
          <w14:ligatures w14:val="none"/>
        </w:rPr>
        <w:t xml:space="preserve">Meyer, M. (2022). </w:t>
      </w:r>
      <w:r w:rsidRPr="00D909D0">
        <w:rPr>
          <w:rFonts w:ascii="Calibri" w:eastAsia="Calibri" w:hAnsi="Calibri" w:cs="Calibri"/>
          <w:color w:val="000000"/>
          <w:kern w:val="0"/>
          <w:sz w:val="20"/>
          <w:szCs w:val="20"/>
          <w:lang w:val="en-US" w:eastAsia="en-US"/>
          <w14:ligatures w14:val="none"/>
        </w:rPr>
        <w:t xml:space="preserve">2022 Global Philanthropy Environment Index Region Report: Western Europe. </w:t>
      </w:r>
      <w:hyperlink r:id="rId24" w:history="1">
        <w:r w:rsidRPr="00D909D0">
          <w:rPr>
            <w:rFonts w:ascii="Calibri" w:eastAsia="Calibri" w:hAnsi="Calibri" w:cs="Calibri"/>
            <w:color w:val="000000"/>
            <w:kern w:val="0"/>
            <w:lang w:eastAsia="en-US"/>
            <w14:ligatures w14:val="none"/>
          </w:rPr>
          <w:t>https://scholarworks.iupui.edu/bitstream/handle/1805/27918/2022GPEIWesternEurope.pdf</w:t>
        </w:r>
      </w:hyperlink>
      <w:r w:rsidRPr="009B6AF1">
        <w:rPr>
          <w:rFonts w:ascii="Calibri" w:eastAsia="Calibri" w:hAnsi="Calibri" w:cs="Calibri"/>
          <w:color w:val="000000"/>
          <w:kern w:val="0"/>
          <w:sz w:val="20"/>
          <w:szCs w:val="20"/>
          <w:lang w:val="nl-NL" w:eastAsia="en-US"/>
          <w14:ligatures w14:val="none"/>
        </w:rPr>
        <w:t xml:space="preserve"> </w:t>
      </w:r>
    </w:p>
    <w:p w14:paraId="522C7452" w14:textId="77777777" w:rsidR="00771400" w:rsidRPr="009B6AF1"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nl-NL" w:eastAsia="en-US"/>
          <w14:ligatures w14:val="none"/>
        </w:rPr>
      </w:pPr>
    </w:p>
    <w:p w14:paraId="651CE7E6" w14:textId="4128B820" w:rsidR="002D00E8" w:rsidRPr="00D909D0" w:rsidRDefault="002D00E8"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9B6AF1">
        <w:rPr>
          <w:rFonts w:ascii="Calibri" w:eastAsia="Calibri" w:hAnsi="Calibri" w:cs="Calibri"/>
          <w:color w:val="000000"/>
          <w:kern w:val="0"/>
          <w:sz w:val="20"/>
          <w:szCs w:val="20"/>
          <w:lang w:val="nl-NL" w:eastAsia="en-US"/>
          <w14:ligatures w14:val="none"/>
        </w:rPr>
        <w:t xml:space="preserve">Moore, D., &amp; </w:t>
      </w:r>
      <w:proofErr w:type="spellStart"/>
      <w:r w:rsidRPr="009B6AF1">
        <w:rPr>
          <w:rFonts w:ascii="Calibri" w:eastAsia="Calibri" w:hAnsi="Calibri" w:cs="Calibri"/>
          <w:color w:val="000000"/>
          <w:kern w:val="0"/>
          <w:sz w:val="20"/>
          <w:szCs w:val="20"/>
          <w:lang w:val="nl-NL" w:eastAsia="en-US"/>
          <w14:ligatures w14:val="none"/>
        </w:rPr>
        <w:t>Rutzen</w:t>
      </w:r>
      <w:proofErr w:type="spellEnd"/>
      <w:r w:rsidRPr="009B6AF1">
        <w:rPr>
          <w:rFonts w:ascii="Calibri" w:eastAsia="Calibri" w:hAnsi="Calibri" w:cs="Calibri"/>
          <w:color w:val="000000"/>
          <w:kern w:val="0"/>
          <w:sz w:val="20"/>
          <w:szCs w:val="20"/>
          <w:lang w:val="nl-NL" w:eastAsia="en-US"/>
          <w14:ligatures w14:val="none"/>
        </w:rPr>
        <w:t xml:space="preserve">, D. (2011). </w:t>
      </w:r>
      <w:r w:rsidRPr="00D909D0">
        <w:rPr>
          <w:rFonts w:ascii="Calibri" w:eastAsia="Calibri" w:hAnsi="Calibri" w:cs="Calibri"/>
          <w:color w:val="000000"/>
          <w:kern w:val="0"/>
          <w:sz w:val="20"/>
          <w:szCs w:val="20"/>
          <w:lang w:val="en-US" w:eastAsia="en-US"/>
          <w14:ligatures w14:val="none"/>
        </w:rPr>
        <w:t xml:space="preserve">Legal framework for global philanthropy. </w:t>
      </w:r>
      <w:r w:rsidRPr="00D909D0">
        <w:rPr>
          <w:rFonts w:ascii="Calibri" w:eastAsia="Calibri" w:hAnsi="Calibri" w:cs="Calibri"/>
          <w:i/>
          <w:iCs/>
          <w:color w:val="000000"/>
          <w:kern w:val="0"/>
          <w:sz w:val="20"/>
          <w:szCs w:val="20"/>
          <w:lang w:val="en-US" w:eastAsia="en-US"/>
          <w14:ligatures w14:val="none"/>
        </w:rPr>
        <w:t>International Journal of Not-for-Profit Law</w:t>
      </w:r>
      <w:r w:rsidRPr="00D909D0">
        <w:rPr>
          <w:rFonts w:ascii="Calibri" w:eastAsia="Calibri" w:hAnsi="Calibri" w:cs="Calibri"/>
          <w:color w:val="000000"/>
          <w:kern w:val="0"/>
          <w:sz w:val="20"/>
          <w:szCs w:val="20"/>
          <w:lang w:val="en-US" w:eastAsia="en-US"/>
          <w14:ligatures w14:val="none"/>
        </w:rPr>
        <w:t>, 13(1-2), 5-41.</w:t>
      </w:r>
    </w:p>
    <w:p w14:paraId="12E606CC"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0B141CE0" w14:textId="09D3A878" w:rsidR="00771400" w:rsidRPr="00D909D0" w:rsidRDefault="00771400"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roofErr w:type="spellStart"/>
      <w:r w:rsidRPr="00D909D0">
        <w:rPr>
          <w:rFonts w:ascii="Calibri" w:eastAsia="Calibri" w:hAnsi="Calibri" w:cs="Calibri"/>
          <w:color w:val="000000"/>
          <w:kern w:val="0"/>
          <w:sz w:val="20"/>
          <w:szCs w:val="20"/>
          <w:lang w:val="en-US" w:eastAsia="en-US"/>
          <w14:ligatures w14:val="none"/>
        </w:rPr>
        <w:t>Philea</w:t>
      </w:r>
      <w:proofErr w:type="spellEnd"/>
      <w:r w:rsidRPr="00D909D0">
        <w:rPr>
          <w:rFonts w:ascii="Calibri" w:eastAsia="Calibri" w:hAnsi="Calibri" w:cs="Calibri"/>
          <w:color w:val="000000"/>
          <w:kern w:val="0"/>
          <w:sz w:val="20"/>
          <w:szCs w:val="20"/>
          <w:lang w:val="en-US" w:eastAsia="en-US"/>
          <w14:ligatures w14:val="none"/>
        </w:rPr>
        <w:t xml:space="preserve"> </w:t>
      </w:r>
      <w:r>
        <w:rPr>
          <w:rFonts w:ascii="Calibri" w:eastAsia="Calibri" w:hAnsi="Calibri" w:cs="Calibri"/>
          <w:color w:val="000000"/>
          <w:kern w:val="0"/>
          <w:sz w:val="20"/>
          <w:szCs w:val="20"/>
          <w:lang w:val="en-US" w:eastAsia="en-US"/>
          <w14:ligatures w14:val="none"/>
        </w:rPr>
        <w:t>&amp;</w:t>
      </w:r>
      <w:r w:rsidRPr="00D909D0">
        <w:rPr>
          <w:rFonts w:ascii="Calibri" w:eastAsia="Calibri" w:hAnsi="Calibri" w:cs="Calibri"/>
          <w:color w:val="000000"/>
          <w:kern w:val="0"/>
          <w:sz w:val="20"/>
          <w:szCs w:val="20"/>
          <w:lang w:val="en-US" w:eastAsia="en-US"/>
          <w14:ligatures w14:val="none"/>
        </w:rPr>
        <w:t xml:space="preserve"> Indiana University Lilly Family School of Philanthropy. (2022). </w:t>
      </w:r>
      <w:r w:rsidRPr="00D909D0">
        <w:rPr>
          <w:rFonts w:ascii="Calibri" w:eastAsia="Calibri" w:hAnsi="Calibri" w:cs="Calibri"/>
          <w:i/>
          <w:iCs/>
          <w:color w:val="000000"/>
          <w:kern w:val="0"/>
          <w:sz w:val="20"/>
          <w:szCs w:val="20"/>
          <w:lang w:val="en-US" w:eastAsia="en-US"/>
          <w14:ligatures w14:val="none"/>
        </w:rPr>
        <w:t xml:space="preserve">The Philanthropy Environment in Europe. </w:t>
      </w:r>
      <w:hyperlink r:id="rId25" w:history="1">
        <w:r w:rsidRPr="00D909D0">
          <w:rPr>
            <w:rFonts w:ascii="Calibri" w:eastAsia="Calibri" w:hAnsi="Calibri" w:cs="Calibri"/>
            <w:color w:val="000000"/>
            <w:kern w:val="0"/>
            <w:lang w:val="en-US" w:eastAsia="en-US"/>
            <w14:ligatures w14:val="none"/>
          </w:rPr>
          <w:t>https://globalindices.iupui.edu/doc/PHILEA-IU-2022%20European%20Philanthropy%20Environment%20Brief.pdf</w:t>
        </w:r>
      </w:hyperlink>
      <w:r w:rsidRPr="00D909D0">
        <w:rPr>
          <w:rFonts w:ascii="Calibri" w:eastAsia="Calibri" w:hAnsi="Calibri" w:cs="Calibri"/>
          <w:color w:val="000000"/>
          <w:kern w:val="0"/>
          <w:sz w:val="20"/>
          <w:szCs w:val="20"/>
          <w:lang w:val="en-US" w:eastAsia="en-US"/>
          <w14:ligatures w14:val="none"/>
        </w:rPr>
        <w:t xml:space="preserve"> </w:t>
      </w:r>
    </w:p>
    <w:p w14:paraId="14036E4F"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1002ABE7" w14:textId="1789941A" w:rsidR="00D341D3" w:rsidRPr="00D909D0" w:rsidRDefault="00D341D3"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roofErr w:type="spellStart"/>
      <w:r w:rsidRPr="00D909D0">
        <w:rPr>
          <w:rFonts w:ascii="Calibri" w:eastAsia="Calibri" w:hAnsi="Calibri" w:cs="Calibri"/>
          <w:color w:val="000000"/>
          <w:kern w:val="0"/>
          <w:sz w:val="20"/>
          <w:szCs w:val="20"/>
          <w:lang w:val="en-US" w:eastAsia="en-US"/>
          <w14:ligatures w14:val="none"/>
        </w:rPr>
        <w:t>Surmatz</w:t>
      </w:r>
      <w:proofErr w:type="spellEnd"/>
      <w:r w:rsidRPr="00D909D0">
        <w:rPr>
          <w:rFonts w:ascii="Calibri" w:eastAsia="Calibri" w:hAnsi="Calibri" w:cs="Calibri"/>
          <w:color w:val="000000"/>
          <w:kern w:val="0"/>
          <w:sz w:val="20"/>
          <w:szCs w:val="20"/>
          <w:lang w:val="en-US" w:eastAsia="en-US"/>
          <w14:ligatures w14:val="none"/>
        </w:rPr>
        <w:t xml:space="preserve">, H. (2022). </w:t>
      </w:r>
      <w:r w:rsidRPr="00D909D0">
        <w:rPr>
          <w:rFonts w:ascii="Calibri" w:eastAsia="Calibri" w:hAnsi="Calibri" w:cs="Calibri"/>
          <w:i/>
          <w:iCs/>
          <w:color w:val="000000"/>
          <w:kern w:val="0"/>
          <w:sz w:val="20"/>
          <w:szCs w:val="20"/>
          <w:lang w:val="en-US" w:eastAsia="en-US"/>
          <w14:ligatures w14:val="none"/>
        </w:rPr>
        <w:t xml:space="preserve">2022 Global Philanthropy Environment Index Region Report: Southern Europe. </w:t>
      </w:r>
      <w:hyperlink r:id="rId26" w:history="1">
        <w:r w:rsidRPr="00D909D0">
          <w:rPr>
            <w:rFonts w:ascii="Calibri" w:eastAsia="Calibri" w:hAnsi="Calibri" w:cs="Calibri"/>
            <w:color w:val="000000"/>
            <w:kern w:val="0"/>
            <w:lang w:val="en-US" w:eastAsia="en-US"/>
            <w14:ligatures w14:val="none"/>
          </w:rPr>
          <w:t>https://scholarworks.iupui.edu/bitstream/handle/1805/27915/2022GPEISouthernEurope.pdf</w:t>
        </w:r>
      </w:hyperlink>
      <w:r w:rsidRPr="00D909D0">
        <w:rPr>
          <w:rFonts w:ascii="Calibri" w:eastAsia="Calibri" w:hAnsi="Calibri" w:cs="Calibri"/>
          <w:color w:val="000000"/>
          <w:kern w:val="0"/>
          <w:sz w:val="20"/>
          <w:szCs w:val="20"/>
          <w:lang w:val="en-US" w:eastAsia="en-US"/>
          <w14:ligatures w14:val="none"/>
        </w:rPr>
        <w:t xml:space="preserve"> </w:t>
      </w:r>
    </w:p>
    <w:p w14:paraId="192FE927" w14:textId="77777777" w:rsidR="00771400" w:rsidRPr="00D909D0" w:rsidRDefault="00771400" w:rsidP="0077140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p>
    <w:p w14:paraId="5CF9C511" w14:textId="143CE61F" w:rsidR="00D341D3" w:rsidRPr="00D909D0" w:rsidRDefault="002D00E8" w:rsidP="00D909D0">
      <w:pPr>
        <w:pBdr>
          <w:top w:val="nil"/>
          <w:left w:val="nil"/>
          <w:bottom w:val="nil"/>
          <w:right w:val="nil"/>
          <w:between w:val="nil"/>
        </w:pBdr>
        <w:tabs>
          <w:tab w:val="left" w:pos="1980"/>
        </w:tabs>
        <w:spacing w:after="0" w:line="240" w:lineRule="auto"/>
        <w:ind w:left="360" w:hanging="360"/>
        <w:jc w:val="both"/>
        <w:rPr>
          <w:rFonts w:ascii="Calibri" w:eastAsia="Calibri" w:hAnsi="Calibri" w:cs="Calibri"/>
          <w:color w:val="000000"/>
          <w:kern w:val="0"/>
          <w:sz w:val="20"/>
          <w:szCs w:val="20"/>
          <w:lang w:val="en-US" w:eastAsia="en-US"/>
          <w14:ligatures w14:val="none"/>
        </w:rPr>
      </w:pPr>
      <w:r w:rsidRPr="00D909D0">
        <w:rPr>
          <w:rFonts w:ascii="Calibri" w:eastAsia="Calibri" w:hAnsi="Calibri" w:cs="Calibri"/>
          <w:color w:val="000000"/>
          <w:kern w:val="0"/>
          <w:sz w:val="20"/>
          <w:szCs w:val="20"/>
          <w:lang w:val="en-US" w:eastAsia="en-US"/>
          <w14:ligatures w14:val="none"/>
        </w:rPr>
        <w:t xml:space="preserve">Thindwa, J., Monico, C., &amp; Reuben, W. (2003). Enabling environments for civic engagement in PRSP countries. </w:t>
      </w:r>
      <w:r w:rsidRPr="00D909D0">
        <w:rPr>
          <w:rFonts w:ascii="Calibri" w:eastAsia="Calibri" w:hAnsi="Calibri" w:cs="Calibri"/>
          <w:i/>
          <w:iCs/>
          <w:color w:val="000000"/>
          <w:kern w:val="0"/>
          <w:sz w:val="20"/>
          <w:szCs w:val="20"/>
          <w:lang w:val="en-US" w:eastAsia="en-US"/>
          <w14:ligatures w14:val="none"/>
        </w:rPr>
        <w:t>Social Development Notes</w:t>
      </w:r>
      <w:r w:rsidRPr="00D909D0">
        <w:rPr>
          <w:rFonts w:ascii="Calibri" w:eastAsia="Calibri" w:hAnsi="Calibri" w:cs="Calibri"/>
          <w:color w:val="000000"/>
          <w:kern w:val="0"/>
          <w:sz w:val="20"/>
          <w:szCs w:val="20"/>
          <w:lang w:val="en-US" w:eastAsia="en-US"/>
          <w14:ligatures w14:val="none"/>
        </w:rPr>
        <w:t xml:space="preserve">, 82, 1-5. Retrieved from </w:t>
      </w:r>
      <w:hyperlink r:id="rId27" w:history="1">
        <w:r w:rsidRPr="00D909D0">
          <w:rPr>
            <w:rFonts w:ascii="Calibri" w:eastAsia="Calibri" w:hAnsi="Calibri" w:cs="Calibri"/>
            <w:color w:val="000000"/>
            <w:kern w:val="0"/>
            <w:lang w:val="en-US" w:eastAsia="en-US"/>
            <w14:ligatures w14:val="none"/>
          </w:rPr>
          <w:t>http://hdl.handle.net/10986/11319</w:t>
        </w:r>
      </w:hyperlink>
      <w:r w:rsidRPr="00D909D0">
        <w:rPr>
          <w:rFonts w:ascii="Calibri" w:eastAsia="Calibri" w:hAnsi="Calibri" w:cs="Calibri"/>
          <w:color w:val="000000"/>
          <w:kern w:val="0"/>
          <w:sz w:val="20"/>
          <w:szCs w:val="20"/>
          <w:lang w:val="en-US" w:eastAsia="en-US"/>
          <w14:ligatures w14:val="none"/>
        </w:rPr>
        <w:t>.</w:t>
      </w:r>
    </w:p>
    <w:p w14:paraId="79F5A260" w14:textId="7ADFB36C" w:rsidR="002E637B" w:rsidRPr="00D341D3" w:rsidRDefault="00C45F51" w:rsidP="00D909D0">
      <w:pPr>
        <w:pStyle w:val="Heading1"/>
        <w:rPr>
          <w:lang w:val="en-US"/>
        </w:rPr>
      </w:pPr>
      <w:bookmarkStart w:id="19" w:name="_Toc138462046"/>
      <w:r w:rsidRPr="00D909D0">
        <w:rPr>
          <w:rFonts w:asciiTheme="minorHAnsi" w:hAnsiTheme="minorHAnsi" w:cstheme="minorHAnsi"/>
          <w:sz w:val="20"/>
          <w:szCs w:val="20"/>
          <w:lang w:val="en-US"/>
        </w:rPr>
        <w:t>Appendix</w:t>
      </w:r>
      <w:r w:rsidR="002D00E8">
        <w:rPr>
          <w:rFonts w:asciiTheme="minorHAnsi" w:hAnsiTheme="minorHAnsi" w:cstheme="minorHAnsi"/>
          <w:sz w:val="20"/>
          <w:szCs w:val="20"/>
          <w:lang w:val="en-US"/>
        </w:rPr>
        <w:t xml:space="preserve"> A.</w:t>
      </w:r>
      <w:bookmarkEnd w:id="19"/>
    </w:p>
    <w:tbl>
      <w:tblPr>
        <w:tblW w:w="8209" w:type="dxa"/>
        <w:tblBorders>
          <w:insideH w:val="single" w:sz="4" w:space="0" w:color="auto"/>
        </w:tblBorders>
        <w:tblLook w:val="04A0" w:firstRow="1" w:lastRow="0" w:firstColumn="1" w:lastColumn="0" w:noHBand="0" w:noVBand="1"/>
      </w:tblPr>
      <w:tblGrid>
        <w:gridCol w:w="2145"/>
        <w:gridCol w:w="1815"/>
        <w:gridCol w:w="607"/>
        <w:gridCol w:w="607"/>
        <w:gridCol w:w="607"/>
        <w:gridCol w:w="607"/>
        <w:gridCol w:w="607"/>
        <w:gridCol w:w="607"/>
        <w:gridCol w:w="607"/>
      </w:tblGrid>
      <w:tr w:rsidR="002E637B" w:rsidRPr="00D909D0" w14:paraId="1F00F94C" w14:textId="77777777" w:rsidTr="00D909D0">
        <w:trPr>
          <w:trHeight w:val="2607"/>
        </w:trPr>
        <w:tc>
          <w:tcPr>
            <w:tcW w:w="2145" w:type="dxa"/>
            <w:shd w:val="clear" w:color="auto" w:fill="auto"/>
            <w:noWrap/>
            <w:textDirection w:val="btLr"/>
            <w:hideMark/>
          </w:tcPr>
          <w:p w14:paraId="3AAEEA01"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COUNTRY</w:t>
            </w:r>
          </w:p>
        </w:tc>
        <w:tc>
          <w:tcPr>
            <w:tcW w:w="1815" w:type="dxa"/>
            <w:shd w:val="clear" w:color="auto" w:fill="auto"/>
            <w:noWrap/>
            <w:textDirection w:val="btLr"/>
            <w:hideMark/>
          </w:tcPr>
          <w:p w14:paraId="63540A4B"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REGION</w:t>
            </w:r>
          </w:p>
        </w:tc>
        <w:tc>
          <w:tcPr>
            <w:tcW w:w="607" w:type="dxa"/>
            <w:shd w:val="clear" w:color="auto" w:fill="auto"/>
            <w:noWrap/>
            <w:textDirection w:val="btLr"/>
            <w:hideMark/>
          </w:tcPr>
          <w:p w14:paraId="2A1BC899"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EASE OF OPERATING A po</w:t>
            </w:r>
          </w:p>
        </w:tc>
        <w:tc>
          <w:tcPr>
            <w:tcW w:w="607" w:type="dxa"/>
            <w:shd w:val="clear" w:color="auto" w:fill="auto"/>
            <w:noWrap/>
            <w:textDirection w:val="btLr"/>
            <w:hideMark/>
          </w:tcPr>
          <w:p w14:paraId="06EB57E6"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TAX INCENTIVES</w:t>
            </w:r>
          </w:p>
        </w:tc>
        <w:tc>
          <w:tcPr>
            <w:tcW w:w="607" w:type="dxa"/>
            <w:shd w:val="clear" w:color="auto" w:fill="auto"/>
            <w:noWrap/>
            <w:textDirection w:val="btLr"/>
            <w:hideMark/>
          </w:tcPr>
          <w:p w14:paraId="0D97BC85"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CROSS-BORDER FLOWS</w:t>
            </w:r>
          </w:p>
        </w:tc>
        <w:tc>
          <w:tcPr>
            <w:tcW w:w="607" w:type="dxa"/>
            <w:shd w:val="clear" w:color="auto" w:fill="auto"/>
            <w:noWrap/>
            <w:textDirection w:val="btLr"/>
            <w:hideMark/>
          </w:tcPr>
          <w:p w14:paraId="1127E301"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POLITICAL ENVIRONMENT</w:t>
            </w:r>
          </w:p>
        </w:tc>
        <w:tc>
          <w:tcPr>
            <w:tcW w:w="607" w:type="dxa"/>
            <w:shd w:val="clear" w:color="auto" w:fill="auto"/>
            <w:noWrap/>
            <w:textDirection w:val="btLr"/>
            <w:hideMark/>
          </w:tcPr>
          <w:p w14:paraId="423C690B"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ECONOMIC ENVIRONMENT</w:t>
            </w:r>
          </w:p>
        </w:tc>
        <w:tc>
          <w:tcPr>
            <w:tcW w:w="607" w:type="dxa"/>
            <w:shd w:val="clear" w:color="auto" w:fill="auto"/>
            <w:noWrap/>
            <w:textDirection w:val="btLr"/>
            <w:hideMark/>
          </w:tcPr>
          <w:p w14:paraId="22969002"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SOCIO-CULTURAL ENVIRONMENT</w:t>
            </w:r>
          </w:p>
        </w:tc>
        <w:tc>
          <w:tcPr>
            <w:tcW w:w="607" w:type="dxa"/>
            <w:shd w:val="clear" w:color="000000" w:fill="EBF1DE"/>
            <w:noWrap/>
            <w:textDirection w:val="btLr"/>
            <w:hideMark/>
          </w:tcPr>
          <w:p w14:paraId="051F5B5F" w14:textId="77777777" w:rsidR="002E637B" w:rsidRPr="00D909D0" w:rsidRDefault="002E637B" w:rsidP="002E637B">
            <w:pPr>
              <w:spacing w:after="0" w:line="240" w:lineRule="auto"/>
              <w:rPr>
                <w:rFonts w:eastAsia="Times New Roman" w:cstheme="minorHAnsi"/>
                <w:b/>
                <w:bCs/>
                <w:color w:val="000000"/>
                <w:kern w:val="0"/>
                <w:sz w:val="20"/>
                <w:szCs w:val="20"/>
                <w:lang w:val="en-US" w:eastAsia="en-US"/>
                <w14:ligatures w14:val="none"/>
              </w:rPr>
            </w:pPr>
            <w:r w:rsidRPr="00D909D0">
              <w:rPr>
                <w:rFonts w:eastAsia="Times New Roman" w:cstheme="minorHAnsi"/>
                <w:b/>
                <w:bCs/>
                <w:color w:val="000000"/>
                <w:kern w:val="0"/>
                <w:sz w:val="20"/>
                <w:szCs w:val="20"/>
                <w:lang w:val="en-US" w:eastAsia="en-US"/>
                <w14:ligatures w14:val="none"/>
              </w:rPr>
              <w:t>OVERALL SCORE</w:t>
            </w:r>
          </w:p>
        </w:tc>
      </w:tr>
      <w:tr w:rsidR="002E637B" w:rsidRPr="00D909D0" w14:paraId="315429C0" w14:textId="77777777" w:rsidTr="00D909D0">
        <w:trPr>
          <w:trHeight w:val="288"/>
        </w:trPr>
        <w:tc>
          <w:tcPr>
            <w:tcW w:w="2145" w:type="dxa"/>
            <w:shd w:val="clear" w:color="auto" w:fill="auto"/>
            <w:noWrap/>
            <w:vAlign w:val="bottom"/>
            <w:hideMark/>
          </w:tcPr>
          <w:p w14:paraId="03688B6A"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Albania</w:t>
            </w:r>
          </w:p>
        </w:tc>
        <w:tc>
          <w:tcPr>
            <w:tcW w:w="1815" w:type="dxa"/>
            <w:shd w:val="clear" w:color="auto" w:fill="auto"/>
            <w:noWrap/>
            <w:vAlign w:val="bottom"/>
            <w:hideMark/>
          </w:tcPr>
          <w:p w14:paraId="5CB91AD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44470F2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3.60</w:t>
            </w:r>
          </w:p>
        </w:tc>
        <w:tc>
          <w:tcPr>
            <w:tcW w:w="607" w:type="dxa"/>
            <w:shd w:val="clear" w:color="auto" w:fill="auto"/>
            <w:noWrap/>
            <w:vAlign w:val="bottom"/>
            <w:hideMark/>
          </w:tcPr>
          <w:p w14:paraId="751C563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2.40</w:t>
            </w:r>
          </w:p>
        </w:tc>
        <w:tc>
          <w:tcPr>
            <w:tcW w:w="607" w:type="dxa"/>
            <w:shd w:val="clear" w:color="auto" w:fill="auto"/>
            <w:noWrap/>
            <w:vAlign w:val="bottom"/>
            <w:hideMark/>
          </w:tcPr>
          <w:p w14:paraId="5B23F45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0D61735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3.25</w:t>
            </w:r>
          </w:p>
        </w:tc>
        <w:tc>
          <w:tcPr>
            <w:tcW w:w="607" w:type="dxa"/>
            <w:shd w:val="clear" w:color="auto" w:fill="auto"/>
            <w:noWrap/>
            <w:vAlign w:val="bottom"/>
            <w:hideMark/>
          </w:tcPr>
          <w:p w14:paraId="6E9394B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2EBE34A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000000" w:fill="EBF1DE"/>
            <w:noWrap/>
            <w:vAlign w:val="bottom"/>
            <w:hideMark/>
          </w:tcPr>
          <w:p w14:paraId="51F7FA8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3.13</w:t>
            </w:r>
          </w:p>
        </w:tc>
      </w:tr>
      <w:tr w:rsidR="002E637B" w:rsidRPr="00D909D0" w14:paraId="4045AAFF" w14:textId="77777777" w:rsidTr="00D909D0">
        <w:trPr>
          <w:trHeight w:val="288"/>
        </w:trPr>
        <w:tc>
          <w:tcPr>
            <w:tcW w:w="2145" w:type="dxa"/>
            <w:shd w:val="clear" w:color="auto" w:fill="auto"/>
            <w:noWrap/>
            <w:vAlign w:val="bottom"/>
            <w:hideMark/>
          </w:tcPr>
          <w:p w14:paraId="04D27083"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Austria</w:t>
            </w:r>
          </w:p>
        </w:tc>
        <w:tc>
          <w:tcPr>
            <w:tcW w:w="1815" w:type="dxa"/>
            <w:shd w:val="clear" w:color="auto" w:fill="auto"/>
            <w:noWrap/>
            <w:vAlign w:val="bottom"/>
            <w:hideMark/>
          </w:tcPr>
          <w:p w14:paraId="1833093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78F447B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4E70D43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5989D81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18338DE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0CD6819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1C369F6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000000" w:fill="EBF1DE"/>
            <w:noWrap/>
            <w:vAlign w:val="bottom"/>
            <w:hideMark/>
          </w:tcPr>
          <w:p w14:paraId="768DFD9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4.33</w:t>
            </w:r>
          </w:p>
        </w:tc>
      </w:tr>
      <w:tr w:rsidR="002E637B" w:rsidRPr="00D909D0" w14:paraId="52B85623" w14:textId="77777777" w:rsidTr="00D909D0">
        <w:trPr>
          <w:trHeight w:val="288"/>
        </w:trPr>
        <w:tc>
          <w:tcPr>
            <w:tcW w:w="2145" w:type="dxa"/>
            <w:shd w:val="clear" w:color="auto" w:fill="auto"/>
            <w:noWrap/>
            <w:vAlign w:val="bottom"/>
            <w:hideMark/>
          </w:tcPr>
          <w:p w14:paraId="4BBDD446"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Belgium</w:t>
            </w:r>
          </w:p>
        </w:tc>
        <w:tc>
          <w:tcPr>
            <w:tcW w:w="1815" w:type="dxa"/>
            <w:shd w:val="clear" w:color="auto" w:fill="auto"/>
            <w:noWrap/>
            <w:vAlign w:val="bottom"/>
            <w:hideMark/>
          </w:tcPr>
          <w:p w14:paraId="4C8560E3"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33E2CE0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1F072CD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71506B2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352BADB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67B3BA0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74F40D4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000000" w:fill="EBF1DE"/>
            <w:noWrap/>
            <w:vAlign w:val="bottom"/>
            <w:hideMark/>
          </w:tcPr>
          <w:p w14:paraId="51AF721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r>
      <w:tr w:rsidR="002E637B" w:rsidRPr="00D909D0" w14:paraId="18709541" w14:textId="77777777" w:rsidTr="00D909D0">
        <w:trPr>
          <w:trHeight w:val="288"/>
        </w:trPr>
        <w:tc>
          <w:tcPr>
            <w:tcW w:w="2145" w:type="dxa"/>
            <w:shd w:val="clear" w:color="auto" w:fill="auto"/>
            <w:noWrap/>
            <w:vAlign w:val="bottom"/>
            <w:hideMark/>
          </w:tcPr>
          <w:p w14:paraId="04CD53A3"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Bosnia and Herzegovina</w:t>
            </w:r>
          </w:p>
        </w:tc>
        <w:tc>
          <w:tcPr>
            <w:tcW w:w="1815" w:type="dxa"/>
            <w:shd w:val="clear" w:color="auto" w:fill="auto"/>
            <w:noWrap/>
            <w:vAlign w:val="bottom"/>
            <w:hideMark/>
          </w:tcPr>
          <w:p w14:paraId="540E3C4D"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412C36A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5838A47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3.25</w:t>
            </w:r>
          </w:p>
        </w:tc>
        <w:tc>
          <w:tcPr>
            <w:tcW w:w="607" w:type="dxa"/>
            <w:shd w:val="clear" w:color="auto" w:fill="auto"/>
            <w:noWrap/>
            <w:vAlign w:val="bottom"/>
            <w:hideMark/>
          </w:tcPr>
          <w:p w14:paraId="100A4B3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75F52D1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auto" w:fill="auto"/>
            <w:noWrap/>
            <w:vAlign w:val="bottom"/>
            <w:hideMark/>
          </w:tcPr>
          <w:p w14:paraId="59D0961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321AC13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4772C15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3.51</w:t>
            </w:r>
          </w:p>
        </w:tc>
      </w:tr>
      <w:tr w:rsidR="002E637B" w:rsidRPr="00D909D0" w14:paraId="6D950192" w14:textId="77777777" w:rsidTr="00D909D0">
        <w:trPr>
          <w:trHeight w:val="288"/>
        </w:trPr>
        <w:tc>
          <w:tcPr>
            <w:tcW w:w="2145" w:type="dxa"/>
            <w:shd w:val="clear" w:color="auto" w:fill="auto"/>
            <w:noWrap/>
            <w:vAlign w:val="bottom"/>
            <w:hideMark/>
          </w:tcPr>
          <w:p w14:paraId="321AA63F"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Bulgaria</w:t>
            </w:r>
          </w:p>
        </w:tc>
        <w:tc>
          <w:tcPr>
            <w:tcW w:w="1815" w:type="dxa"/>
            <w:shd w:val="clear" w:color="auto" w:fill="auto"/>
            <w:noWrap/>
            <w:vAlign w:val="bottom"/>
            <w:hideMark/>
          </w:tcPr>
          <w:p w14:paraId="43688B3D"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1CB2808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3.83</w:t>
            </w:r>
          </w:p>
        </w:tc>
        <w:tc>
          <w:tcPr>
            <w:tcW w:w="607" w:type="dxa"/>
            <w:shd w:val="clear" w:color="auto" w:fill="auto"/>
            <w:noWrap/>
            <w:vAlign w:val="bottom"/>
            <w:hideMark/>
          </w:tcPr>
          <w:p w14:paraId="06F9549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262F22B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4.25</w:t>
            </w:r>
          </w:p>
        </w:tc>
        <w:tc>
          <w:tcPr>
            <w:tcW w:w="607" w:type="dxa"/>
            <w:shd w:val="clear" w:color="auto" w:fill="auto"/>
            <w:noWrap/>
            <w:vAlign w:val="bottom"/>
            <w:hideMark/>
          </w:tcPr>
          <w:p w14:paraId="7954662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35DEE60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432BF6C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08A6444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3.56</w:t>
            </w:r>
          </w:p>
        </w:tc>
      </w:tr>
      <w:tr w:rsidR="002E637B" w:rsidRPr="00D909D0" w14:paraId="38C309AB" w14:textId="77777777" w:rsidTr="00D909D0">
        <w:trPr>
          <w:trHeight w:val="288"/>
        </w:trPr>
        <w:tc>
          <w:tcPr>
            <w:tcW w:w="2145" w:type="dxa"/>
            <w:shd w:val="clear" w:color="auto" w:fill="auto"/>
            <w:noWrap/>
            <w:vAlign w:val="bottom"/>
            <w:hideMark/>
          </w:tcPr>
          <w:p w14:paraId="086A3255"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Croatia</w:t>
            </w:r>
          </w:p>
        </w:tc>
        <w:tc>
          <w:tcPr>
            <w:tcW w:w="1815" w:type="dxa"/>
            <w:shd w:val="clear" w:color="auto" w:fill="auto"/>
            <w:noWrap/>
            <w:vAlign w:val="bottom"/>
            <w:hideMark/>
          </w:tcPr>
          <w:p w14:paraId="6D1996C1"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09B96CF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4.77</w:t>
            </w:r>
          </w:p>
        </w:tc>
        <w:tc>
          <w:tcPr>
            <w:tcW w:w="607" w:type="dxa"/>
            <w:shd w:val="clear" w:color="auto" w:fill="auto"/>
            <w:noWrap/>
            <w:vAlign w:val="bottom"/>
            <w:hideMark/>
          </w:tcPr>
          <w:p w14:paraId="299512B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3.60</w:t>
            </w:r>
          </w:p>
        </w:tc>
        <w:tc>
          <w:tcPr>
            <w:tcW w:w="607" w:type="dxa"/>
            <w:shd w:val="clear" w:color="auto" w:fill="auto"/>
            <w:noWrap/>
            <w:vAlign w:val="bottom"/>
            <w:hideMark/>
          </w:tcPr>
          <w:p w14:paraId="56FC0D6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1E9A621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3.25</w:t>
            </w:r>
          </w:p>
        </w:tc>
        <w:tc>
          <w:tcPr>
            <w:tcW w:w="607" w:type="dxa"/>
            <w:shd w:val="clear" w:color="auto" w:fill="auto"/>
            <w:noWrap/>
            <w:vAlign w:val="bottom"/>
            <w:hideMark/>
          </w:tcPr>
          <w:p w14:paraId="23B0C42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2.80</w:t>
            </w:r>
          </w:p>
        </w:tc>
        <w:tc>
          <w:tcPr>
            <w:tcW w:w="607" w:type="dxa"/>
            <w:shd w:val="clear" w:color="auto" w:fill="auto"/>
            <w:noWrap/>
            <w:vAlign w:val="bottom"/>
            <w:hideMark/>
          </w:tcPr>
          <w:p w14:paraId="4F61B27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3.80</w:t>
            </w:r>
          </w:p>
        </w:tc>
        <w:tc>
          <w:tcPr>
            <w:tcW w:w="607" w:type="dxa"/>
            <w:shd w:val="clear" w:color="000000" w:fill="EBF1DE"/>
            <w:noWrap/>
            <w:vAlign w:val="bottom"/>
            <w:hideMark/>
          </w:tcPr>
          <w:p w14:paraId="7208055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3.66</w:t>
            </w:r>
          </w:p>
        </w:tc>
      </w:tr>
      <w:tr w:rsidR="002E637B" w:rsidRPr="00D909D0" w14:paraId="62D2A919" w14:textId="77777777" w:rsidTr="00D909D0">
        <w:trPr>
          <w:trHeight w:val="288"/>
        </w:trPr>
        <w:tc>
          <w:tcPr>
            <w:tcW w:w="2145" w:type="dxa"/>
            <w:shd w:val="clear" w:color="auto" w:fill="auto"/>
            <w:noWrap/>
            <w:vAlign w:val="bottom"/>
            <w:hideMark/>
          </w:tcPr>
          <w:p w14:paraId="2D56BE36"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Czech Republic</w:t>
            </w:r>
          </w:p>
        </w:tc>
        <w:tc>
          <w:tcPr>
            <w:tcW w:w="1815" w:type="dxa"/>
            <w:shd w:val="clear" w:color="auto" w:fill="auto"/>
            <w:noWrap/>
            <w:vAlign w:val="bottom"/>
            <w:hideMark/>
          </w:tcPr>
          <w:p w14:paraId="73CBF65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72B5F71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49D6047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3.95</w:t>
            </w:r>
          </w:p>
        </w:tc>
        <w:tc>
          <w:tcPr>
            <w:tcW w:w="607" w:type="dxa"/>
            <w:shd w:val="clear" w:color="auto" w:fill="auto"/>
            <w:noWrap/>
            <w:vAlign w:val="bottom"/>
            <w:hideMark/>
          </w:tcPr>
          <w:p w14:paraId="3275A5C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4.10</w:t>
            </w:r>
          </w:p>
        </w:tc>
        <w:tc>
          <w:tcPr>
            <w:tcW w:w="607" w:type="dxa"/>
            <w:shd w:val="clear" w:color="auto" w:fill="auto"/>
            <w:noWrap/>
            <w:vAlign w:val="bottom"/>
            <w:hideMark/>
          </w:tcPr>
          <w:p w14:paraId="6666137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4.20</w:t>
            </w:r>
          </w:p>
        </w:tc>
        <w:tc>
          <w:tcPr>
            <w:tcW w:w="607" w:type="dxa"/>
            <w:shd w:val="clear" w:color="auto" w:fill="auto"/>
            <w:noWrap/>
            <w:vAlign w:val="bottom"/>
            <w:hideMark/>
          </w:tcPr>
          <w:p w14:paraId="7504C6D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auto" w:fill="auto"/>
            <w:noWrap/>
            <w:vAlign w:val="bottom"/>
            <w:hideMark/>
          </w:tcPr>
          <w:p w14:paraId="534C27E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3.20</w:t>
            </w:r>
          </w:p>
        </w:tc>
        <w:tc>
          <w:tcPr>
            <w:tcW w:w="607" w:type="dxa"/>
            <w:shd w:val="clear" w:color="000000" w:fill="EBF1DE"/>
            <w:noWrap/>
            <w:vAlign w:val="bottom"/>
            <w:hideMark/>
          </w:tcPr>
          <w:p w14:paraId="2BA48D6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3.88</w:t>
            </w:r>
          </w:p>
        </w:tc>
      </w:tr>
      <w:tr w:rsidR="002E637B" w:rsidRPr="00D909D0" w14:paraId="56AB7D13" w14:textId="77777777" w:rsidTr="00D909D0">
        <w:trPr>
          <w:trHeight w:val="288"/>
        </w:trPr>
        <w:tc>
          <w:tcPr>
            <w:tcW w:w="2145" w:type="dxa"/>
            <w:shd w:val="clear" w:color="auto" w:fill="auto"/>
            <w:noWrap/>
            <w:vAlign w:val="bottom"/>
            <w:hideMark/>
          </w:tcPr>
          <w:p w14:paraId="46AE12C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Denmark</w:t>
            </w:r>
          </w:p>
        </w:tc>
        <w:tc>
          <w:tcPr>
            <w:tcW w:w="1815" w:type="dxa"/>
            <w:shd w:val="clear" w:color="auto" w:fill="auto"/>
            <w:noWrap/>
            <w:vAlign w:val="bottom"/>
            <w:hideMark/>
          </w:tcPr>
          <w:p w14:paraId="1F123475"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Northern Europe</w:t>
            </w:r>
          </w:p>
        </w:tc>
        <w:tc>
          <w:tcPr>
            <w:tcW w:w="607" w:type="dxa"/>
            <w:shd w:val="clear" w:color="auto" w:fill="auto"/>
            <w:noWrap/>
            <w:vAlign w:val="bottom"/>
            <w:hideMark/>
          </w:tcPr>
          <w:p w14:paraId="187324C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1456A99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5BB470F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345E007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15453F3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1C979E6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7FA421A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r>
      <w:tr w:rsidR="002E637B" w:rsidRPr="00D909D0" w14:paraId="6C6F1440" w14:textId="77777777" w:rsidTr="00D909D0">
        <w:trPr>
          <w:trHeight w:val="288"/>
        </w:trPr>
        <w:tc>
          <w:tcPr>
            <w:tcW w:w="2145" w:type="dxa"/>
            <w:shd w:val="clear" w:color="auto" w:fill="auto"/>
            <w:noWrap/>
            <w:vAlign w:val="bottom"/>
            <w:hideMark/>
          </w:tcPr>
          <w:p w14:paraId="0BEA1C58"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Finland</w:t>
            </w:r>
          </w:p>
        </w:tc>
        <w:tc>
          <w:tcPr>
            <w:tcW w:w="1815" w:type="dxa"/>
            <w:shd w:val="clear" w:color="auto" w:fill="auto"/>
            <w:noWrap/>
            <w:vAlign w:val="bottom"/>
            <w:hideMark/>
          </w:tcPr>
          <w:p w14:paraId="2F4E18A9"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Northern Europe</w:t>
            </w:r>
          </w:p>
        </w:tc>
        <w:tc>
          <w:tcPr>
            <w:tcW w:w="607" w:type="dxa"/>
            <w:shd w:val="clear" w:color="auto" w:fill="auto"/>
            <w:noWrap/>
            <w:vAlign w:val="bottom"/>
            <w:hideMark/>
          </w:tcPr>
          <w:p w14:paraId="6214EA2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5768B7E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676521C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DCD432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36961F0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38317D6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5DA3B54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r>
      <w:tr w:rsidR="002E637B" w:rsidRPr="00D909D0" w14:paraId="6DC39083" w14:textId="77777777" w:rsidTr="00D909D0">
        <w:trPr>
          <w:trHeight w:val="288"/>
        </w:trPr>
        <w:tc>
          <w:tcPr>
            <w:tcW w:w="2145" w:type="dxa"/>
            <w:shd w:val="clear" w:color="auto" w:fill="auto"/>
            <w:noWrap/>
            <w:vAlign w:val="bottom"/>
            <w:hideMark/>
          </w:tcPr>
          <w:p w14:paraId="7C68CDD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France</w:t>
            </w:r>
          </w:p>
        </w:tc>
        <w:tc>
          <w:tcPr>
            <w:tcW w:w="1815" w:type="dxa"/>
            <w:shd w:val="clear" w:color="auto" w:fill="auto"/>
            <w:noWrap/>
            <w:vAlign w:val="bottom"/>
            <w:hideMark/>
          </w:tcPr>
          <w:p w14:paraId="5BAC9A6C"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07AD16C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4.33</w:t>
            </w:r>
          </w:p>
        </w:tc>
        <w:tc>
          <w:tcPr>
            <w:tcW w:w="607" w:type="dxa"/>
            <w:shd w:val="clear" w:color="auto" w:fill="auto"/>
            <w:noWrap/>
            <w:vAlign w:val="bottom"/>
            <w:hideMark/>
          </w:tcPr>
          <w:p w14:paraId="165069B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5F4C15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39A9E5F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45E934B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1E990CF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7093B63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4.64</w:t>
            </w:r>
          </w:p>
        </w:tc>
      </w:tr>
      <w:tr w:rsidR="002E637B" w:rsidRPr="00D909D0" w14:paraId="2F4804B5" w14:textId="77777777" w:rsidTr="00D909D0">
        <w:trPr>
          <w:trHeight w:val="288"/>
        </w:trPr>
        <w:tc>
          <w:tcPr>
            <w:tcW w:w="2145" w:type="dxa"/>
            <w:shd w:val="clear" w:color="auto" w:fill="auto"/>
            <w:noWrap/>
            <w:vAlign w:val="bottom"/>
            <w:hideMark/>
          </w:tcPr>
          <w:p w14:paraId="028BD4B9"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Germany</w:t>
            </w:r>
          </w:p>
        </w:tc>
        <w:tc>
          <w:tcPr>
            <w:tcW w:w="1815" w:type="dxa"/>
            <w:shd w:val="clear" w:color="auto" w:fill="auto"/>
            <w:noWrap/>
            <w:vAlign w:val="bottom"/>
            <w:hideMark/>
          </w:tcPr>
          <w:p w14:paraId="496C7CAC"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61F7A68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c>
          <w:tcPr>
            <w:tcW w:w="607" w:type="dxa"/>
            <w:shd w:val="clear" w:color="auto" w:fill="auto"/>
            <w:noWrap/>
            <w:vAlign w:val="bottom"/>
            <w:hideMark/>
          </w:tcPr>
          <w:p w14:paraId="74BD7EC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4B5BFC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6B8A4E1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33E3AA2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4004025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74DBCCA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4.78</w:t>
            </w:r>
          </w:p>
        </w:tc>
      </w:tr>
      <w:tr w:rsidR="002E637B" w:rsidRPr="00D909D0" w14:paraId="0EB7FA5E" w14:textId="77777777" w:rsidTr="00D909D0">
        <w:trPr>
          <w:trHeight w:val="288"/>
        </w:trPr>
        <w:tc>
          <w:tcPr>
            <w:tcW w:w="2145" w:type="dxa"/>
            <w:shd w:val="clear" w:color="auto" w:fill="auto"/>
            <w:noWrap/>
            <w:vAlign w:val="bottom"/>
            <w:hideMark/>
          </w:tcPr>
          <w:p w14:paraId="78E950F8"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Greece</w:t>
            </w:r>
          </w:p>
        </w:tc>
        <w:tc>
          <w:tcPr>
            <w:tcW w:w="1815" w:type="dxa"/>
            <w:shd w:val="clear" w:color="auto" w:fill="auto"/>
            <w:noWrap/>
            <w:vAlign w:val="bottom"/>
            <w:hideMark/>
          </w:tcPr>
          <w:p w14:paraId="29D4234B"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Southern Europe</w:t>
            </w:r>
          </w:p>
        </w:tc>
        <w:tc>
          <w:tcPr>
            <w:tcW w:w="607" w:type="dxa"/>
            <w:shd w:val="clear" w:color="auto" w:fill="auto"/>
            <w:noWrap/>
            <w:vAlign w:val="bottom"/>
            <w:hideMark/>
          </w:tcPr>
          <w:p w14:paraId="4A5ACEF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4.63</w:t>
            </w:r>
          </w:p>
        </w:tc>
        <w:tc>
          <w:tcPr>
            <w:tcW w:w="607" w:type="dxa"/>
            <w:shd w:val="clear" w:color="auto" w:fill="auto"/>
            <w:noWrap/>
            <w:vAlign w:val="bottom"/>
            <w:hideMark/>
          </w:tcPr>
          <w:p w14:paraId="18C3721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1CFD90D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46AA347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auto" w:fill="auto"/>
            <w:noWrap/>
            <w:vAlign w:val="bottom"/>
            <w:hideMark/>
          </w:tcPr>
          <w:p w14:paraId="0AAB811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3.10</w:t>
            </w:r>
          </w:p>
        </w:tc>
        <w:tc>
          <w:tcPr>
            <w:tcW w:w="607" w:type="dxa"/>
            <w:shd w:val="clear" w:color="auto" w:fill="auto"/>
            <w:noWrap/>
            <w:vAlign w:val="bottom"/>
            <w:hideMark/>
          </w:tcPr>
          <w:p w14:paraId="70840A3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2.40</w:t>
            </w:r>
          </w:p>
        </w:tc>
        <w:tc>
          <w:tcPr>
            <w:tcW w:w="607" w:type="dxa"/>
            <w:shd w:val="clear" w:color="000000" w:fill="EBF1DE"/>
            <w:noWrap/>
            <w:vAlign w:val="bottom"/>
            <w:hideMark/>
          </w:tcPr>
          <w:p w14:paraId="148A0A4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3.53</w:t>
            </w:r>
          </w:p>
        </w:tc>
      </w:tr>
      <w:tr w:rsidR="002E637B" w:rsidRPr="00D909D0" w14:paraId="271F7B27" w14:textId="77777777" w:rsidTr="00D909D0">
        <w:trPr>
          <w:trHeight w:val="288"/>
        </w:trPr>
        <w:tc>
          <w:tcPr>
            <w:tcW w:w="2145" w:type="dxa"/>
            <w:shd w:val="clear" w:color="auto" w:fill="auto"/>
            <w:noWrap/>
            <w:vAlign w:val="bottom"/>
            <w:hideMark/>
          </w:tcPr>
          <w:p w14:paraId="430C95B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Hungary</w:t>
            </w:r>
          </w:p>
        </w:tc>
        <w:tc>
          <w:tcPr>
            <w:tcW w:w="1815" w:type="dxa"/>
            <w:shd w:val="clear" w:color="auto" w:fill="auto"/>
            <w:noWrap/>
            <w:vAlign w:val="bottom"/>
            <w:hideMark/>
          </w:tcPr>
          <w:p w14:paraId="54D80503"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7E45302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3.83</w:t>
            </w:r>
          </w:p>
        </w:tc>
        <w:tc>
          <w:tcPr>
            <w:tcW w:w="607" w:type="dxa"/>
            <w:shd w:val="clear" w:color="auto" w:fill="auto"/>
            <w:noWrap/>
            <w:vAlign w:val="bottom"/>
            <w:hideMark/>
          </w:tcPr>
          <w:p w14:paraId="3F5485B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3.25</w:t>
            </w:r>
          </w:p>
        </w:tc>
        <w:tc>
          <w:tcPr>
            <w:tcW w:w="607" w:type="dxa"/>
            <w:shd w:val="clear" w:color="auto" w:fill="auto"/>
            <w:noWrap/>
            <w:vAlign w:val="bottom"/>
            <w:hideMark/>
          </w:tcPr>
          <w:p w14:paraId="289A464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4185C26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2.25</w:t>
            </w:r>
          </w:p>
        </w:tc>
        <w:tc>
          <w:tcPr>
            <w:tcW w:w="607" w:type="dxa"/>
            <w:shd w:val="clear" w:color="auto" w:fill="auto"/>
            <w:noWrap/>
            <w:vAlign w:val="bottom"/>
            <w:hideMark/>
          </w:tcPr>
          <w:p w14:paraId="437F588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077544D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38DD916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3.14</w:t>
            </w:r>
          </w:p>
        </w:tc>
      </w:tr>
      <w:tr w:rsidR="002E637B" w:rsidRPr="00D909D0" w14:paraId="6E5EE917" w14:textId="77777777" w:rsidTr="00D909D0">
        <w:trPr>
          <w:trHeight w:val="288"/>
        </w:trPr>
        <w:tc>
          <w:tcPr>
            <w:tcW w:w="2145" w:type="dxa"/>
            <w:shd w:val="clear" w:color="auto" w:fill="auto"/>
            <w:noWrap/>
            <w:vAlign w:val="bottom"/>
            <w:hideMark/>
          </w:tcPr>
          <w:p w14:paraId="7DC44821"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Ireland</w:t>
            </w:r>
          </w:p>
        </w:tc>
        <w:tc>
          <w:tcPr>
            <w:tcW w:w="1815" w:type="dxa"/>
            <w:shd w:val="clear" w:color="auto" w:fill="auto"/>
            <w:noWrap/>
            <w:vAlign w:val="bottom"/>
            <w:hideMark/>
          </w:tcPr>
          <w:p w14:paraId="6E100655"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77CFDDE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4.73</w:t>
            </w:r>
          </w:p>
        </w:tc>
        <w:tc>
          <w:tcPr>
            <w:tcW w:w="607" w:type="dxa"/>
            <w:shd w:val="clear" w:color="auto" w:fill="auto"/>
            <w:noWrap/>
            <w:vAlign w:val="bottom"/>
            <w:hideMark/>
          </w:tcPr>
          <w:p w14:paraId="7C806D2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4.25</w:t>
            </w:r>
          </w:p>
        </w:tc>
        <w:tc>
          <w:tcPr>
            <w:tcW w:w="607" w:type="dxa"/>
            <w:shd w:val="clear" w:color="auto" w:fill="auto"/>
            <w:noWrap/>
            <w:vAlign w:val="bottom"/>
            <w:hideMark/>
          </w:tcPr>
          <w:p w14:paraId="65E7B48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4.25</w:t>
            </w:r>
          </w:p>
        </w:tc>
        <w:tc>
          <w:tcPr>
            <w:tcW w:w="607" w:type="dxa"/>
            <w:shd w:val="clear" w:color="auto" w:fill="auto"/>
            <w:noWrap/>
            <w:vAlign w:val="bottom"/>
            <w:hideMark/>
          </w:tcPr>
          <w:p w14:paraId="0506612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60CA36D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3.80</w:t>
            </w:r>
          </w:p>
        </w:tc>
        <w:tc>
          <w:tcPr>
            <w:tcW w:w="607" w:type="dxa"/>
            <w:shd w:val="clear" w:color="auto" w:fill="auto"/>
            <w:noWrap/>
            <w:vAlign w:val="bottom"/>
            <w:hideMark/>
          </w:tcPr>
          <w:p w14:paraId="48A7956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000000" w:fill="EBF1DE"/>
            <w:noWrap/>
            <w:vAlign w:val="bottom"/>
            <w:hideMark/>
          </w:tcPr>
          <w:p w14:paraId="601A5C9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4.26</w:t>
            </w:r>
          </w:p>
        </w:tc>
      </w:tr>
      <w:tr w:rsidR="002E637B" w:rsidRPr="00D909D0" w14:paraId="08CAFAB0" w14:textId="77777777" w:rsidTr="00D909D0">
        <w:trPr>
          <w:trHeight w:val="288"/>
        </w:trPr>
        <w:tc>
          <w:tcPr>
            <w:tcW w:w="2145" w:type="dxa"/>
            <w:shd w:val="clear" w:color="auto" w:fill="auto"/>
            <w:noWrap/>
            <w:vAlign w:val="bottom"/>
            <w:hideMark/>
          </w:tcPr>
          <w:p w14:paraId="4A210832"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Italy</w:t>
            </w:r>
          </w:p>
        </w:tc>
        <w:tc>
          <w:tcPr>
            <w:tcW w:w="1815" w:type="dxa"/>
            <w:shd w:val="clear" w:color="auto" w:fill="auto"/>
            <w:noWrap/>
            <w:vAlign w:val="bottom"/>
            <w:hideMark/>
          </w:tcPr>
          <w:p w14:paraId="70445548"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Southern Europe</w:t>
            </w:r>
          </w:p>
        </w:tc>
        <w:tc>
          <w:tcPr>
            <w:tcW w:w="607" w:type="dxa"/>
            <w:shd w:val="clear" w:color="auto" w:fill="auto"/>
            <w:noWrap/>
            <w:vAlign w:val="bottom"/>
            <w:hideMark/>
          </w:tcPr>
          <w:p w14:paraId="0888934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4.77</w:t>
            </w:r>
          </w:p>
        </w:tc>
        <w:tc>
          <w:tcPr>
            <w:tcW w:w="607" w:type="dxa"/>
            <w:shd w:val="clear" w:color="auto" w:fill="auto"/>
            <w:noWrap/>
            <w:vAlign w:val="bottom"/>
            <w:hideMark/>
          </w:tcPr>
          <w:p w14:paraId="7A8803C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4F04FCF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4.20</w:t>
            </w:r>
          </w:p>
        </w:tc>
        <w:tc>
          <w:tcPr>
            <w:tcW w:w="607" w:type="dxa"/>
            <w:shd w:val="clear" w:color="auto" w:fill="auto"/>
            <w:noWrap/>
            <w:vAlign w:val="bottom"/>
            <w:hideMark/>
          </w:tcPr>
          <w:p w14:paraId="0D68B73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054A8B8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3.80</w:t>
            </w:r>
          </w:p>
        </w:tc>
        <w:tc>
          <w:tcPr>
            <w:tcW w:w="607" w:type="dxa"/>
            <w:shd w:val="clear" w:color="auto" w:fill="auto"/>
            <w:noWrap/>
            <w:vAlign w:val="bottom"/>
            <w:hideMark/>
          </w:tcPr>
          <w:p w14:paraId="17D6C6B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000000" w:fill="EBF1DE"/>
            <w:noWrap/>
            <w:vAlign w:val="bottom"/>
            <w:hideMark/>
          </w:tcPr>
          <w:p w14:paraId="2592B8D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4.38</w:t>
            </w:r>
          </w:p>
        </w:tc>
      </w:tr>
      <w:tr w:rsidR="002E637B" w:rsidRPr="00D909D0" w14:paraId="335E3060" w14:textId="77777777" w:rsidTr="00D909D0">
        <w:trPr>
          <w:trHeight w:val="288"/>
        </w:trPr>
        <w:tc>
          <w:tcPr>
            <w:tcW w:w="2145" w:type="dxa"/>
            <w:shd w:val="clear" w:color="auto" w:fill="auto"/>
            <w:noWrap/>
            <w:vAlign w:val="bottom"/>
            <w:hideMark/>
          </w:tcPr>
          <w:p w14:paraId="6DFFE3D6"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Kosovo</w:t>
            </w:r>
          </w:p>
        </w:tc>
        <w:tc>
          <w:tcPr>
            <w:tcW w:w="1815" w:type="dxa"/>
            <w:shd w:val="clear" w:color="auto" w:fill="auto"/>
            <w:noWrap/>
            <w:vAlign w:val="bottom"/>
            <w:hideMark/>
          </w:tcPr>
          <w:p w14:paraId="0CD487E6"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506E3F7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4.60</w:t>
            </w:r>
          </w:p>
        </w:tc>
        <w:tc>
          <w:tcPr>
            <w:tcW w:w="607" w:type="dxa"/>
            <w:shd w:val="clear" w:color="auto" w:fill="auto"/>
            <w:noWrap/>
            <w:vAlign w:val="bottom"/>
            <w:hideMark/>
          </w:tcPr>
          <w:p w14:paraId="3085D24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4.25</w:t>
            </w:r>
          </w:p>
        </w:tc>
        <w:tc>
          <w:tcPr>
            <w:tcW w:w="607" w:type="dxa"/>
            <w:shd w:val="clear" w:color="auto" w:fill="auto"/>
            <w:noWrap/>
            <w:vAlign w:val="bottom"/>
            <w:hideMark/>
          </w:tcPr>
          <w:p w14:paraId="18E0FF6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4.10</w:t>
            </w:r>
          </w:p>
        </w:tc>
        <w:tc>
          <w:tcPr>
            <w:tcW w:w="607" w:type="dxa"/>
            <w:shd w:val="clear" w:color="auto" w:fill="auto"/>
            <w:noWrap/>
            <w:vAlign w:val="bottom"/>
            <w:hideMark/>
          </w:tcPr>
          <w:p w14:paraId="0AB2034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4.15</w:t>
            </w:r>
          </w:p>
        </w:tc>
        <w:tc>
          <w:tcPr>
            <w:tcW w:w="607" w:type="dxa"/>
            <w:shd w:val="clear" w:color="auto" w:fill="auto"/>
            <w:noWrap/>
            <w:vAlign w:val="bottom"/>
            <w:hideMark/>
          </w:tcPr>
          <w:p w14:paraId="6A35A3B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26D6C8A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000000" w:fill="EBF1DE"/>
            <w:noWrap/>
            <w:vAlign w:val="bottom"/>
            <w:hideMark/>
          </w:tcPr>
          <w:p w14:paraId="18DB627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3.93</w:t>
            </w:r>
          </w:p>
        </w:tc>
      </w:tr>
      <w:tr w:rsidR="002E637B" w:rsidRPr="00D909D0" w14:paraId="5D670D11" w14:textId="77777777" w:rsidTr="00D909D0">
        <w:trPr>
          <w:trHeight w:val="288"/>
        </w:trPr>
        <w:tc>
          <w:tcPr>
            <w:tcW w:w="2145" w:type="dxa"/>
            <w:shd w:val="clear" w:color="auto" w:fill="auto"/>
            <w:noWrap/>
            <w:vAlign w:val="bottom"/>
            <w:hideMark/>
          </w:tcPr>
          <w:p w14:paraId="3F7299FB"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Liechtenstein</w:t>
            </w:r>
          </w:p>
        </w:tc>
        <w:tc>
          <w:tcPr>
            <w:tcW w:w="1815" w:type="dxa"/>
            <w:shd w:val="clear" w:color="auto" w:fill="auto"/>
            <w:noWrap/>
            <w:vAlign w:val="bottom"/>
            <w:hideMark/>
          </w:tcPr>
          <w:p w14:paraId="2A8A1A7C"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0F26DAE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4.93</w:t>
            </w:r>
          </w:p>
        </w:tc>
        <w:tc>
          <w:tcPr>
            <w:tcW w:w="607" w:type="dxa"/>
            <w:shd w:val="clear" w:color="auto" w:fill="auto"/>
            <w:noWrap/>
            <w:vAlign w:val="bottom"/>
            <w:hideMark/>
          </w:tcPr>
          <w:p w14:paraId="60A8407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4.90</w:t>
            </w:r>
          </w:p>
        </w:tc>
        <w:tc>
          <w:tcPr>
            <w:tcW w:w="607" w:type="dxa"/>
            <w:shd w:val="clear" w:color="auto" w:fill="auto"/>
            <w:noWrap/>
            <w:vAlign w:val="bottom"/>
            <w:hideMark/>
          </w:tcPr>
          <w:p w14:paraId="31BE9ED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4.90</w:t>
            </w:r>
          </w:p>
        </w:tc>
        <w:tc>
          <w:tcPr>
            <w:tcW w:w="607" w:type="dxa"/>
            <w:shd w:val="clear" w:color="auto" w:fill="auto"/>
            <w:noWrap/>
            <w:vAlign w:val="bottom"/>
            <w:hideMark/>
          </w:tcPr>
          <w:p w14:paraId="78E0E7C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4.90</w:t>
            </w:r>
          </w:p>
        </w:tc>
        <w:tc>
          <w:tcPr>
            <w:tcW w:w="607" w:type="dxa"/>
            <w:shd w:val="clear" w:color="auto" w:fill="auto"/>
            <w:noWrap/>
            <w:vAlign w:val="bottom"/>
            <w:hideMark/>
          </w:tcPr>
          <w:p w14:paraId="6729EF8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4ED5F2B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4.80</w:t>
            </w:r>
          </w:p>
        </w:tc>
        <w:tc>
          <w:tcPr>
            <w:tcW w:w="607" w:type="dxa"/>
            <w:shd w:val="clear" w:color="000000" w:fill="EBF1DE"/>
            <w:noWrap/>
            <w:vAlign w:val="bottom"/>
            <w:hideMark/>
          </w:tcPr>
          <w:p w14:paraId="00CD41E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4.91</w:t>
            </w:r>
          </w:p>
        </w:tc>
      </w:tr>
      <w:tr w:rsidR="002E637B" w:rsidRPr="00D909D0" w14:paraId="18A741A6" w14:textId="77777777" w:rsidTr="00D909D0">
        <w:trPr>
          <w:trHeight w:val="288"/>
        </w:trPr>
        <w:tc>
          <w:tcPr>
            <w:tcW w:w="2145" w:type="dxa"/>
            <w:shd w:val="clear" w:color="auto" w:fill="auto"/>
            <w:noWrap/>
            <w:vAlign w:val="bottom"/>
            <w:hideMark/>
          </w:tcPr>
          <w:p w14:paraId="556D3B9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Montenegro</w:t>
            </w:r>
          </w:p>
        </w:tc>
        <w:tc>
          <w:tcPr>
            <w:tcW w:w="1815" w:type="dxa"/>
            <w:shd w:val="clear" w:color="auto" w:fill="auto"/>
            <w:noWrap/>
            <w:vAlign w:val="bottom"/>
            <w:hideMark/>
          </w:tcPr>
          <w:p w14:paraId="5A92E851"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50E73F9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c>
          <w:tcPr>
            <w:tcW w:w="607" w:type="dxa"/>
            <w:shd w:val="clear" w:color="auto" w:fill="auto"/>
            <w:noWrap/>
            <w:vAlign w:val="bottom"/>
            <w:hideMark/>
          </w:tcPr>
          <w:p w14:paraId="527E9D3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5E61B39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6532E68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3.45</w:t>
            </w:r>
          </w:p>
        </w:tc>
        <w:tc>
          <w:tcPr>
            <w:tcW w:w="607" w:type="dxa"/>
            <w:shd w:val="clear" w:color="auto" w:fill="auto"/>
            <w:noWrap/>
            <w:vAlign w:val="bottom"/>
            <w:hideMark/>
          </w:tcPr>
          <w:p w14:paraId="6CC2472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2.80</w:t>
            </w:r>
          </w:p>
        </w:tc>
        <w:tc>
          <w:tcPr>
            <w:tcW w:w="607" w:type="dxa"/>
            <w:shd w:val="clear" w:color="auto" w:fill="auto"/>
            <w:noWrap/>
            <w:vAlign w:val="bottom"/>
            <w:hideMark/>
          </w:tcPr>
          <w:p w14:paraId="7431281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3.80</w:t>
            </w:r>
          </w:p>
        </w:tc>
        <w:tc>
          <w:tcPr>
            <w:tcW w:w="607" w:type="dxa"/>
            <w:shd w:val="clear" w:color="000000" w:fill="EBF1DE"/>
            <w:noWrap/>
            <w:vAlign w:val="bottom"/>
            <w:hideMark/>
          </w:tcPr>
          <w:p w14:paraId="1CDB004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3.79</w:t>
            </w:r>
          </w:p>
        </w:tc>
      </w:tr>
      <w:tr w:rsidR="002E637B" w:rsidRPr="00D909D0" w14:paraId="7D132058" w14:textId="77777777" w:rsidTr="00D909D0">
        <w:trPr>
          <w:trHeight w:val="288"/>
        </w:trPr>
        <w:tc>
          <w:tcPr>
            <w:tcW w:w="2145" w:type="dxa"/>
            <w:shd w:val="clear" w:color="auto" w:fill="auto"/>
            <w:noWrap/>
            <w:vAlign w:val="bottom"/>
            <w:hideMark/>
          </w:tcPr>
          <w:p w14:paraId="638E2F35"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Netherlands</w:t>
            </w:r>
          </w:p>
        </w:tc>
        <w:tc>
          <w:tcPr>
            <w:tcW w:w="1815" w:type="dxa"/>
            <w:shd w:val="clear" w:color="auto" w:fill="auto"/>
            <w:noWrap/>
            <w:vAlign w:val="bottom"/>
            <w:hideMark/>
          </w:tcPr>
          <w:p w14:paraId="60B5DD0B"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3BEDD23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DA5DB4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c>
          <w:tcPr>
            <w:tcW w:w="607" w:type="dxa"/>
            <w:shd w:val="clear" w:color="auto" w:fill="auto"/>
            <w:noWrap/>
            <w:vAlign w:val="bottom"/>
            <w:hideMark/>
          </w:tcPr>
          <w:p w14:paraId="4ED8EF3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735E811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c>
          <w:tcPr>
            <w:tcW w:w="607" w:type="dxa"/>
            <w:shd w:val="clear" w:color="auto" w:fill="auto"/>
            <w:noWrap/>
            <w:vAlign w:val="bottom"/>
            <w:hideMark/>
          </w:tcPr>
          <w:p w14:paraId="0B8C888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295EB66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000000" w:fill="EBF1DE"/>
            <w:noWrap/>
            <w:vAlign w:val="bottom"/>
            <w:hideMark/>
          </w:tcPr>
          <w:p w14:paraId="3189587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r>
      <w:tr w:rsidR="002E637B" w:rsidRPr="00D909D0" w14:paraId="0F55C62E" w14:textId="77777777" w:rsidTr="00D909D0">
        <w:trPr>
          <w:trHeight w:val="288"/>
        </w:trPr>
        <w:tc>
          <w:tcPr>
            <w:tcW w:w="2145" w:type="dxa"/>
            <w:shd w:val="clear" w:color="auto" w:fill="auto"/>
            <w:noWrap/>
            <w:vAlign w:val="bottom"/>
            <w:hideMark/>
          </w:tcPr>
          <w:p w14:paraId="61CCD7BD"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North Macedonia</w:t>
            </w:r>
          </w:p>
        </w:tc>
        <w:tc>
          <w:tcPr>
            <w:tcW w:w="1815" w:type="dxa"/>
            <w:shd w:val="clear" w:color="auto" w:fill="auto"/>
            <w:noWrap/>
            <w:vAlign w:val="bottom"/>
            <w:hideMark/>
          </w:tcPr>
          <w:p w14:paraId="0A7D4C99"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03F0426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c>
          <w:tcPr>
            <w:tcW w:w="607" w:type="dxa"/>
            <w:shd w:val="clear" w:color="auto" w:fill="auto"/>
            <w:noWrap/>
            <w:vAlign w:val="bottom"/>
            <w:hideMark/>
          </w:tcPr>
          <w:p w14:paraId="332F50F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3940EEE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0B19634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6802EC2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532A0E3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0F7179A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3.94</w:t>
            </w:r>
          </w:p>
        </w:tc>
      </w:tr>
      <w:tr w:rsidR="002E637B" w:rsidRPr="00D909D0" w14:paraId="388A02E2" w14:textId="77777777" w:rsidTr="00D909D0">
        <w:trPr>
          <w:trHeight w:val="288"/>
        </w:trPr>
        <w:tc>
          <w:tcPr>
            <w:tcW w:w="2145" w:type="dxa"/>
            <w:shd w:val="clear" w:color="auto" w:fill="auto"/>
            <w:noWrap/>
            <w:vAlign w:val="bottom"/>
            <w:hideMark/>
          </w:tcPr>
          <w:p w14:paraId="68A08E8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Norway</w:t>
            </w:r>
          </w:p>
        </w:tc>
        <w:tc>
          <w:tcPr>
            <w:tcW w:w="1815" w:type="dxa"/>
            <w:shd w:val="clear" w:color="auto" w:fill="auto"/>
            <w:noWrap/>
            <w:vAlign w:val="bottom"/>
            <w:hideMark/>
          </w:tcPr>
          <w:p w14:paraId="7287C2C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Northern Europe</w:t>
            </w:r>
          </w:p>
        </w:tc>
        <w:tc>
          <w:tcPr>
            <w:tcW w:w="607" w:type="dxa"/>
            <w:shd w:val="clear" w:color="auto" w:fill="auto"/>
            <w:noWrap/>
            <w:vAlign w:val="bottom"/>
            <w:hideMark/>
          </w:tcPr>
          <w:p w14:paraId="5D47426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11CC210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5F1C8DD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657A720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576741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4C4FF9C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332F4C2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4.83</w:t>
            </w:r>
          </w:p>
        </w:tc>
      </w:tr>
      <w:tr w:rsidR="002E637B" w:rsidRPr="00D909D0" w14:paraId="23F13036" w14:textId="77777777" w:rsidTr="00D909D0">
        <w:trPr>
          <w:trHeight w:val="288"/>
        </w:trPr>
        <w:tc>
          <w:tcPr>
            <w:tcW w:w="2145" w:type="dxa"/>
            <w:shd w:val="clear" w:color="auto" w:fill="auto"/>
            <w:noWrap/>
            <w:vAlign w:val="bottom"/>
            <w:hideMark/>
          </w:tcPr>
          <w:p w14:paraId="219D7C35"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Poland</w:t>
            </w:r>
          </w:p>
        </w:tc>
        <w:tc>
          <w:tcPr>
            <w:tcW w:w="1815" w:type="dxa"/>
            <w:shd w:val="clear" w:color="auto" w:fill="auto"/>
            <w:noWrap/>
            <w:vAlign w:val="bottom"/>
            <w:hideMark/>
          </w:tcPr>
          <w:p w14:paraId="31B2CA82"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330F9B1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78BEA91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45698D0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7D533B4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2.50</w:t>
            </w:r>
          </w:p>
        </w:tc>
        <w:tc>
          <w:tcPr>
            <w:tcW w:w="607" w:type="dxa"/>
            <w:shd w:val="clear" w:color="auto" w:fill="auto"/>
            <w:noWrap/>
            <w:vAlign w:val="bottom"/>
            <w:hideMark/>
          </w:tcPr>
          <w:p w14:paraId="7D16CDF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6EE76FC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3FB87F1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3.67</w:t>
            </w:r>
          </w:p>
        </w:tc>
      </w:tr>
      <w:tr w:rsidR="002E637B" w:rsidRPr="00D909D0" w14:paraId="5DDB093C" w14:textId="77777777" w:rsidTr="00D909D0">
        <w:trPr>
          <w:trHeight w:val="288"/>
        </w:trPr>
        <w:tc>
          <w:tcPr>
            <w:tcW w:w="2145" w:type="dxa"/>
            <w:shd w:val="clear" w:color="auto" w:fill="auto"/>
            <w:noWrap/>
            <w:vAlign w:val="bottom"/>
            <w:hideMark/>
          </w:tcPr>
          <w:p w14:paraId="76D355B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Portugal</w:t>
            </w:r>
          </w:p>
        </w:tc>
        <w:tc>
          <w:tcPr>
            <w:tcW w:w="1815" w:type="dxa"/>
            <w:shd w:val="clear" w:color="auto" w:fill="auto"/>
            <w:noWrap/>
            <w:vAlign w:val="bottom"/>
            <w:hideMark/>
          </w:tcPr>
          <w:p w14:paraId="248B4B7B"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Southern Europe</w:t>
            </w:r>
          </w:p>
        </w:tc>
        <w:tc>
          <w:tcPr>
            <w:tcW w:w="607" w:type="dxa"/>
            <w:shd w:val="clear" w:color="auto" w:fill="auto"/>
            <w:noWrap/>
            <w:vAlign w:val="bottom"/>
            <w:hideMark/>
          </w:tcPr>
          <w:p w14:paraId="0EDB81F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16163AE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3.65</w:t>
            </w:r>
          </w:p>
        </w:tc>
        <w:tc>
          <w:tcPr>
            <w:tcW w:w="607" w:type="dxa"/>
            <w:shd w:val="clear" w:color="auto" w:fill="auto"/>
            <w:noWrap/>
            <w:vAlign w:val="bottom"/>
            <w:hideMark/>
          </w:tcPr>
          <w:p w14:paraId="6DDF472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auto" w:fill="auto"/>
            <w:noWrap/>
            <w:vAlign w:val="bottom"/>
            <w:hideMark/>
          </w:tcPr>
          <w:p w14:paraId="29BA623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6E569BF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0BA93CB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768B6CD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3.49</w:t>
            </w:r>
          </w:p>
        </w:tc>
      </w:tr>
      <w:tr w:rsidR="002E637B" w:rsidRPr="00D909D0" w14:paraId="2FA55FD2" w14:textId="77777777" w:rsidTr="00D909D0">
        <w:trPr>
          <w:trHeight w:val="288"/>
        </w:trPr>
        <w:tc>
          <w:tcPr>
            <w:tcW w:w="2145" w:type="dxa"/>
            <w:shd w:val="clear" w:color="auto" w:fill="auto"/>
            <w:noWrap/>
            <w:vAlign w:val="bottom"/>
            <w:hideMark/>
          </w:tcPr>
          <w:p w14:paraId="36FE255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Romania</w:t>
            </w:r>
          </w:p>
        </w:tc>
        <w:tc>
          <w:tcPr>
            <w:tcW w:w="1815" w:type="dxa"/>
            <w:shd w:val="clear" w:color="auto" w:fill="auto"/>
            <w:noWrap/>
            <w:vAlign w:val="bottom"/>
            <w:hideMark/>
          </w:tcPr>
          <w:p w14:paraId="4EEADBE2"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23025B2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4.13</w:t>
            </w:r>
          </w:p>
        </w:tc>
        <w:tc>
          <w:tcPr>
            <w:tcW w:w="607" w:type="dxa"/>
            <w:shd w:val="clear" w:color="auto" w:fill="auto"/>
            <w:noWrap/>
            <w:vAlign w:val="bottom"/>
            <w:hideMark/>
          </w:tcPr>
          <w:p w14:paraId="2C707A4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7210DB9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0BC47D0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4.35</w:t>
            </w:r>
          </w:p>
        </w:tc>
        <w:tc>
          <w:tcPr>
            <w:tcW w:w="607" w:type="dxa"/>
            <w:shd w:val="clear" w:color="auto" w:fill="auto"/>
            <w:noWrap/>
            <w:vAlign w:val="bottom"/>
            <w:hideMark/>
          </w:tcPr>
          <w:p w14:paraId="0BFE563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3.90</w:t>
            </w:r>
          </w:p>
        </w:tc>
        <w:tc>
          <w:tcPr>
            <w:tcW w:w="607" w:type="dxa"/>
            <w:shd w:val="clear" w:color="auto" w:fill="auto"/>
            <w:noWrap/>
            <w:vAlign w:val="bottom"/>
            <w:hideMark/>
          </w:tcPr>
          <w:p w14:paraId="373EEE9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3.80</w:t>
            </w:r>
          </w:p>
        </w:tc>
        <w:tc>
          <w:tcPr>
            <w:tcW w:w="607" w:type="dxa"/>
            <w:shd w:val="clear" w:color="000000" w:fill="EBF1DE"/>
            <w:noWrap/>
            <w:vAlign w:val="bottom"/>
            <w:hideMark/>
          </w:tcPr>
          <w:p w14:paraId="0454434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4.03</w:t>
            </w:r>
          </w:p>
        </w:tc>
      </w:tr>
      <w:tr w:rsidR="002E637B" w:rsidRPr="00D909D0" w14:paraId="43700772" w14:textId="77777777" w:rsidTr="00D909D0">
        <w:trPr>
          <w:trHeight w:val="288"/>
        </w:trPr>
        <w:tc>
          <w:tcPr>
            <w:tcW w:w="2145" w:type="dxa"/>
            <w:shd w:val="clear" w:color="auto" w:fill="auto"/>
            <w:noWrap/>
            <w:vAlign w:val="bottom"/>
            <w:hideMark/>
          </w:tcPr>
          <w:p w14:paraId="7659C62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Russia</w:t>
            </w:r>
          </w:p>
        </w:tc>
        <w:tc>
          <w:tcPr>
            <w:tcW w:w="1815" w:type="dxa"/>
            <w:shd w:val="clear" w:color="auto" w:fill="auto"/>
            <w:noWrap/>
            <w:vAlign w:val="bottom"/>
            <w:hideMark/>
          </w:tcPr>
          <w:p w14:paraId="6D133E86"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165286C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3.33</w:t>
            </w:r>
          </w:p>
        </w:tc>
        <w:tc>
          <w:tcPr>
            <w:tcW w:w="607" w:type="dxa"/>
            <w:shd w:val="clear" w:color="auto" w:fill="auto"/>
            <w:noWrap/>
            <w:vAlign w:val="bottom"/>
            <w:hideMark/>
          </w:tcPr>
          <w:p w14:paraId="770A448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3.65</w:t>
            </w:r>
          </w:p>
        </w:tc>
        <w:tc>
          <w:tcPr>
            <w:tcW w:w="607" w:type="dxa"/>
            <w:shd w:val="clear" w:color="auto" w:fill="auto"/>
            <w:noWrap/>
            <w:vAlign w:val="bottom"/>
            <w:hideMark/>
          </w:tcPr>
          <w:p w14:paraId="5FF3077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097345B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3.15</w:t>
            </w:r>
          </w:p>
        </w:tc>
        <w:tc>
          <w:tcPr>
            <w:tcW w:w="607" w:type="dxa"/>
            <w:shd w:val="clear" w:color="auto" w:fill="auto"/>
            <w:noWrap/>
            <w:vAlign w:val="bottom"/>
            <w:hideMark/>
          </w:tcPr>
          <w:p w14:paraId="2646484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714EF07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000000" w:fill="EBF1DE"/>
            <w:noWrap/>
            <w:vAlign w:val="bottom"/>
            <w:hideMark/>
          </w:tcPr>
          <w:p w14:paraId="7C6B823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3.44</w:t>
            </w:r>
          </w:p>
        </w:tc>
      </w:tr>
      <w:tr w:rsidR="002E637B" w:rsidRPr="00D909D0" w14:paraId="34B4C355" w14:textId="77777777" w:rsidTr="00D909D0">
        <w:trPr>
          <w:trHeight w:val="288"/>
        </w:trPr>
        <w:tc>
          <w:tcPr>
            <w:tcW w:w="2145" w:type="dxa"/>
            <w:shd w:val="clear" w:color="auto" w:fill="auto"/>
            <w:noWrap/>
            <w:vAlign w:val="bottom"/>
            <w:hideMark/>
          </w:tcPr>
          <w:p w14:paraId="3BDA7D8D"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Serbia</w:t>
            </w:r>
          </w:p>
        </w:tc>
        <w:tc>
          <w:tcPr>
            <w:tcW w:w="1815" w:type="dxa"/>
            <w:shd w:val="clear" w:color="auto" w:fill="auto"/>
            <w:noWrap/>
            <w:vAlign w:val="bottom"/>
            <w:hideMark/>
          </w:tcPr>
          <w:p w14:paraId="480F5B98"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Balkan Countries</w:t>
            </w:r>
          </w:p>
        </w:tc>
        <w:tc>
          <w:tcPr>
            <w:tcW w:w="607" w:type="dxa"/>
            <w:shd w:val="clear" w:color="auto" w:fill="auto"/>
            <w:noWrap/>
            <w:vAlign w:val="bottom"/>
            <w:hideMark/>
          </w:tcPr>
          <w:p w14:paraId="1039BA1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c>
          <w:tcPr>
            <w:tcW w:w="607" w:type="dxa"/>
            <w:shd w:val="clear" w:color="auto" w:fill="auto"/>
            <w:noWrap/>
            <w:vAlign w:val="bottom"/>
            <w:hideMark/>
          </w:tcPr>
          <w:p w14:paraId="11A52FC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0927490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43285F1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auto" w:fill="auto"/>
            <w:noWrap/>
            <w:vAlign w:val="bottom"/>
            <w:hideMark/>
          </w:tcPr>
          <w:p w14:paraId="7ED3CF6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1EC7FC5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000000" w:fill="EBF1DE"/>
            <w:noWrap/>
            <w:vAlign w:val="bottom"/>
            <w:hideMark/>
          </w:tcPr>
          <w:p w14:paraId="7928FE6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3.54</w:t>
            </w:r>
          </w:p>
        </w:tc>
      </w:tr>
      <w:tr w:rsidR="002E637B" w:rsidRPr="00D909D0" w14:paraId="56948F9B" w14:textId="77777777" w:rsidTr="00D909D0">
        <w:trPr>
          <w:trHeight w:val="288"/>
        </w:trPr>
        <w:tc>
          <w:tcPr>
            <w:tcW w:w="2145" w:type="dxa"/>
            <w:shd w:val="clear" w:color="auto" w:fill="auto"/>
            <w:noWrap/>
            <w:vAlign w:val="bottom"/>
            <w:hideMark/>
          </w:tcPr>
          <w:p w14:paraId="15B66EEB"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Slovakia</w:t>
            </w:r>
          </w:p>
        </w:tc>
        <w:tc>
          <w:tcPr>
            <w:tcW w:w="1815" w:type="dxa"/>
            <w:shd w:val="clear" w:color="auto" w:fill="auto"/>
            <w:noWrap/>
            <w:vAlign w:val="bottom"/>
            <w:hideMark/>
          </w:tcPr>
          <w:p w14:paraId="12C9FB73"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69C0289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4.40</w:t>
            </w:r>
          </w:p>
        </w:tc>
        <w:tc>
          <w:tcPr>
            <w:tcW w:w="607" w:type="dxa"/>
            <w:shd w:val="clear" w:color="auto" w:fill="auto"/>
            <w:noWrap/>
            <w:vAlign w:val="bottom"/>
            <w:hideMark/>
          </w:tcPr>
          <w:p w14:paraId="0BE2237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4.20</w:t>
            </w:r>
          </w:p>
        </w:tc>
        <w:tc>
          <w:tcPr>
            <w:tcW w:w="607" w:type="dxa"/>
            <w:shd w:val="clear" w:color="auto" w:fill="auto"/>
            <w:noWrap/>
            <w:vAlign w:val="bottom"/>
            <w:hideMark/>
          </w:tcPr>
          <w:p w14:paraId="7D765FD1"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4.05</w:t>
            </w:r>
          </w:p>
        </w:tc>
        <w:tc>
          <w:tcPr>
            <w:tcW w:w="607" w:type="dxa"/>
            <w:shd w:val="clear" w:color="auto" w:fill="auto"/>
            <w:noWrap/>
            <w:vAlign w:val="bottom"/>
            <w:hideMark/>
          </w:tcPr>
          <w:p w14:paraId="4146D6D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3.40</w:t>
            </w:r>
          </w:p>
        </w:tc>
        <w:tc>
          <w:tcPr>
            <w:tcW w:w="607" w:type="dxa"/>
            <w:shd w:val="clear" w:color="auto" w:fill="auto"/>
            <w:noWrap/>
            <w:vAlign w:val="bottom"/>
            <w:hideMark/>
          </w:tcPr>
          <w:p w14:paraId="55AD41D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72C3840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3.30</w:t>
            </w:r>
          </w:p>
        </w:tc>
        <w:tc>
          <w:tcPr>
            <w:tcW w:w="607" w:type="dxa"/>
            <w:shd w:val="clear" w:color="000000" w:fill="EBF1DE"/>
            <w:noWrap/>
            <w:vAlign w:val="bottom"/>
            <w:hideMark/>
          </w:tcPr>
          <w:p w14:paraId="51AC35B0"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3.81</w:t>
            </w:r>
          </w:p>
        </w:tc>
      </w:tr>
      <w:tr w:rsidR="002E637B" w:rsidRPr="00D909D0" w14:paraId="08FF332B" w14:textId="77777777" w:rsidTr="00D909D0">
        <w:trPr>
          <w:trHeight w:val="288"/>
        </w:trPr>
        <w:tc>
          <w:tcPr>
            <w:tcW w:w="2145" w:type="dxa"/>
            <w:shd w:val="clear" w:color="auto" w:fill="auto"/>
            <w:noWrap/>
            <w:vAlign w:val="bottom"/>
            <w:hideMark/>
          </w:tcPr>
          <w:p w14:paraId="1C561204"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Spain</w:t>
            </w:r>
          </w:p>
        </w:tc>
        <w:tc>
          <w:tcPr>
            <w:tcW w:w="1815" w:type="dxa"/>
            <w:shd w:val="clear" w:color="auto" w:fill="auto"/>
            <w:noWrap/>
            <w:vAlign w:val="bottom"/>
            <w:hideMark/>
          </w:tcPr>
          <w:p w14:paraId="2CFDDBBA"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Southern Europe</w:t>
            </w:r>
          </w:p>
        </w:tc>
        <w:tc>
          <w:tcPr>
            <w:tcW w:w="607" w:type="dxa"/>
            <w:shd w:val="clear" w:color="auto" w:fill="auto"/>
            <w:noWrap/>
            <w:vAlign w:val="bottom"/>
            <w:hideMark/>
          </w:tcPr>
          <w:p w14:paraId="21E331D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4.33</w:t>
            </w:r>
          </w:p>
        </w:tc>
        <w:tc>
          <w:tcPr>
            <w:tcW w:w="607" w:type="dxa"/>
            <w:shd w:val="clear" w:color="auto" w:fill="auto"/>
            <w:noWrap/>
            <w:vAlign w:val="bottom"/>
            <w:hideMark/>
          </w:tcPr>
          <w:p w14:paraId="23FC7CB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284A6B3A"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4A00609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3.50</w:t>
            </w:r>
          </w:p>
        </w:tc>
        <w:tc>
          <w:tcPr>
            <w:tcW w:w="607" w:type="dxa"/>
            <w:shd w:val="clear" w:color="auto" w:fill="auto"/>
            <w:noWrap/>
            <w:vAlign w:val="bottom"/>
            <w:hideMark/>
          </w:tcPr>
          <w:p w14:paraId="0B87715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66146F5F"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3.40</w:t>
            </w:r>
          </w:p>
        </w:tc>
        <w:tc>
          <w:tcPr>
            <w:tcW w:w="607" w:type="dxa"/>
            <w:shd w:val="clear" w:color="000000" w:fill="EBF1DE"/>
            <w:noWrap/>
            <w:vAlign w:val="bottom"/>
            <w:hideMark/>
          </w:tcPr>
          <w:p w14:paraId="39017C0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3.83</w:t>
            </w:r>
          </w:p>
        </w:tc>
      </w:tr>
      <w:tr w:rsidR="002E637B" w:rsidRPr="00D909D0" w14:paraId="7967B643" w14:textId="77777777" w:rsidTr="00D909D0">
        <w:trPr>
          <w:trHeight w:val="288"/>
        </w:trPr>
        <w:tc>
          <w:tcPr>
            <w:tcW w:w="2145" w:type="dxa"/>
            <w:shd w:val="clear" w:color="auto" w:fill="auto"/>
            <w:noWrap/>
            <w:vAlign w:val="bottom"/>
            <w:hideMark/>
          </w:tcPr>
          <w:p w14:paraId="415AB550"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Sweden</w:t>
            </w:r>
          </w:p>
        </w:tc>
        <w:tc>
          <w:tcPr>
            <w:tcW w:w="1815" w:type="dxa"/>
            <w:shd w:val="clear" w:color="auto" w:fill="auto"/>
            <w:noWrap/>
            <w:vAlign w:val="bottom"/>
            <w:hideMark/>
          </w:tcPr>
          <w:p w14:paraId="4FEA9CD9"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Northern Europe</w:t>
            </w:r>
          </w:p>
        </w:tc>
        <w:tc>
          <w:tcPr>
            <w:tcW w:w="607" w:type="dxa"/>
            <w:shd w:val="clear" w:color="auto" w:fill="auto"/>
            <w:noWrap/>
            <w:vAlign w:val="bottom"/>
            <w:hideMark/>
          </w:tcPr>
          <w:p w14:paraId="7690020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0DABA90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0D80589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0FD2A98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4.75</w:t>
            </w:r>
          </w:p>
        </w:tc>
        <w:tc>
          <w:tcPr>
            <w:tcW w:w="607" w:type="dxa"/>
            <w:shd w:val="clear" w:color="auto" w:fill="auto"/>
            <w:noWrap/>
            <w:vAlign w:val="bottom"/>
            <w:hideMark/>
          </w:tcPr>
          <w:p w14:paraId="1FBDE39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52D0683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000000" w:fill="EBF1DE"/>
            <w:noWrap/>
            <w:vAlign w:val="bottom"/>
            <w:hideMark/>
          </w:tcPr>
          <w:p w14:paraId="203A58A7"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4.63</w:t>
            </w:r>
          </w:p>
        </w:tc>
      </w:tr>
      <w:tr w:rsidR="002E637B" w:rsidRPr="00D909D0" w14:paraId="22A06389" w14:textId="77777777" w:rsidTr="00D909D0">
        <w:trPr>
          <w:trHeight w:val="288"/>
        </w:trPr>
        <w:tc>
          <w:tcPr>
            <w:tcW w:w="2145" w:type="dxa"/>
            <w:shd w:val="clear" w:color="auto" w:fill="auto"/>
            <w:noWrap/>
            <w:vAlign w:val="bottom"/>
            <w:hideMark/>
          </w:tcPr>
          <w:p w14:paraId="1AC82001"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Switzerland</w:t>
            </w:r>
          </w:p>
        </w:tc>
        <w:tc>
          <w:tcPr>
            <w:tcW w:w="1815" w:type="dxa"/>
            <w:shd w:val="clear" w:color="auto" w:fill="auto"/>
            <w:noWrap/>
            <w:vAlign w:val="bottom"/>
            <w:hideMark/>
          </w:tcPr>
          <w:p w14:paraId="0A807CFD"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7E47B95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209E511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4.85</w:t>
            </w:r>
          </w:p>
        </w:tc>
        <w:tc>
          <w:tcPr>
            <w:tcW w:w="607" w:type="dxa"/>
            <w:shd w:val="clear" w:color="auto" w:fill="auto"/>
            <w:noWrap/>
            <w:vAlign w:val="bottom"/>
            <w:hideMark/>
          </w:tcPr>
          <w:p w14:paraId="7499BD6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4.50</w:t>
            </w:r>
          </w:p>
        </w:tc>
        <w:tc>
          <w:tcPr>
            <w:tcW w:w="607" w:type="dxa"/>
            <w:shd w:val="clear" w:color="auto" w:fill="auto"/>
            <w:noWrap/>
            <w:vAlign w:val="bottom"/>
            <w:hideMark/>
          </w:tcPr>
          <w:p w14:paraId="49037D9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4.60</w:t>
            </w:r>
          </w:p>
        </w:tc>
        <w:tc>
          <w:tcPr>
            <w:tcW w:w="607" w:type="dxa"/>
            <w:shd w:val="clear" w:color="auto" w:fill="auto"/>
            <w:noWrap/>
            <w:vAlign w:val="bottom"/>
            <w:hideMark/>
          </w:tcPr>
          <w:p w14:paraId="25F6092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auto" w:fill="auto"/>
            <w:noWrap/>
            <w:vAlign w:val="bottom"/>
            <w:hideMark/>
          </w:tcPr>
          <w:p w14:paraId="6ACA34A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5.00</w:t>
            </w:r>
          </w:p>
        </w:tc>
        <w:tc>
          <w:tcPr>
            <w:tcW w:w="607" w:type="dxa"/>
            <w:shd w:val="clear" w:color="000000" w:fill="EBF1DE"/>
            <w:noWrap/>
            <w:vAlign w:val="bottom"/>
            <w:hideMark/>
          </w:tcPr>
          <w:p w14:paraId="6A538EF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4.83</w:t>
            </w:r>
          </w:p>
        </w:tc>
      </w:tr>
      <w:tr w:rsidR="002E637B" w:rsidRPr="00D909D0" w14:paraId="4F3FF738" w14:textId="77777777" w:rsidTr="00D909D0">
        <w:trPr>
          <w:trHeight w:val="288"/>
        </w:trPr>
        <w:tc>
          <w:tcPr>
            <w:tcW w:w="2145" w:type="dxa"/>
            <w:shd w:val="clear" w:color="auto" w:fill="auto"/>
            <w:noWrap/>
            <w:vAlign w:val="bottom"/>
            <w:hideMark/>
          </w:tcPr>
          <w:p w14:paraId="7E175562"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Turkey</w:t>
            </w:r>
          </w:p>
        </w:tc>
        <w:tc>
          <w:tcPr>
            <w:tcW w:w="1815" w:type="dxa"/>
            <w:shd w:val="clear" w:color="auto" w:fill="auto"/>
            <w:noWrap/>
            <w:vAlign w:val="bottom"/>
            <w:hideMark/>
          </w:tcPr>
          <w:p w14:paraId="60338FE7"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Southern Europe</w:t>
            </w:r>
          </w:p>
        </w:tc>
        <w:tc>
          <w:tcPr>
            <w:tcW w:w="607" w:type="dxa"/>
            <w:shd w:val="clear" w:color="auto" w:fill="auto"/>
            <w:noWrap/>
            <w:vAlign w:val="bottom"/>
            <w:hideMark/>
          </w:tcPr>
          <w:p w14:paraId="3524822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2.17</w:t>
            </w:r>
          </w:p>
        </w:tc>
        <w:tc>
          <w:tcPr>
            <w:tcW w:w="607" w:type="dxa"/>
            <w:shd w:val="clear" w:color="auto" w:fill="auto"/>
            <w:noWrap/>
            <w:vAlign w:val="bottom"/>
            <w:hideMark/>
          </w:tcPr>
          <w:p w14:paraId="54A13DCC"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2.00</w:t>
            </w:r>
          </w:p>
        </w:tc>
        <w:tc>
          <w:tcPr>
            <w:tcW w:w="607" w:type="dxa"/>
            <w:shd w:val="clear" w:color="auto" w:fill="auto"/>
            <w:noWrap/>
            <w:vAlign w:val="bottom"/>
            <w:hideMark/>
          </w:tcPr>
          <w:p w14:paraId="48CCA71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3.00</w:t>
            </w:r>
          </w:p>
        </w:tc>
        <w:tc>
          <w:tcPr>
            <w:tcW w:w="607" w:type="dxa"/>
            <w:shd w:val="clear" w:color="auto" w:fill="auto"/>
            <w:noWrap/>
            <w:vAlign w:val="bottom"/>
            <w:hideMark/>
          </w:tcPr>
          <w:p w14:paraId="6E32A0A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2.00</w:t>
            </w:r>
          </w:p>
        </w:tc>
        <w:tc>
          <w:tcPr>
            <w:tcW w:w="607" w:type="dxa"/>
            <w:shd w:val="clear" w:color="auto" w:fill="auto"/>
            <w:noWrap/>
            <w:vAlign w:val="bottom"/>
            <w:hideMark/>
          </w:tcPr>
          <w:p w14:paraId="274A003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2.50</w:t>
            </w:r>
          </w:p>
        </w:tc>
        <w:tc>
          <w:tcPr>
            <w:tcW w:w="607" w:type="dxa"/>
            <w:shd w:val="clear" w:color="auto" w:fill="auto"/>
            <w:noWrap/>
            <w:vAlign w:val="bottom"/>
            <w:hideMark/>
          </w:tcPr>
          <w:p w14:paraId="5CF6CD7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000000" w:fill="EBF1DE"/>
            <w:noWrap/>
            <w:vAlign w:val="bottom"/>
            <w:hideMark/>
          </w:tcPr>
          <w:p w14:paraId="0336254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2.61</w:t>
            </w:r>
          </w:p>
        </w:tc>
      </w:tr>
      <w:tr w:rsidR="002E637B" w:rsidRPr="00D909D0" w14:paraId="16127B03" w14:textId="77777777" w:rsidTr="00D909D0">
        <w:trPr>
          <w:trHeight w:val="288"/>
        </w:trPr>
        <w:tc>
          <w:tcPr>
            <w:tcW w:w="2145" w:type="dxa"/>
            <w:shd w:val="clear" w:color="auto" w:fill="auto"/>
            <w:noWrap/>
            <w:vAlign w:val="bottom"/>
            <w:hideMark/>
          </w:tcPr>
          <w:p w14:paraId="63FBF98F"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Ukraine</w:t>
            </w:r>
          </w:p>
        </w:tc>
        <w:tc>
          <w:tcPr>
            <w:tcW w:w="1815" w:type="dxa"/>
            <w:shd w:val="clear" w:color="auto" w:fill="auto"/>
            <w:noWrap/>
            <w:vAlign w:val="bottom"/>
            <w:hideMark/>
          </w:tcPr>
          <w:p w14:paraId="54A1C81A"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Central Europe</w:t>
            </w:r>
          </w:p>
        </w:tc>
        <w:tc>
          <w:tcPr>
            <w:tcW w:w="607" w:type="dxa"/>
            <w:shd w:val="clear" w:color="auto" w:fill="auto"/>
            <w:noWrap/>
            <w:vAlign w:val="bottom"/>
            <w:hideMark/>
          </w:tcPr>
          <w:p w14:paraId="5D866F86"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4.73</w:t>
            </w:r>
          </w:p>
        </w:tc>
        <w:tc>
          <w:tcPr>
            <w:tcW w:w="607" w:type="dxa"/>
            <w:shd w:val="clear" w:color="auto" w:fill="auto"/>
            <w:noWrap/>
            <w:vAlign w:val="bottom"/>
            <w:hideMark/>
          </w:tcPr>
          <w:p w14:paraId="09715EF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3.95</w:t>
            </w:r>
          </w:p>
        </w:tc>
        <w:tc>
          <w:tcPr>
            <w:tcW w:w="607" w:type="dxa"/>
            <w:shd w:val="clear" w:color="auto" w:fill="auto"/>
            <w:noWrap/>
            <w:vAlign w:val="bottom"/>
            <w:hideMark/>
          </w:tcPr>
          <w:p w14:paraId="5D550A29"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4.05</w:t>
            </w:r>
          </w:p>
        </w:tc>
        <w:tc>
          <w:tcPr>
            <w:tcW w:w="607" w:type="dxa"/>
            <w:shd w:val="clear" w:color="auto" w:fill="auto"/>
            <w:noWrap/>
            <w:vAlign w:val="bottom"/>
            <w:hideMark/>
          </w:tcPr>
          <w:p w14:paraId="2273BE55"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3.85</w:t>
            </w:r>
          </w:p>
        </w:tc>
        <w:tc>
          <w:tcPr>
            <w:tcW w:w="607" w:type="dxa"/>
            <w:shd w:val="clear" w:color="auto" w:fill="auto"/>
            <w:noWrap/>
            <w:vAlign w:val="bottom"/>
            <w:hideMark/>
          </w:tcPr>
          <w:p w14:paraId="4D598AE2"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2.40</w:t>
            </w:r>
          </w:p>
        </w:tc>
        <w:tc>
          <w:tcPr>
            <w:tcW w:w="607" w:type="dxa"/>
            <w:shd w:val="clear" w:color="auto" w:fill="auto"/>
            <w:noWrap/>
            <w:vAlign w:val="bottom"/>
            <w:hideMark/>
          </w:tcPr>
          <w:p w14:paraId="7F31EF4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3.70</w:t>
            </w:r>
          </w:p>
        </w:tc>
        <w:tc>
          <w:tcPr>
            <w:tcW w:w="607" w:type="dxa"/>
            <w:shd w:val="clear" w:color="000000" w:fill="EBF1DE"/>
            <w:noWrap/>
            <w:vAlign w:val="bottom"/>
            <w:hideMark/>
          </w:tcPr>
          <w:p w14:paraId="39B5FF5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3.78</w:t>
            </w:r>
          </w:p>
        </w:tc>
      </w:tr>
      <w:tr w:rsidR="002E637B" w:rsidRPr="00D909D0" w14:paraId="3A122861" w14:textId="77777777" w:rsidTr="00D909D0">
        <w:trPr>
          <w:trHeight w:val="300"/>
        </w:trPr>
        <w:tc>
          <w:tcPr>
            <w:tcW w:w="2145" w:type="dxa"/>
            <w:shd w:val="clear" w:color="auto" w:fill="auto"/>
            <w:noWrap/>
            <w:vAlign w:val="bottom"/>
            <w:hideMark/>
          </w:tcPr>
          <w:p w14:paraId="5E05EEF7"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United Kingdom</w:t>
            </w:r>
          </w:p>
        </w:tc>
        <w:tc>
          <w:tcPr>
            <w:tcW w:w="1815" w:type="dxa"/>
            <w:shd w:val="clear" w:color="auto" w:fill="auto"/>
            <w:noWrap/>
            <w:vAlign w:val="bottom"/>
            <w:hideMark/>
          </w:tcPr>
          <w:p w14:paraId="24AD6182" w14:textId="77777777" w:rsidR="002E637B" w:rsidRPr="00D909D0" w:rsidRDefault="002E637B" w:rsidP="002E637B">
            <w:pPr>
              <w:spacing w:after="0" w:line="240" w:lineRule="auto"/>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Western Europe</w:t>
            </w:r>
          </w:p>
        </w:tc>
        <w:tc>
          <w:tcPr>
            <w:tcW w:w="607" w:type="dxa"/>
            <w:shd w:val="clear" w:color="auto" w:fill="auto"/>
            <w:noWrap/>
            <w:vAlign w:val="bottom"/>
            <w:hideMark/>
          </w:tcPr>
          <w:p w14:paraId="2A8281A8"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4.67</w:t>
            </w:r>
          </w:p>
        </w:tc>
        <w:tc>
          <w:tcPr>
            <w:tcW w:w="607" w:type="dxa"/>
            <w:shd w:val="clear" w:color="auto" w:fill="auto"/>
            <w:noWrap/>
            <w:vAlign w:val="bottom"/>
            <w:hideMark/>
          </w:tcPr>
          <w:p w14:paraId="6BB4E42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15A2332B"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0A91C1AE"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3.75</w:t>
            </w:r>
          </w:p>
        </w:tc>
        <w:tc>
          <w:tcPr>
            <w:tcW w:w="607" w:type="dxa"/>
            <w:shd w:val="clear" w:color="auto" w:fill="auto"/>
            <w:noWrap/>
            <w:vAlign w:val="bottom"/>
            <w:hideMark/>
          </w:tcPr>
          <w:p w14:paraId="14BFE783"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auto" w:fill="auto"/>
            <w:noWrap/>
            <w:vAlign w:val="bottom"/>
            <w:hideMark/>
          </w:tcPr>
          <w:p w14:paraId="21214204"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4.00</w:t>
            </w:r>
          </w:p>
        </w:tc>
        <w:tc>
          <w:tcPr>
            <w:tcW w:w="607" w:type="dxa"/>
            <w:shd w:val="clear" w:color="000000" w:fill="EBF1DE"/>
            <w:noWrap/>
            <w:vAlign w:val="bottom"/>
            <w:hideMark/>
          </w:tcPr>
          <w:p w14:paraId="13EE5A7D" w14:textId="77777777" w:rsidR="002E637B" w:rsidRPr="00D909D0" w:rsidRDefault="002E637B" w:rsidP="002E637B">
            <w:pPr>
              <w:spacing w:after="0" w:line="240" w:lineRule="auto"/>
              <w:jc w:val="right"/>
              <w:rPr>
                <w:rFonts w:eastAsia="Times New Roman" w:cstheme="minorHAnsi"/>
                <w:color w:val="000000"/>
                <w:kern w:val="0"/>
                <w:sz w:val="20"/>
                <w:szCs w:val="20"/>
                <w:lang w:val="en-US" w:eastAsia="en-US"/>
                <w14:ligatures w14:val="none"/>
              </w:rPr>
            </w:pPr>
            <w:r w:rsidRPr="00D909D0">
              <w:rPr>
                <w:rFonts w:eastAsia="Times New Roman" w:cstheme="minorHAnsi"/>
                <w:color w:val="000000"/>
                <w:kern w:val="0"/>
                <w:sz w:val="20"/>
                <w:szCs w:val="20"/>
                <w:lang w:val="en-US" w:eastAsia="en-US"/>
                <w14:ligatures w14:val="none"/>
              </w:rPr>
              <w:t>4.07</w:t>
            </w:r>
          </w:p>
        </w:tc>
      </w:tr>
    </w:tbl>
    <w:p w14:paraId="72354B1A" w14:textId="43A173F5" w:rsidR="008F6BCD" w:rsidRPr="00D909D0" w:rsidRDefault="008F6BCD" w:rsidP="00376937">
      <w:pPr>
        <w:rPr>
          <w:rFonts w:cstheme="minorHAnsi"/>
          <w:sz w:val="20"/>
          <w:szCs w:val="20"/>
          <w:lang w:val="en-US"/>
        </w:rPr>
      </w:pPr>
    </w:p>
    <w:sectPr w:rsidR="008F6BCD" w:rsidRPr="00D909D0" w:rsidSect="005726BF">
      <w:footerReference w:type="default" r:id="rId28"/>
      <w:head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C819" w14:textId="77777777" w:rsidR="0043695D" w:rsidRDefault="0043695D" w:rsidP="00D67A0A">
      <w:pPr>
        <w:spacing w:after="0" w:line="240" w:lineRule="auto"/>
      </w:pPr>
      <w:r>
        <w:separator/>
      </w:r>
    </w:p>
  </w:endnote>
  <w:endnote w:type="continuationSeparator" w:id="0">
    <w:p w14:paraId="20751108" w14:textId="77777777" w:rsidR="0043695D" w:rsidRDefault="0043695D" w:rsidP="00D6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46357"/>
      <w:docPartObj>
        <w:docPartGallery w:val="Page Numbers (Bottom of Page)"/>
        <w:docPartUnique/>
      </w:docPartObj>
    </w:sdtPr>
    <w:sdtEndPr>
      <w:rPr>
        <w:noProof/>
      </w:rPr>
    </w:sdtEndPr>
    <w:sdtContent>
      <w:p w14:paraId="5C15AD16" w14:textId="450087E8" w:rsidR="005726BF" w:rsidRDefault="005726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0657F" w14:textId="77777777" w:rsidR="00BA5500" w:rsidRDefault="00BA5500">
    <w:pPr>
      <w:pStyle w:val="Footer"/>
    </w:pPr>
  </w:p>
  <w:p w14:paraId="7ABDF4D6" w14:textId="77777777" w:rsidR="00FE6910" w:rsidRDefault="00FE6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8621" w14:textId="77777777" w:rsidR="0043695D" w:rsidRDefault="0043695D" w:rsidP="00D67A0A">
      <w:pPr>
        <w:spacing w:after="0" w:line="240" w:lineRule="auto"/>
      </w:pPr>
      <w:r>
        <w:separator/>
      </w:r>
    </w:p>
  </w:footnote>
  <w:footnote w:type="continuationSeparator" w:id="0">
    <w:p w14:paraId="1B898473" w14:textId="77777777" w:rsidR="0043695D" w:rsidRDefault="0043695D" w:rsidP="00D67A0A">
      <w:pPr>
        <w:spacing w:after="0" w:line="240" w:lineRule="auto"/>
      </w:pPr>
      <w:r>
        <w:continuationSeparator/>
      </w:r>
    </w:p>
  </w:footnote>
  <w:footnote w:id="1">
    <w:p w14:paraId="539DCA47" w14:textId="77777777" w:rsidR="00650761" w:rsidRDefault="00650761" w:rsidP="00650761">
      <w:pPr>
        <w:pStyle w:val="FootnoteText"/>
        <w:rPr>
          <w:lang w:val="en-US"/>
        </w:rPr>
      </w:pPr>
      <w:r>
        <w:rPr>
          <w:rStyle w:val="FootnoteReference"/>
        </w:rPr>
        <w:footnoteRef/>
      </w:r>
      <w:r>
        <w:rPr>
          <w:lang w:val="en-US"/>
        </w:rPr>
        <w:t xml:space="preserve"> </w:t>
      </w:r>
      <w:r w:rsidRPr="007A33F4">
        <w:rPr>
          <w:lang w:val="en-US"/>
        </w:rPr>
        <w:t>The 2018 version of the index did not include a specific factor for economic environment.</w:t>
      </w:r>
    </w:p>
  </w:footnote>
  <w:footnote w:id="2">
    <w:p w14:paraId="75BA2A5D" w14:textId="02E13223" w:rsidR="00937F2D" w:rsidRPr="00937F2D" w:rsidRDefault="00937F2D">
      <w:pPr>
        <w:pStyle w:val="FootnoteText"/>
      </w:pPr>
      <w:r>
        <w:rPr>
          <w:rStyle w:val="FootnoteReference"/>
        </w:rPr>
        <w:footnoteRef/>
      </w:r>
      <w:r>
        <w:t xml:space="preserve"> Note: There is no available data on Belgium, Lichtenstein, and Romania in the 2014-2017 time period.</w:t>
      </w:r>
    </w:p>
  </w:footnote>
  <w:footnote w:id="3">
    <w:p w14:paraId="50189277" w14:textId="76BBDD8A" w:rsidR="00C63622" w:rsidRPr="00C63622" w:rsidRDefault="00C63622">
      <w:pPr>
        <w:pStyle w:val="FootnoteText"/>
        <w:rPr>
          <w:lang w:val="en-US"/>
        </w:rPr>
      </w:pPr>
      <w:r>
        <w:rPr>
          <w:rStyle w:val="FootnoteReference"/>
        </w:rPr>
        <w:footnoteRef/>
      </w:r>
      <w:r>
        <w:t xml:space="preserve"> </w:t>
      </w:r>
      <w:r>
        <w:rPr>
          <w:lang w:val="en-US"/>
        </w:rPr>
        <w:t>Note: There is no available data on the economic environment in the 2014-2017 time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E01B" w14:textId="77777777" w:rsidR="008671CA" w:rsidRDefault="008671CA" w:rsidP="008671CA">
    <w:pPr>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European Research Network On Philanthropy 1</w:t>
    </w:r>
    <w:r>
      <w:rPr>
        <w:rFonts w:ascii="Cambria" w:eastAsia="Cambria" w:hAnsi="Cambria" w:cs="Cambria"/>
        <w:sz w:val="24"/>
        <w:szCs w:val="24"/>
      </w:rPr>
      <w:t>1</w:t>
    </w:r>
    <w:r>
      <w:rPr>
        <w:rFonts w:ascii="Cambria" w:eastAsia="Cambria" w:hAnsi="Cambria" w:cs="Cambria"/>
        <w:color w:val="000000"/>
        <w:sz w:val="24"/>
        <w:szCs w:val="24"/>
      </w:rPr>
      <w:t xml:space="preserve">th International Conference </w:t>
    </w:r>
    <w:r>
      <w:rPr>
        <w:rFonts w:ascii="Cambria" w:eastAsia="Cambria" w:hAnsi="Cambria" w:cs="Cambria"/>
        <w:sz w:val="24"/>
        <w:szCs w:val="24"/>
      </w:rPr>
      <w:t>Zagreb</w:t>
    </w:r>
    <w:r>
      <w:rPr>
        <w:rFonts w:ascii="Cambria" w:eastAsia="Cambria" w:hAnsi="Cambria" w:cs="Cambria"/>
        <w:color w:val="000000"/>
        <w:sz w:val="24"/>
        <w:szCs w:val="24"/>
      </w:rPr>
      <w:t xml:space="preserve">, </w:t>
    </w:r>
    <w:r>
      <w:rPr>
        <w:rFonts w:ascii="Cambria" w:eastAsia="Cambria" w:hAnsi="Cambria" w:cs="Cambria"/>
        <w:sz w:val="24"/>
        <w:szCs w:val="24"/>
      </w:rPr>
      <w:t>29-30 June</w:t>
    </w:r>
    <w:r>
      <w:rPr>
        <w:rFonts w:ascii="Cambria" w:eastAsia="Cambria" w:hAnsi="Cambria" w:cs="Cambria"/>
        <w:color w:val="000000"/>
        <w:sz w:val="24"/>
        <w:szCs w:val="24"/>
      </w:rPr>
      <w:t xml:space="preserve"> 202</w:t>
    </w:r>
    <w:r>
      <w:rPr>
        <w:rFonts w:ascii="Cambria" w:eastAsia="Cambria" w:hAnsi="Cambria" w:cs="Cambria"/>
        <w:sz w:val="24"/>
        <w:szCs w:val="24"/>
      </w:rPr>
      <w:t>3</w:t>
    </w:r>
  </w:p>
  <w:p w14:paraId="01AF48B9" w14:textId="77777777" w:rsidR="008671CA" w:rsidRDefault="008671CA" w:rsidP="008671CA">
    <w:pPr>
      <w:pBdr>
        <w:top w:val="nil"/>
        <w:left w:val="nil"/>
        <w:bottom w:val="nil"/>
        <w:right w:val="nil"/>
        <w:between w:val="nil"/>
      </w:pBdr>
      <w:tabs>
        <w:tab w:val="center" w:pos="4706"/>
        <w:tab w:val="right" w:pos="9356"/>
      </w:tabs>
      <w:spacing w:after="240"/>
      <w:rPr>
        <w:i/>
        <w:color w:val="000000"/>
        <w:sz w:val="16"/>
        <w:szCs w:val="16"/>
      </w:rPr>
    </w:pPr>
  </w:p>
  <w:p w14:paraId="7A8B3BD9" w14:textId="77777777" w:rsidR="008671CA" w:rsidRDefault="00867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3FC"/>
    <w:multiLevelType w:val="hybridMultilevel"/>
    <w:tmpl w:val="171029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5B0831"/>
    <w:multiLevelType w:val="hybridMultilevel"/>
    <w:tmpl w:val="171029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59D5879"/>
    <w:multiLevelType w:val="hybridMultilevel"/>
    <w:tmpl w:val="CE96DE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F297DB5"/>
    <w:multiLevelType w:val="hybridMultilevel"/>
    <w:tmpl w:val="AB4E40D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66D7D4B"/>
    <w:multiLevelType w:val="hybridMultilevel"/>
    <w:tmpl w:val="DE90BB48"/>
    <w:lvl w:ilvl="0" w:tplc="CB46FC24">
      <w:start w:val="1"/>
      <w:numFmt w:val="bullet"/>
      <w:lvlText w:val=""/>
      <w:lvlJc w:val="left"/>
      <w:pPr>
        <w:ind w:left="1440" w:hanging="360"/>
      </w:pPr>
      <w:rPr>
        <w:rFonts w:ascii="Symbol" w:hAnsi="Symbol"/>
      </w:rPr>
    </w:lvl>
    <w:lvl w:ilvl="1" w:tplc="58E6FDC8">
      <w:start w:val="1"/>
      <w:numFmt w:val="bullet"/>
      <w:lvlText w:val=""/>
      <w:lvlJc w:val="left"/>
      <w:pPr>
        <w:ind w:left="2160" w:hanging="360"/>
      </w:pPr>
      <w:rPr>
        <w:rFonts w:ascii="Symbol" w:hAnsi="Symbol"/>
      </w:rPr>
    </w:lvl>
    <w:lvl w:ilvl="2" w:tplc="0406D41E">
      <w:start w:val="1"/>
      <w:numFmt w:val="bullet"/>
      <w:lvlText w:val=""/>
      <w:lvlJc w:val="left"/>
      <w:pPr>
        <w:ind w:left="1440" w:hanging="360"/>
      </w:pPr>
      <w:rPr>
        <w:rFonts w:ascii="Symbol" w:hAnsi="Symbol"/>
      </w:rPr>
    </w:lvl>
    <w:lvl w:ilvl="3" w:tplc="28E064DE">
      <w:start w:val="1"/>
      <w:numFmt w:val="bullet"/>
      <w:lvlText w:val=""/>
      <w:lvlJc w:val="left"/>
      <w:pPr>
        <w:ind w:left="1440" w:hanging="360"/>
      </w:pPr>
      <w:rPr>
        <w:rFonts w:ascii="Symbol" w:hAnsi="Symbol"/>
      </w:rPr>
    </w:lvl>
    <w:lvl w:ilvl="4" w:tplc="FC48E76C">
      <w:start w:val="1"/>
      <w:numFmt w:val="bullet"/>
      <w:lvlText w:val=""/>
      <w:lvlJc w:val="left"/>
      <w:pPr>
        <w:ind w:left="1440" w:hanging="360"/>
      </w:pPr>
      <w:rPr>
        <w:rFonts w:ascii="Symbol" w:hAnsi="Symbol"/>
      </w:rPr>
    </w:lvl>
    <w:lvl w:ilvl="5" w:tplc="9A1495D8">
      <w:start w:val="1"/>
      <w:numFmt w:val="bullet"/>
      <w:lvlText w:val=""/>
      <w:lvlJc w:val="left"/>
      <w:pPr>
        <w:ind w:left="1440" w:hanging="360"/>
      </w:pPr>
      <w:rPr>
        <w:rFonts w:ascii="Symbol" w:hAnsi="Symbol"/>
      </w:rPr>
    </w:lvl>
    <w:lvl w:ilvl="6" w:tplc="256E39D4">
      <w:start w:val="1"/>
      <w:numFmt w:val="bullet"/>
      <w:lvlText w:val=""/>
      <w:lvlJc w:val="left"/>
      <w:pPr>
        <w:ind w:left="1440" w:hanging="360"/>
      </w:pPr>
      <w:rPr>
        <w:rFonts w:ascii="Symbol" w:hAnsi="Symbol"/>
      </w:rPr>
    </w:lvl>
    <w:lvl w:ilvl="7" w:tplc="D0B2EBF0">
      <w:start w:val="1"/>
      <w:numFmt w:val="bullet"/>
      <w:lvlText w:val=""/>
      <w:lvlJc w:val="left"/>
      <w:pPr>
        <w:ind w:left="1440" w:hanging="360"/>
      </w:pPr>
      <w:rPr>
        <w:rFonts w:ascii="Symbol" w:hAnsi="Symbol"/>
      </w:rPr>
    </w:lvl>
    <w:lvl w:ilvl="8" w:tplc="F4BC58F0">
      <w:start w:val="1"/>
      <w:numFmt w:val="bullet"/>
      <w:lvlText w:val=""/>
      <w:lvlJc w:val="left"/>
      <w:pPr>
        <w:ind w:left="1440" w:hanging="360"/>
      </w:pPr>
      <w:rPr>
        <w:rFonts w:ascii="Symbol" w:hAnsi="Symbol"/>
      </w:rPr>
    </w:lvl>
  </w:abstractNum>
  <w:abstractNum w:abstractNumId="5" w15:restartNumberingAfterBreak="0">
    <w:nsid w:val="46F44D26"/>
    <w:multiLevelType w:val="hybridMultilevel"/>
    <w:tmpl w:val="171029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84A71A3"/>
    <w:multiLevelType w:val="hybridMultilevel"/>
    <w:tmpl w:val="519C58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B1D33DF"/>
    <w:multiLevelType w:val="hybridMultilevel"/>
    <w:tmpl w:val="519C58A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F7E77E1"/>
    <w:multiLevelType w:val="hybridMultilevel"/>
    <w:tmpl w:val="9628FF52"/>
    <w:lvl w:ilvl="0" w:tplc="7140258A">
      <w:start w:val="1"/>
      <w:numFmt w:val="decimal"/>
      <w:lvlText w:val="%1."/>
      <w:lvlJc w:val="left"/>
      <w:pPr>
        <w:ind w:left="1440" w:hanging="360"/>
      </w:pPr>
    </w:lvl>
    <w:lvl w:ilvl="1" w:tplc="6D526CAA">
      <w:start w:val="1"/>
      <w:numFmt w:val="decimal"/>
      <w:lvlText w:val="%2."/>
      <w:lvlJc w:val="left"/>
      <w:pPr>
        <w:ind w:left="1440" w:hanging="360"/>
      </w:pPr>
    </w:lvl>
    <w:lvl w:ilvl="2" w:tplc="40FEB466">
      <w:start w:val="1"/>
      <w:numFmt w:val="decimal"/>
      <w:lvlText w:val="%3."/>
      <w:lvlJc w:val="left"/>
      <w:pPr>
        <w:ind w:left="1440" w:hanging="360"/>
      </w:pPr>
    </w:lvl>
    <w:lvl w:ilvl="3" w:tplc="1F1CF248">
      <w:start w:val="1"/>
      <w:numFmt w:val="decimal"/>
      <w:lvlText w:val="%4."/>
      <w:lvlJc w:val="left"/>
      <w:pPr>
        <w:ind w:left="1440" w:hanging="360"/>
      </w:pPr>
    </w:lvl>
    <w:lvl w:ilvl="4" w:tplc="785CEB80">
      <w:start w:val="1"/>
      <w:numFmt w:val="decimal"/>
      <w:lvlText w:val="%5."/>
      <w:lvlJc w:val="left"/>
      <w:pPr>
        <w:ind w:left="1440" w:hanging="360"/>
      </w:pPr>
    </w:lvl>
    <w:lvl w:ilvl="5" w:tplc="345E4B4A">
      <w:start w:val="1"/>
      <w:numFmt w:val="decimal"/>
      <w:lvlText w:val="%6."/>
      <w:lvlJc w:val="left"/>
      <w:pPr>
        <w:ind w:left="1440" w:hanging="360"/>
      </w:pPr>
    </w:lvl>
    <w:lvl w:ilvl="6" w:tplc="BB10F514">
      <w:start w:val="1"/>
      <w:numFmt w:val="decimal"/>
      <w:lvlText w:val="%7."/>
      <w:lvlJc w:val="left"/>
      <w:pPr>
        <w:ind w:left="1440" w:hanging="360"/>
      </w:pPr>
    </w:lvl>
    <w:lvl w:ilvl="7" w:tplc="A9940028">
      <w:start w:val="1"/>
      <w:numFmt w:val="decimal"/>
      <w:lvlText w:val="%8."/>
      <w:lvlJc w:val="left"/>
      <w:pPr>
        <w:ind w:left="1440" w:hanging="360"/>
      </w:pPr>
    </w:lvl>
    <w:lvl w:ilvl="8" w:tplc="80AA7F26">
      <w:start w:val="1"/>
      <w:numFmt w:val="decimal"/>
      <w:lvlText w:val="%9."/>
      <w:lvlJc w:val="left"/>
      <w:pPr>
        <w:ind w:left="1440" w:hanging="360"/>
      </w:pPr>
    </w:lvl>
  </w:abstractNum>
  <w:abstractNum w:abstractNumId="9" w15:restartNumberingAfterBreak="0">
    <w:nsid w:val="734F72C6"/>
    <w:multiLevelType w:val="hybridMultilevel"/>
    <w:tmpl w:val="1710290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57A14EE"/>
    <w:multiLevelType w:val="multilevel"/>
    <w:tmpl w:val="7A6E5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C1F0E83"/>
    <w:multiLevelType w:val="hybridMultilevel"/>
    <w:tmpl w:val="CE063F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562791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386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0441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5538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3733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170075">
    <w:abstractNumId w:val="2"/>
  </w:num>
  <w:num w:numId="7" w16cid:durableId="1888374103">
    <w:abstractNumId w:val="5"/>
  </w:num>
  <w:num w:numId="8" w16cid:durableId="666907402">
    <w:abstractNumId w:val="4"/>
  </w:num>
  <w:num w:numId="9" w16cid:durableId="778640983">
    <w:abstractNumId w:val="8"/>
  </w:num>
  <w:num w:numId="10" w16cid:durableId="1537430761">
    <w:abstractNumId w:val="6"/>
  </w:num>
  <w:num w:numId="11" w16cid:durableId="1994719581">
    <w:abstractNumId w:val="0"/>
  </w:num>
  <w:num w:numId="12" w16cid:durableId="2137795775">
    <w:abstractNumId w:val="1"/>
  </w:num>
  <w:num w:numId="13" w16cid:durableId="647788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DU1MjM2MTG0MDNX0lEKTi0uzszPAykwrAUAjcLxgCwAAAA="/>
  </w:docVars>
  <w:rsids>
    <w:rsidRoot w:val="008F6BCD"/>
    <w:rsid w:val="000241BD"/>
    <w:rsid w:val="0003089D"/>
    <w:rsid w:val="00032E63"/>
    <w:rsid w:val="000568DA"/>
    <w:rsid w:val="000D24A4"/>
    <w:rsid w:val="000D26B2"/>
    <w:rsid w:val="000E7BEA"/>
    <w:rsid w:val="00136E1C"/>
    <w:rsid w:val="00150B3E"/>
    <w:rsid w:val="00150ED2"/>
    <w:rsid w:val="00167051"/>
    <w:rsid w:val="001724AC"/>
    <w:rsid w:val="001757FD"/>
    <w:rsid w:val="001A7D2C"/>
    <w:rsid w:val="001B1A5B"/>
    <w:rsid w:val="001B7616"/>
    <w:rsid w:val="001D1252"/>
    <w:rsid w:val="00205B8A"/>
    <w:rsid w:val="00212570"/>
    <w:rsid w:val="0021615F"/>
    <w:rsid w:val="00276026"/>
    <w:rsid w:val="0028201C"/>
    <w:rsid w:val="002A191B"/>
    <w:rsid w:val="002C708B"/>
    <w:rsid w:val="002C75D1"/>
    <w:rsid w:val="002D00E8"/>
    <w:rsid w:val="002E637B"/>
    <w:rsid w:val="002F5E14"/>
    <w:rsid w:val="003063B4"/>
    <w:rsid w:val="00335941"/>
    <w:rsid w:val="00351603"/>
    <w:rsid w:val="00370F51"/>
    <w:rsid w:val="00373C64"/>
    <w:rsid w:val="00376937"/>
    <w:rsid w:val="003A27CD"/>
    <w:rsid w:val="003D77F5"/>
    <w:rsid w:val="003F060A"/>
    <w:rsid w:val="0040622E"/>
    <w:rsid w:val="0043695D"/>
    <w:rsid w:val="00466567"/>
    <w:rsid w:val="004719ED"/>
    <w:rsid w:val="00477B2B"/>
    <w:rsid w:val="004B7B8C"/>
    <w:rsid w:val="004F255D"/>
    <w:rsid w:val="004F788C"/>
    <w:rsid w:val="00563C29"/>
    <w:rsid w:val="0057121B"/>
    <w:rsid w:val="005726BF"/>
    <w:rsid w:val="005B5D67"/>
    <w:rsid w:val="005E3472"/>
    <w:rsid w:val="00604ABE"/>
    <w:rsid w:val="00612781"/>
    <w:rsid w:val="006175D8"/>
    <w:rsid w:val="00637F69"/>
    <w:rsid w:val="0064517C"/>
    <w:rsid w:val="00650761"/>
    <w:rsid w:val="00665A3A"/>
    <w:rsid w:val="006E38A4"/>
    <w:rsid w:val="007533E9"/>
    <w:rsid w:val="0076197F"/>
    <w:rsid w:val="00766FE4"/>
    <w:rsid w:val="0077046D"/>
    <w:rsid w:val="00770F60"/>
    <w:rsid w:val="00771400"/>
    <w:rsid w:val="00771C1F"/>
    <w:rsid w:val="007A2704"/>
    <w:rsid w:val="007A33F4"/>
    <w:rsid w:val="007C211A"/>
    <w:rsid w:val="007D162C"/>
    <w:rsid w:val="00804CC4"/>
    <w:rsid w:val="00811E83"/>
    <w:rsid w:val="00826430"/>
    <w:rsid w:val="008313AC"/>
    <w:rsid w:val="008671CA"/>
    <w:rsid w:val="0087121F"/>
    <w:rsid w:val="008F63AC"/>
    <w:rsid w:val="008F6BCD"/>
    <w:rsid w:val="00917774"/>
    <w:rsid w:val="009358C0"/>
    <w:rsid w:val="00937F2D"/>
    <w:rsid w:val="00966071"/>
    <w:rsid w:val="009B34A1"/>
    <w:rsid w:val="009B6AF1"/>
    <w:rsid w:val="009D108D"/>
    <w:rsid w:val="009D48F7"/>
    <w:rsid w:val="00A03D37"/>
    <w:rsid w:val="00A123CD"/>
    <w:rsid w:val="00A30055"/>
    <w:rsid w:val="00A50E58"/>
    <w:rsid w:val="00AB68BA"/>
    <w:rsid w:val="00AE0B99"/>
    <w:rsid w:val="00AE4E37"/>
    <w:rsid w:val="00AE66EB"/>
    <w:rsid w:val="00B05797"/>
    <w:rsid w:val="00B418B7"/>
    <w:rsid w:val="00B63C88"/>
    <w:rsid w:val="00B81692"/>
    <w:rsid w:val="00BA5500"/>
    <w:rsid w:val="00BA6132"/>
    <w:rsid w:val="00BB0EA4"/>
    <w:rsid w:val="00BC3209"/>
    <w:rsid w:val="00BE63A4"/>
    <w:rsid w:val="00BE70FD"/>
    <w:rsid w:val="00BF5EC2"/>
    <w:rsid w:val="00C21BB7"/>
    <w:rsid w:val="00C336C7"/>
    <w:rsid w:val="00C42DF6"/>
    <w:rsid w:val="00C43C23"/>
    <w:rsid w:val="00C45F51"/>
    <w:rsid w:val="00C472A3"/>
    <w:rsid w:val="00C52A53"/>
    <w:rsid w:val="00C60023"/>
    <w:rsid w:val="00C63622"/>
    <w:rsid w:val="00CA5318"/>
    <w:rsid w:val="00CB072D"/>
    <w:rsid w:val="00CB5BBE"/>
    <w:rsid w:val="00CD1CE6"/>
    <w:rsid w:val="00CD322F"/>
    <w:rsid w:val="00CF2928"/>
    <w:rsid w:val="00D22319"/>
    <w:rsid w:val="00D341D3"/>
    <w:rsid w:val="00D67A0A"/>
    <w:rsid w:val="00D77E28"/>
    <w:rsid w:val="00D909D0"/>
    <w:rsid w:val="00DB724E"/>
    <w:rsid w:val="00DB7BE8"/>
    <w:rsid w:val="00DC3485"/>
    <w:rsid w:val="00E04793"/>
    <w:rsid w:val="00E11B4F"/>
    <w:rsid w:val="00E25110"/>
    <w:rsid w:val="00E367D1"/>
    <w:rsid w:val="00E6311C"/>
    <w:rsid w:val="00E95EA0"/>
    <w:rsid w:val="00EC1017"/>
    <w:rsid w:val="00EF0412"/>
    <w:rsid w:val="00EF131E"/>
    <w:rsid w:val="00F35BF3"/>
    <w:rsid w:val="00F42600"/>
    <w:rsid w:val="00FE69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8ED7"/>
  <w15:docId w15:val="{72B38720-962D-4BC8-91DF-42831FC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0A"/>
  </w:style>
  <w:style w:type="paragraph" w:styleId="Heading1">
    <w:name w:val="heading 1"/>
    <w:basedOn w:val="Normal"/>
    <w:next w:val="Normal"/>
    <w:link w:val="Heading1Char"/>
    <w:uiPriority w:val="9"/>
    <w:qFormat/>
    <w:rsid w:val="00150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6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16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0A"/>
  </w:style>
  <w:style w:type="paragraph" w:styleId="Footer">
    <w:name w:val="footer"/>
    <w:basedOn w:val="Normal"/>
    <w:link w:val="FooterChar"/>
    <w:uiPriority w:val="99"/>
    <w:unhideWhenUsed/>
    <w:rsid w:val="00D6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0A"/>
  </w:style>
  <w:style w:type="paragraph" w:styleId="Revision">
    <w:name w:val="Revision"/>
    <w:hidden/>
    <w:uiPriority w:val="99"/>
    <w:semiHidden/>
    <w:rsid w:val="00B05797"/>
    <w:pPr>
      <w:spacing w:after="0" w:line="240" w:lineRule="auto"/>
    </w:pPr>
  </w:style>
  <w:style w:type="character" w:styleId="CommentReference">
    <w:name w:val="annotation reference"/>
    <w:basedOn w:val="DefaultParagraphFont"/>
    <w:uiPriority w:val="99"/>
    <w:semiHidden/>
    <w:unhideWhenUsed/>
    <w:rsid w:val="00B05797"/>
    <w:rPr>
      <w:sz w:val="16"/>
      <w:szCs w:val="16"/>
    </w:rPr>
  </w:style>
  <w:style w:type="paragraph" w:styleId="CommentText">
    <w:name w:val="annotation text"/>
    <w:basedOn w:val="Normal"/>
    <w:link w:val="CommentTextChar"/>
    <w:uiPriority w:val="99"/>
    <w:unhideWhenUsed/>
    <w:rsid w:val="00B05797"/>
    <w:pPr>
      <w:spacing w:line="240" w:lineRule="auto"/>
    </w:pPr>
    <w:rPr>
      <w:sz w:val="20"/>
      <w:szCs w:val="20"/>
    </w:rPr>
  </w:style>
  <w:style w:type="character" w:customStyle="1" w:styleId="CommentTextChar">
    <w:name w:val="Comment Text Char"/>
    <w:basedOn w:val="DefaultParagraphFont"/>
    <w:link w:val="CommentText"/>
    <w:uiPriority w:val="99"/>
    <w:rsid w:val="00B05797"/>
    <w:rPr>
      <w:sz w:val="20"/>
      <w:szCs w:val="20"/>
    </w:rPr>
  </w:style>
  <w:style w:type="paragraph" w:styleId="CommentSubject">
    <w:name w:val="annotation subject"/>
    <w:basedOn w:val="CommentText"/>
    <w:next w:val="CommentText"/>
    <w:link w:val="CommentSubjectChar"/>
    <w:uiPriority w:val="99"/>
    <w:semiHidden/>
    <w:unhideWhenUsed/>
    <w:rsid w:val="00B05797"/>
    <w:rPr>
      <w:b/>
      <w:bCs/>
    </w:rPr>
  </w:style>
  <w:style w:type="character" w:customStyle="1" w:styleId="CommentSubjectChar">
    <w:name w:val="Comment Subject Char"/>
    <w:basedOn w:val="CommentTextChar"/>
    <w:link w:val="CommentSubject"/>
    <w:uiPriority w:val="99"/>
    <w:semiHidden/>
    <w:rsid w:val="00B05797"/>
    <w:rPr>
      <w:b/>
      <w:bCs/>
      <w:sz w:val="20"/>
      <w:szCs w:val="20"/>
    </w:rPr>
  </w:style>
  <w:style w:type="paragraph" w:styleId="NormalWeb">
    <w:name w:val="Normal (Web)"/>
    <w:basedOn w:val="Normal"/>
    <w:uiPriority w:val="99"/>
    <w:unhideWhenUsed/>
    <w:rsid w:val="00150ED2"/>
    <w:pPr>
      <w:spacing w:before="100" w:beforeAutospacing="1" w:after="100" w:afterAutospacing="1" w:line="240" w:lineRule="auto"/>
    </w:pPr>
    <w:rPr>
      <w:rFonts w:ascii="Times New Roman" w:eastAsia="Times New Roman" w:hAnsi="Times New Roman" w:cs="Times New Roman"/>
      <w:kern w:val="0"/>
      <w:sz w:val="24"/>
      <w:szCs w:val="24"/>
      <w:lang w:val="en-US" w:eastAsia="en-US"/>
    </w:rPr>
  </w:style>
  <w:style w:type="paragraph" w:styleId="NoSpacing">
    <w:name w:val="No Spacing"/>
    <w:uiPriority w:val="1"/>
    <w:qFormat/>
    <w:rsid w:val="00150ED2"/>
    <w:pPr>
      <w:spacing w:after="0" w:line="240" w:lineRule="auto"/>
    </w:pPr>
    <w:rPr>
      <w:rFonts w:eastAsiaTheme="minorHAnsi"/>
      <w:lang w:val="en-US" w:eastAsia="en-US"/>
    </w:rPr>
  </w:style>
  <w:style w:type="character" w:customStyle="1" w:styleId="Heading1Char">
    <w:name w:val="Heading 1 Char"/>
    <w:basedOn w:val="DefaultParagraphFont"/>
    <w:link w:val="Heading1"/>
    <w:uiPriority w:val="9"/>
    <w:rsid w:val="00150E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0ED2"/>
    <w:pPr>
      <w:outlineLvl w:val="9"/>
    </w:pPr>
    <w:rPr>
      <w:kern w:val="0"/>
      <w:lang w:val="en-US" w:eastAsia="en-US"/>
    </w:rPr>
  </w:style>
  <w:style w:type="paragraph" w:styleId="FootnoteText">
    <w:name w:val="footnote text"/>
    <w:basedOn w:val="Normal"/>
    <w:link w:val="FootnoteTextChar"/>
    <w:uiPriority w:val="99"/>
    <w:semiHidden/>
    <w:unhideWhenUsed/>
    <w:rsid w:val="00150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ED2"/>
    <w:rPr>
      <w:sz w:val="20"/>
      <w:szCs w:val="20"/>
    </w:rPr>
  </w:style>
  <w:style w:type="paragraph" w:styleId="ListParagraph">
    <w:name w:val="List Paragraph"/>
    <w:basedOn w:val="Normal"/>
    <w:uiPriority w:val="34"/>
    <w:qFormat/>
    <w:rsid w:val="00150ED2"/>
    <w:pPr>
      <w:spacing w:line="256" w:lineRule="auto"/>
      <w:ind w:left="720"/>
      <w:contextualSpacing/>
    </w:pPr>
  </w:style>
  <w:style w:type="character" w:styleId="FootnoteReference">
    <w:name w:val="footnote reference"/>
    <w:basedOn w:val="DefaultParagraphFont"/>
    <w:uiPriority w:val="99"/>
    <w:semiHidden/>
    <w:unhideWhenUsed/>
    <w:rsid w:val="00150ED2"/>
    <w:rPr>
      <w:vertAlign w:val="superscript"/>
    </w:rPr>
  </w:style>
  <w:style w:type="character" w:styleId="Hyperlink">
    <w:name w:val="Hyperlink"/>
    <w:basedOn w:val="DefaultParagraphFont"/>
    <w:uiPriority w:val="99"/>
    <w:unhideWhenUsed/>
    <w:rsid w:val="00376937"/>
    <w:rPr>
      <w:color w:val="0563C1" w:themeColor="hyperlink"/>
      <w:u w:val="single"/>
    </w:rPr>
  </w:style>
  <w:style w:type="character" w:customStyle="1" w:styleId="Heading2Char">
    <w:name w:val="Heading 2 Char"/>
    <w:basedOn w:val="DefaultParagraphFont"/>
    <w:link w:val="Heading2"/>
    <w:uiPriority w:val="9"/>
    <w:rsid w:val="007D16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162C"/>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F42600"/>
    <w:pPr>
      <w:spacing w:after="100"/>
    </w:pPr>
  </w:style>
  <w:style w:type="paragraph" w:styleId="TOC2">
    <w:name w:val="toc 2"/>
    <w:basedOn w:val="Normal"/>
    <w:next w:val="Normal"/>
    <w:autoRedefine/>
    <w:uiPriority w:val="39"/>
    <w:unhideWhenUsed/>
    <w:rsid w:val="00F42600"/>
    <w:pPr>
      <w:spacing w:after="100"/>
      <w:ind w:left="220"/>
    </w:pPr>
  </w:style>
  <w:style w:type="paragraph" w:styleId="TOC3">
    <w:name w:val="toc 3"/>
    <w:basedOn w:val="Normal"/>
    <w:next w:val="Normal"/>
    <w:autoRedefine/>
    <w:uiPriority w:val="39"/>
    <w:unhideWhenUsed/>
    <w:rsid w:val="00D341D3"/>
    <w:pPr>
      <w:tabs>
        <w:tab w:val="right" w:leader="dot" w:pos="9016"/>
      </w:tabs>
      <w:spacing w:after="100"/>
      <w:ind w:left="440"/>
    </w:pPr>
  </w:style>
  <w:style w:type="paragraph" w:customStyle="1" w:styleId="Default">
    <w:name w:val="Default"/>
    <w:rsid w:val="00C63622"/>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customStyle="1" w:styleId="xmsonormal">
    <w:name w:val="x_msonormal"/>
    <w:basedOn w:val="Normal"/>
    <w:rsid w:val="00966071"/>
    <w:pPr>
      <w:spacing w:before="100" w:beforeAutospacing="1" w:after="100" w:afterAutospacing="1" w:line="240" w:lineRule="auto"/>
    </w:pPr>
    <w:rPr>
      <w:rFonts w:ascii="Times New Roman" w:eastAsia="Times New Roman" w:hAnsi="Times New Roman" w:cs="Times New Roman"/>
      <w:kern w:val="0"/>
      <w:sz w:val="24"/>
      <w:szCs w:val="24"/>
      <w:lang w:val="en-US" w:eastAsia="en-US"/>
    </w:rPr>
  </w:style>
  <w:style w:type="character" w:styleId="UnresolvedMention">
    <w:name w:val="Unresolved Mention"/>
    <w:basedOn w:val="DefaultParagraphFont"/>
    <w:uiPriority w:val="99"/>
    <w:semiHidden/>
    <w:unhideWhenUsed/>
    <w:rsid w:val="00D3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7215">
      <w:bodyDiv w:val="1"/>
      <w:marLeft w:val="0"/>
      <w:marRight w:val="0"/>
      <w:marTop w:val="0"/>
      <w:marBottom w:val="0"/>
      <w:divBdr>
        <w:top w:val="none" w:sz="0" w:space="0" w:color="auto"/>
        <w:left w:val="none" w:sz="0" w:space="0" w:color="auto"/>
        <w:bottom w:val="none" w:sz="0" w:space="0" w:color="auto"/>
        <w:right w:val="none" w:sz="0" w:space="0" w:color="auto"/>
      </w:divBdr>
    </w:div>
    <w:div w:id="1262883406">
      <w:bodyDiv w:val="1"/>
      <w:marLeft w:val="0"/>
      <w:marRight w:val="0"/>
      <w:marTop w:val="0"/>
      <w:marBottom w:val="0"/>
      <w:divBdr>
        <w:top w:val="none" w:sz="0" w:space="0" w:color="auto"/>
        <w:left w:val="none" w:sz="0" w:space="0" w:color="auto"/>
        <w:bottom w:val="none" w:sz="0" w:space="0" w:color="auto"/>
        <w:right w:val="none" w:sz="0" w:space="0" w:color="auto"/>
      </w:divBdr>
    </w:div>
    <w:div w:id="180453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globalindices.iupui.edu/environment-index/index.html" TargetMode="External"/><Relationship Id="rId26" Type="http://schemas.openxmlformats.org/officeDocument/2006/relationships/hyperlink" Target="https://scholarworks.iupui.edu/bitstream/handle/1805/27915/2022GPEISouthernEurope.pdf" TargetMode="External"/><Relationship Id="rId3" Type="http://schemas.openxmlformats.org/officeDocument/2006/relationships/styles" Target="styles.xml"/><Relationship Id="rId21" Type="http://schemas.openxmlformats.org/officeDocument/2006/relationships/hyperlink" Target="https://scholarworks.iupui.edu/handle/1805/15958"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globalindices.iupui.edu/doc/PHILEA-IU-2022%20European%20Philanthropy%20Environment%20Brief.pd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scholarworks.iupui.edu/bitstream/handle/1805/27909/2022GPEICentralEurop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scholarworks.iupui.edu/bitstream/handle/1805/27918/2022GPEIWesternEurope.pdf"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scholarworks.iupui.edu/bitstream/handle/1805/27905/2022GPEIBalkanCountries.pdf"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scholarworks.iupui.edu/bitstream/handle/1805/27913/2022GPEINorthernEurop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scholarworks.iupui.edu/handle/1805/28098" TargetMode="External"/><Relationship Id="rId27" Type="http://schemas.openxmlformats.org/officeDocument/2006/relationships/hyperlink" Target="http://hdl.handle.net/10986/1131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indiana-my.sharepoint.com/personal/emvaugha_iu_edu/Documents/LFSOP/Internship%20(GPEI%20Europe)/GPEI_Europe_Data_Graphs(update_1611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u.edu\hnetfs\IN-CPHL\Group\Research\Global%20Indices\Global%20Philanthropy%20Environment%20Index%20(GPEI)\2021%20GPEI\2021%20C8%20GPEI%20Regional%20Briefs\2022%20European%20Edition%20w%20Philea\Data%20Table%20&amp;%20Graphs\GPEI_Europe_Data_Graphs%20update_11-16-22%20ev.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u.edu\hnetfs\IN-CPHL\Group\Research\Global%20Indices\Global%20Philanthropy%20Environment%20Index%20(GPEI)\2021%20GPEI\2021%20C8%20GPEI%20Regional%20Briefs\2022%20European%20Edition%20w%20Philea\Data%20Table%20&amp;%20Graphs\GPEI_Europe_Data_Graphs%20update_11-16-22%20ev.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Data'!$T$1</c:f>
              <c:strCache>
                <c:ptCount val="1"/>
                <c:pt idx="0">
                  <c:v>OVERALL SCORE</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8CB8-420D-B586-67B99221A134}"/>
              </c:ext>
            </c:extLst>
          </c:dPt>
          <c:dPt>
            <c:idx val="1"/>
            <c:invertIfNegative val="0"/>
            <c:bubble3D val="0"/>
            <c:spPr>
              <a:solidFill>
                <a:srgbClr val="DF3603"/>
              </a:solidFill>
              <a:ln>
                <a:noFill/>
              </a:ln>
              <a:effectLst/>
            </c:spPr>
            <c:extLst>
              <c:ext xmlns:c16="http://schemas.microsoft.com/office/drawing/2014/chart" uri="{C3380CC4-5D6E-409C-BE32-E72D297353CC}">
                <c16:uniqueId val="{00000001-8CB8-420D-B586-67B99221A134}"/>
              </c:ext>
            </c:extLst>
          </c:dPt>
          <c:dPt>
            <c:idx val="2"/>
            <c:invertIfNegative val="0"/>
            <c:bubble3D val="0"/>
            <c:spPr>
              <a:solidFill>
                <a:srgbClr val="006298"/>
              </a:solidFill>
              <a:ln>
                <a:noFill/>
              </a:ln>
              <a:effectLst/>
            </c:spPr>
            <c:extLst>
              <c:ext xmlns:c16="http://schemas.microsoft.com/office/drawing/2014/chart" uri="{C3380CC4-5D6E-409C-BE32-E72D297353CC}">
                <c16:uniqueId val="{00000002-8CB8-420D-B586-67B99221A134}"/>
              </c:ext>
            </c:extLst>
          </c:dPt>
          <c:dPt>
            <c:idx val="3"/>
            <c:invertIfNegative val="0"/>
            <c:bubble3D val="0"/>
            <c:spPr>
              <a:solidFill>
                <a:srgbClr val="59264D"/>
              </a:solidFill>
              <a:ln>
                <a:noFill/>
              </a:ln>
              <a:effectLst/>
            </c:spPr>
            <c:extLst>
              <c:ext xmlns:c16="http://schemas.microsoft.com/office/drawing/2014/chart" uri="{C3380CC4-5D6E-409C-BE32-E72D297353CC}">
                <c16:uniqueId val="{00000003-8CB8-420D-B586-67B99221A134}"/>
              </c:ext>
            </c:extLst>
          </c:dPt>
          <c:dPt>
            <c:idx val="4"/>
            <c:invertIfNegative val="0"/>
            <c:bubble3D val="0"/>
            <c:spPr>
              <a:solidFill>
                <a:srgbClr val="056E41"/>
              </a:solidFill>
              <a:ln>
                <a:noFill/>
              </a:ln>
              <a:effectLst/>
            </c:spPr>
            <c:extLst>
              <c:ext xmlns:c16="http://schemas.microsoft.com/office/drawing/2014/chart" uri="{C3380CC4-5D6E-409C-BE32-E72D297353CC}">
                <c16:uniqueId val="{00000004-8CB8-420D-B586-67B99221A134}"/>
              </c:ext>
            </c:extLst>
          </c:dPt>
          <c:dPt>
            <c:idx val="5"/>
            <c:invertIfNegative val="0"/>
            <c:bubble3D val="0"/>
            <c:spPr>
              <a:solidFill>
                <a:srgbClr val="243142"/>
              </a:solidFill>
              <a:ln>
                <a:noFill/>
              </a:ln>
              <a:effectLst/>
            </c:spPr>
            <c:extLst>
              <c:ext xmlns:c16="http://schemas.microsoft.com/office/drawing/2014/chart" uri="{C3380CC4-5D6E-409C-BE32-E72D297353CC}">
                <c16:uniqueId val="{00000005-8CB8-420D-B586-67B99221A134}"/>
              </c:ext>
            </c:extLst>
          </c:dPt>
          <c:dPt>
            <c:idx val="6"/>
            <c:invertIfNegative val="0"/>
            <c:bubble3D val="0"/>
            <c:spPr>
              <a:solidFill>
                <a:srgbClr val="990000"/>
              </a:solidFill>
              <a:ln>
                <a:noFill/>
              </a:ln>
              <a:effectLst/>
            </c:spPr>
            <c:extLst>
              <c:ext xmlns:c16="http://schemas.microsoft.com/office/drawing/2014/chart" uri="{C3380CC4-5D6E-409C-BE32-E72D297353CC}">
                <c16:uniqueId val="{00000006-8CB8-420D-B586-67B99221A1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Data'!$T$2:$T$8</c:f>
              <c:numCache>
                <c:formatCode>0.00</c:formatCode>
                <c:ptCount val="7"/>
                <c:pt idx="0">
                  <c:v>3.642063492063492</c:v>
                </c:pt>
                <c:pt idx="1">
                  <c:v>3.6618055555555551</c:v>
                </c:pt>
                <c:pt idx="2">
                  <c:v>4.71875</c:v>
                </c:pt>
                <c:pt idx="3">
                  <c:v>3.5683333333333338</c:v>
                </c:pt>
                <c:pt idx="4">
                  <c:v>4.5895061728395063</c:v>
                </c:pt>
                <c:pt idx="5">
                  <c:v>4.0903218694885357</c:v>
                </c:pt>
                <c:pt idx="6">
                  <c:v>3.6310439560439538</c:v>
                </c:pt>
              </c:numCache>
            </c:numRef>
          </c:val>
          <c:extLst>
            <c:ext xmlns:c16="http://schemas.microsoft.com/office/drawing/2014/chart" uri="{C3380CC4-5D6E-409C-BE32-E72D297353CC}">
              <c16:uniqueId val="{00000000-52B0-4BA4-B952-2B70C3B1E818}"/>
            </c:ext>
          </c:extLst>
        </c:ser>
        <c:dLbls>
          <c:dLblPos val="outEnd"/>
          <c:showLegendKey val="0"/>
          <c:showVal val="1"/>
          <c:showCatName val="0"/>
          <c:showSerName val="0"/>
          <c:showPercent val="0"/>
          <c:showBubbleSize val="0"/>
        </c:dLbls>
        <c:gapWidth val="182"/>
        <c:axId val="1038706719"/>
        <c:axId val="1038704223"/>
      </c:barChart>
      <c:catAx>
        <c:axId val="103870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704223"/>
        <c:crosses val="autoZero"/>
        <c:auto val="1"/>
        <c:lblAlgn val="ctr"/>
        <c:lblOffset val="100"/>
        <c:noMultiLvlLbl val="0"/>
      </c:catAx>
      <c:valAx>
        <c:axId val="1038704223"/>
        <c:scaling>
          <c:orientation val="minMax"/>
        </c:scaling>
        <c:delete val="1"/>
        <c:axPos val="l"/>
        <c:numFmt formatCode="0.00" sourceLinked="1"/>
        <c:majorTickMark val="none"/>
        <c:minorTickMark val="none"/>
        <c:tickLblPos val="nextTo"/>
        <c:crossAx val="10387067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Data'!$F$1</c:f>
              <c:strCache>
                <c:ptCount val="1"/>
                <c:pt idx="0">
                  <c:v>EASE TO OPERATE</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B422-4DA3-A365-78B1A4BE4A65}"/>
              </c:ext>
            </c:extLst>
          </c:dPt>
          <c:dPt>
            <c:idx val="1"/>
            <c:invertIfNegative val="0"/>
            <c:bubble3D val="0"/>
            <c:spPr>
              <a:solidFill>
                <a:srgbClr val="DF3603"/>
              </a:solidFill>
              <a:ln>
                <a:noFill/>
              </a:ln>
              <a:effectLst/>
            </c:spPr>
            <c:extLst>
              <c:ext xmlns:c16="http://schemas.microsoft.com/office/drawing/2014/chart" uri="{C3380CC4-5D6E-409C-BE32-E72D297353CC}">
                <c16:uniqueId val="{00000001-B422-4DA3-A365-78B1A4BE4A65}"/>
              </c:ext>
            </c:extLst>
          </c:dPt>
          <c:dPt>
            <c:idx val="2"/>
            <c:invertIfNegative val="0"/>
            <c:bubble3D val="0"/>
            <c:spPr>
              <a:solidFill>
                <a:srgbClr val="006298"/>
              </a:solidFill>
              <a:ln>
                <a:noFill/>
              </a:ln>
              <a:effectLst/>
            </c:spPr>
            <c:extLst>
              <c:ext xmlns:c16="http://schemas.microsoft.com/office/drawing/2014/chart" uri="{C3380CC4-5D6E-409C-BE32-E72D297353CC}">
                <c16:uniqueId val="{00000002-B422-4DA3-A365-78B1A4BE4A65}"/>
              </c:ext>
            </c:extLst>
          </c:dPt>
          <c:dPt>
            <c:idx val="3"/>
            <c:invertIfNegative val="0"/>
            <c:bubble3D val="0"/>
            <c:spPr>
              <a:solidFill>
                <a:srgbClr val="59264D"/>
              </a:solidFill>
              <a:ln>
                <a:noFill/>
              </a:ln>
              <a:effectLst/>
            </c:spPr>
            <c:extLst>
              <c:ext xmlns:c16="http://schemas.microsoft.com/office/drawing/2014/chart" uri="{C3380CC4-5D6E-409C-BE32-E72D297353CC}">
                <c16:uniqueId val="{00000003-B422-4DA3-A365-78B1A4BE4A65}"/>
              </c:ext>
            </c:extLst>
          </c:dPt>
          <c:dPt>
            <c:idx val="4"/>
            <c:invertIfNegative val="0"/>
            <c:bubble3D val="0"/>
            <c:spPr>
              <a:solidFill>
                <a:srgbClr val="056E41"/>
              </a:solidFill>
              <a:ln>
                <a:noFill/>
              </a:ln>
              <a:effectLst/>
            </c:spPr>
            <c:extLst>
              <c:ext xmlns:c16="http://schemas.microsoft.com/office/drawing/2014/chart" uri="{C3380CC4-5D6E-409C-BE32-E72D297353CC}">
                <c16:uniqueId val="{00000004-B422-4DA3-A365-78B1A4BE4A65}"/>
              </c:ext>
            </c:extLst>
          </c:dPt>
          <c:dPt>
            <c:idx val="5"/>
            <c:invertIfNegative val="0"/>
            <c:bubble3D val="0"/>
            <c:spPr>
              <a:solidFill>
                <a:srgbClr val="243142"/>
              </a:solidFill>
              <a:ln>
                <a:noFill/>
              </a:ln>
              <a:effectLst/>
            </c:spPr>
            <c:extLst>
              <c:ext xmlns:c16="http://schemas.microsoft.com/office/drawing/2014/chart" uri="{C3380CC4-5D6E-409C-BE32-E72D297353CC}">
                <c16:uniqueId val="{00000005-B422-4DA3-A365-78B1A4BE4A65}"/>
              </c:ext>
            </c:extLst>
          </c:dPt>
          <c:dPt>
            <c:idx val="6"/>
            <c:invertIfNegative val="0"/>
            <c:bubble3D val="0"/>
            <c:spPr>
              <a:solidFill>
                <a:srgbClr val="990000"/>
              </a:solidFill>
              <a:ln>
                <a:noFill/>
              </a:ln>
              <a:effectLst/>
            </c:spPr>
            <c:extLst>
              <c:ext xmlns:c16="http://schemas.microsoft.com/office/drawing/2014/chart" uri="{C3380CC4-5D6E-409C-BE32-E72D297353CC}">
                <c16:uniqueId val="{00000006-B422-4DA3-A365-78B1A4BE4A6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Data'!$F$2:$F$8</c:f>
              <c:numCache>
                <c:formatCode>0.00</c:formatCode>
                <c:ptCount val="7"/>
                <c:pt idx="0">
                  <c:v>4.5666666666666673</c:v>
                </c:pt>
                <c:pt idx="1">
                  <c:v>4.0958333333333332</c:v>
                </c:pt>
                <c:pt idx="2">
                  <c:v>5</c:v>
                </c:pt>
                <c:pt idx="3">
                  <c:v>3.9800000000000004</c:v>
                </c:pt>
                <c:pt idx="4">
                  <c:v>4.8148148148148149</c:v>
                </c:pt>
                <c:pt idx="5">
                  <c:v>4.603915343915344</c:v>
                </c:pt>
                <c:pt idx="6">
                  <c:v>3.967399267399268</c:v>
                </c:pt>
              </c:numCache>
            </c:numRef>
          </c:val>
          <c:extLst>
            <c:ext xmlns:c16="http://schemas.microsoft.com/office/drawing/2014/chart" uri="{C3380CC4-5D6E-409C-BE32-E72D297353CC}">
              <c16:uniqueId val="{00000000-48EB-4716-B9C3-3D4DD4A538B0}"/>
            </c:ext>
          </c:extLst>
        </c:ser>
        <c:dLbls>
          <c:dLblPos val="outEnd"/>
          <c:showLegendKey val="0"/>
          <c:showVal val="1"/>
          <c:showCatName val="0"/>
          <c:showSerName val="0"/>
          <c:showPercent val="0"/>
          <c:showBubbleSize val="0"/>
        </c:dLbls>
        <c:gapWidth val="150"/>
        <c:axId val="1696492767"/>
        <c:axId val="1696480287"/>
      </c:barChart>
      <c:catAx>
        <c:axId val="169649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480287"/>
        <c:crosses val="autoZero"/>
        <c:auto val="1"/>
        <c:lblAlgn val="ctr"/>
        <c:lblOffset val="100"/>
        <c:noMultiLvlLbl val="0"/>
      </c:catAx>
      <c:valAx>
        <c:axId val="1696480287"/>
        <c:scaling>
          <c:orientation val="minMax"/>
          <c:max val="5"/>
        </c:scaling>
        <c:delete val="1"/>
        <c:axPos val="l"/>
        <c:numFmt formatCode="0.00" sourceLinked="1"/>
        <c:majorTickMark val="none"/>
        <c:minorTickMark val="none"/>
        <c:tickLblPos val="high"/>
        <c:crossAx val="1696492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Data'!$I$1</c:f>
              <c:strCache>
                <c:ptCount val="1"/>
                <c:pt idx="0">
                  <c:v>TAX INCENTIVES</c:v>
                </c:pt>
              </c:strCache>
            </c:strRef>
          </c:tx>
          <c:spPr>
            <a:solidFill>
              <a:srgbClr val="FFAA00"/>
            </a:solidFill>
            <a:ln>
              <a:noFill/>
            </a:ln>
            <a:effectLst/>
          </c:spPr>
          <c:invertIfNegative val="0"/>
          <c:dPt>
            <c:idx val="1"/>
            <c:invertIfNegative val="0"/>
            <c:bubble3D val="0"/>
            <c:spPr>
              <a:solidFill>
                <a:srgbClr val="DF3603"/>
              </a:solidFill>
              <a:ln>
                <a:noFill/>
              </a:ln>
              <a:effectLst/>
            </c:spPr>
            <c:extLst>
              <c:ext xmlns:c16="http://schemas.microsoft.com/office/drawing/2014/chart" uri="{C3380CC4-5D6E-409C-BE32-E72D297353CC}">
                <c16:uniqueId val="{00000000-8A14-4594-A825-E50AB08FF9DB}"/>
              </c:ext>
            </c:extLst>
          </c:dPt>
          <c:dPt>
            <c:idx val="2"/>
            <c:invertIfNegative val="0"/>
            <c:bubble3D val="0"/>
            <c:spPr>
              <a:solidFill>
                <a:srgbClr val="006298"/>
              </a:solidFill>
              <a:ln>
                <a:noFill/>
              </a:ln>
              <a:effectLst/>
            </c:spPr>
            <c:extLst>
              <c:ext xmlns:c16="http://schemas.microsoft.com/office/drawing/2014/chart" uri="{C3380CC4-5D6E-409C-BE32-E72D297353CC}">
                <c16:uniqueId val="{00000001-8A14-4594-A825-E50AB08FF9DB}"/>
              </c:ext>
            </c:extLst>
          </c:dPt>
          <c:dPt>
            <c:idx val="3"/>
            <c:invertIfNegative val="0"/>
            <c:bubble3D val="0"/>
            <c:spPr>
              <a:solidFill>
                <a:srgbClr val="59264D"/>
              </a:solidFill>
              <a:ln>
                <a:noFill/>
              </a:ln>
              <a:effectLst/>
            </c:spPr>
            <c:extLst>
              <c:ext xmlns:c16="http://schemas.microsoft.com/office/drawing/2014/chart" uri="{C3380CC4-5D6E-409C-BE32-E72D297353CC}">
                <c16:uniqueId val="{00000002-8A14-4594-A825-E50AB08FF9DB}"/>
              </c:ext>
            </c:extLst>
          </c:dPt>
          <c:dPt>
            <c:idx val="4"/>
            <c:invertIfNegative val="0"/>
            <c:bubble3D val="0"/>
            <c:spPr>
              <a:solidFill>
                <a:srgbClr val="056E41"/>
              </a:solidFill>
              <a:ln>
                <a:noFill/>
              </a:ln>
              <a:effectLst/>
            </c:spPr>
            <c:extLst>
              <c:ext xmlns:c16="http://schemas.microsoft.com/office/drawing/2014/chart" uri="{C3380CC4-5D6E-409C-BE32-E72D297353CC}">
                <c16:uniqueId val="{00000003-8A14-4594-A825-E50AB08FF9DB}"/>
              </c:ext>
            </c:extLst>
          </c:dPt>
          <c:dPt>
            <c:idx val="5"/>
            <c:invertIfNegative val="0"/>
            <c:bubble3D val="0"/>
            <c:spPr>
              <a:solidFill>
                <a:srgbClr val="243142"/>
              </a:solidFill>
              <a:ln>
                <a:noFill/>
              </a:ln>
              <a:effectLst/>
            </c:spPr>
            <c:extLst>
              <c:ext xmlns:c16="http://schemas.microsoft.com/office/drawing/2014/chart" uri="{C3380CC4-5D6E-409C-BE32-E72D297353CC}">
                <c16:uniqueId val="{00000004-8A14-4594-A825-E50AB08FF9DB}"/>
              </c:ext>
            </c:extLst>
          </c:dPt>
          <c:dPt>
            <c:idx val="6"/>
            <c:invertIfNegative val="0"/>
            <c:bubble3D val="0"/>
            <c:spPr>
              <a:solidFill>
                <a:srgbClr val="990000"/>
              </a:solidFill>
              <a:ln>
                <a:noFill/>
              </a:ln>
              <a:effectLst/>
            </c:spPr>
            <c:extLst>
              <c:ext xmlns:c16="http://schemas.microsoft.com/office/drawing/2014/chart" uri="{C3380CC4-5D6E-409C-BE32-E72D297353CC}">
                <c16:uniqueId val="{00000005-8A14-4594-A825-E50AB08FF9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Data'!$I$2:$I$8</c:f>
              <c:numCache>
                <c:formatCode>0.00</c:formatCode>
                <c:ptCount val="7"/>
                <c:pt idx="0">
                  <c:v>3.464285714285714</c:v>
                </c:pt>
                <c:pt idx="1">
                  <c:v>3.7187499999999996</c:v>
                </c:pt>
                <c:pt idx="2">
                  <c:v>3.875</c:v>
                </c:pt>
                <c:pt idx="3">
                  <c:v>3.5799999999999996</c:v>
                </c:pt>
                <c:pt idx="4">
                  <c:v>4.6388888888888893</c:v>
                </c:pt>
                <c:pt idx="5">
                  <c:v>3.936349206349206</c:v>
                </c:pt>
                <c:pt idx="6">
                  <c:v>3.5230337078651668</c:v>
                </c:pt>
              </c:numCache>
            </c:numRef>
          </c:val>
          <c:extLst>
            <c:ext xmlns:c16="http://schemas.microsoft.com/office/drawing/2014/chart" uri="{C3380CC4-5D6E-409C-BE32-E72D297353CC}">
              <c16:uniqueId val="{00000000-0223-4B56-A781-92C6BBDD2076}"/>
            </c:ext>
          </c:extLst>
        </c:ser>
        <c:dLbls>
          <c:dLblPos val="outEnd"/>
          <c:showLegendKey val="0"/>
          <c:showVal val="1"/>
          <c:showCatName val="0"/>
          <c:showSerName val="0"/>
          <c:showPercent val="0"/>
          <c:showBubbleSize val="0"/>
        </c:dLbls>
        <c:gapWidth val="219"/>
        <c:overlap val="-27"/>
        <c:axId val="1579196623"/>
        <c:axId val="1579192463"/>
      </c:barChart>
      <c:catAx>
        <c:axId val="157919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9192463"/>
        <c:crosses val="autoZero"/>
        <c:auto val="1"/>
        <c:lblAlgn val="ctr"/>
        <c:lblOffset val="100"/>
        <c:noMultiLvlLbl val="0"/>
      </c:catAx>
      <c:valAx>
        <c:axId val="1579192463"/>
        <c:scaling>
          <c:orientation val="minMax"/>
        </c:scaling>
        <c:delete val="1"/>
        <c:axPos val="l"/>
        <c:numFmt formatCode="0.00" sourceLinked="1"/>
        <c:majorTickMark val="none"/>
        <c:minorTickMark val="none"/>
        <c:tickLblPos val="nextTo"/>
        <c:crossAx val="157919662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Data'!$L$1</c:f>
              <c:strCache>
                <c:ptCount val="1"/>
                <c:pt idx="0">
                  <c:v>CROSS-BORDER PHILANTHROPIC FLOWS</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F2FB-4D7B-B559-521901872053}"/>
              </c:ext>
            </c:extLst>
          </c:dPt>
          <c:dPt>
            <c:idx val="1"/>
            <c:invertIfNegative val="0"/>
            <c:bubble3D val="0"/>
            <c:spPr>
              <a:solidFill>
                <a:srgbClr val="DF3603"/>
              </a:solidFill>
              <a:ln>
                <a:noFill/>
              </a:ln>
              <a:effectLst/>
            </c:spPr>
            <c:extLst>
              <c:ext xmlns:c16="http://schemas.microsoft.com/office/drawing/2014/chart" uri="{C3380CC4-5D6E-409C-BE32-E72D297353CC}">
                <c16:uniqueId val="{00000001-F2FB-4D7B-B559-521901872053}"/>
              </c:ext>
            </c:extLst>
          </c:dPt>
          <c:dPt>
            <c:idx val="2"/>
            <c:invertIfNegative val="0"/>
            <c:bubble3D val="0"/>
            <c:spPr>
              <a:solidFill>
                <a:srgbClr val="006298"/>
              </a:solidFill>
              <a:ln>
                <a:noFill/>
              </a:ln>
              <a:effectLst/>
            </c:spPr>
            <c:extLst>
              <c:ext xmlns:c16="http://schemas.microsoft.com/office/drawing/2014/chart" uri="{C3380CC4-5D6E-409C-BE32-E72D297353CC}">
                <c16:uniqueId val="{00000002-F2FB-4D7B-B559-521901872053}"/>
              </c:ext>
            </c:extLst>
          </c:dPt>
          <c:dPt>
            <c:idx val="3"/>
            <c:invertIfNegative val="0"/>
            <c:bubble3D val="0"/>
            <c:spPr>
              <a:solidFill>
                <a:srgbClr val="59264D"/>
              </a:solidFill>
              <a:ln>
                <a:noFill/>
              </a:ln>
              <a:effectLst/>
            </c:spPr>
            <c:extLst>
              <c:ext xmlns:c16="http://schemas.microsoft.com/office/drawing/2014/chart" uri="{C3380CC4-5D6E-409C-BE32-E72D297353CC}">
                <c16:uniqueId val="{00000003-F2FB-4D7B-B559-521901872053}"/>
              </c:ext>
            </c:extLst>
          </c:dPt>
          <c:dPt>
            <c:idx val="4"/>
            <c:invertIfNegative val="0"/>
            <c:bubble3D val="0"/>
            <c:spPr>
              <a:solidFill>
                <a:srgbClr val="056E41"/>
              </a:solidFill>
              <a:ln>
                <a:noFill/>
              </a:ln>
              <a:effectLst/>
            </c:spPr>
            <c:extLst>
              <c:ext xmlns:c16="http://schemas.microsoft.com/office/drawing/2014/chart" uri="{C3380CC4-5D6E-409C-BE32-E72D297353CC}">
                <c16:uniqueId val="{00000004-F2FB-4D7B-B559-521901872053}"/>
              </c:ext>
            </c:extLst>
          </c:dPt>
          <c:dPt>
            <c:idx val="5"/>
            <c:invertIfNegative val="0"/>
            <c:bubble3D val="0"/>
            <c:spPr>
              <a:solidFill>
                <a:srgbClr val="243142"/>
              </a:solidFill>
              <a:ln>
                <a:noFill/>
              </a:ln>
              <a:effectLst/>
            </c:spPr>
            <c:extLst>
              <c:ext xmlns:c16="http://schemas.microsoft.com/office/drawing/2014/chart" uri="{C3380CC4-5D6E-409C-BE32-E72D297353CC}">
                <c16:uniqueId val="{00000005-F2FB-4D7B-B559-521901872053}"/>
              </c:ext>
            </c:extLst>
          </c:dPt>
          <c:dPt>
            <c:idx val="6"/>
            <c:invertIfNegative val="0"/>
            <c:bubble3D val="0"/>
            <c:spPr>
              <a:solidFill>
                <a:srgbClr val="990000"/>
              </a:solidFill>
              <a:ln>
                <a:noFill/>
              </a:ln>
              <a:effectLst/>
            </c:spPr>
            <c:extLst>
              <c:ext xmlns:c16="http://schemas.microsoft.com/office/drawing/2014/chart" uri="{C3380CC4-5D6E-409C-BE32-E72D297353CC}">
                <c16:uniqueId val="{00000006-F2FB-4D7B-B559-5219018720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Data'!$L$2:$L$8</c:f>
              <c:numCache>
                <c:formatCode>0.00</c:formatCode>
                <c:ptCount val="7"/>
                <c:pt idx="0">
                  <c:v>3.9071428571428579</c:v>
                </c:pt>
                <c:pt idx="1">
                  <c:v>4.1187500000000004</c:v>
                </c:pt>
                <c:pt idx="2">
                  <c:v>4.75</c:v>
                </c:pt>
                <c:pt idx="3">
                  <c:v>3.65</c:v>
                </c:pt>
                <c:pt idx="4">
                  <c:v>4.3499999999999996</c:v>
                </c:pt>
                <c:pt idx="5">
                  <c:v>4.2053571428571432</c:v>
                </c:pt>
                <c:pt idx="6">
                  <c:v>3.5109890109890109</c:v>
                </c:pt>
              </c:numCache>
            </c:numRef>
          </c:val>
          <c:extLst>
            <c:ext xmlns:c16="http://schemas.microsoft.com/office/drawing/2014/chart" uri="{C3380CC4-5D6E-409C-BE32-E72D297353CC}">
              <c16:uniqueId val="{00000000-BFD4-4FB6-ADBA-9A191969845E}"/>
            </c:ext>
          </c:extLst>
        </c:ser>
        <c:dLbls>
          <c:dLblPos val="outEnd"/>
          <c:showLegendKey val="0"/>
          <c:showVal val="1"/>
          <c:showCatName val="0"/>
          <c:showSerName val="0"/>
          <c:showPercent val="0"/>
          <c:showBubbleSize val="0"/>
        </c:dLbls>
        <c:gapWidth val="182"/>
        <c:axId val="1396256911"/>
        <c:axId val="1396261487"/>
      </c:barChart>
      <c:catAx>
        <c:axId val="1396256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261487"/>
        <c:crosses val="autoZero"/>
        <c:auto val="1"/>
        <c:lblAlgn val="ctr"/>
        <c:lblOffset val="100"/>
        <c:noMultiLvlLbl val="0"/>
      </c:catAx>
      <c:valAx>
        <c:axId val="1396261487"/>
        <c:scaling>
          <c:orientation val="minMax"/>
        </c:scaling>
        <c:delete val="1"/>
        <c:axPos val="l"/>
        <c:numFmt formatCode="0.00" sourceLinked="1"/>
        <c:majorTickMark val="none"/>
        <c:minorTickMark val="none"/>
        <c:tickLblPos val="nextTo"/>
        <c:crossAx val="13962569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Data'!$O$1</c:f>
              <c:strCache>
                <c:ptCount val="1"/>
                <c:pt idx="0">
                  <c:v>POLITICAL ENVIRONMENT</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E709-47D6-B027-F1645E4E1AB6}"/>
              </c:ext>
            </c:extLst>
          </c:dPt>
          <c:dPt>
            <c:idx val="1"/>
            <c:invertIfNegative val="0"/>
            <c:bubble3D val="0"/>
            <c:spPr>
              <a:solidFill>
                <a:srgbClr val="DF3603"/>
              </a:solidFill>
              <a:ln>
                <a:noFill/>
              </a:ln>
              <a:effectLst/>
            </c:spPr>
            <c:extLst>
              <c:ext xmlns:c16="http://schemas.microsoft.com/office/drawing/2014/chart" uri="{C3380CC4-5D6E-409C-BE32-E72D297353CC}">
                <c16:uniqueId val="{00000001-E709-47D6-B027-F1645E4E1AB6}"/>
              </c:ext>
            </c:extLst>
          </c:dPt>
          <c:dPt>
            <c:idx val="2"/>
            <c:invertIfNegative val="0"/>
            <c:bubble3D val="0"/>
            <c:spPr>
              <a:solidFill>
                <a:srgbClr val="006298"/>
              </a:solidFill>
              <a:ln>
                <a:noFill/>
              </a:ln>
              <a:effectLst/>
            </c:spPr>
            <c:extLst>
              <c:ext xmlns:c16="http://schemas.microsoft.com/office/drawing/2014/chart" uri="{C3380CC4-5D6E-409C-BE32-E72D297353CC}">
                <c16:uniqueId val="{00000002-E709-47D6-B027-F1645E4E1AB6}"/>
              </c:ext>
            </c:extLst>
          </c:dPt>
          <c:dPt>
            <c:idx val="3"/>
            <c:invertIfNegative val="0"/>
            <c:bubble3D val="0"/>
            <c:spPr>
              <a:solidFill>
                <a:srgbClr val="59264D"/>
              </a:solidFill>
              <a:ln>
                <a:noFill/>
              </a:ln>
              <a:effectLst/>
            </c:spPr>
            <c:extLst>
              <c:ext xmlns:c16="http://schemas.microsoft.com/office/drawing/2014/chart" uri="{C3380CC4-5D6E-409C-BE32-E72D297353CC}">
                <c16:uniqueId val="{00000003-E709-47D6-B027-F1645E4E1AB6}"/>
              </c:ext>
            </c:extLst>
          </c:dPt>
          <c:dPt>
            <c:idx val="4"/>
            <c:invertIfNegative val="0"/>
            <c:bubble3D val="0"/>
            <c:spPr>
              <a:solidFill>
                <a:srgbClr val="056E41"/>
              </a:solidFill>
              <a:ln>
                <a:noFill/>
              </a:ln>
              <a:effectLst/>
            </c:spPr>
            <c:extLst>
              <c:ext xmlns:c16="http://schemas.microsoft.com/office/drawing/2014/chart" uri="{C3380CC4-5D6E-409C-BE32-E72D297353CC}">
                <c16:uniqueId val="{00000004-E709-47D6-B027-F1645E4E1AB6}"/>
              </c:ext>
            </c:extLst>
          </c:dPt>
          <c:dPt>
            <c:idx val="5"/>
            <c:invertIfNegative val="0"/>
            <c:bubble3D val="0"/>
            <c:spPr>
              <a:solidFill>
                <a:srgbClr val="243142"/>
              </a:solidFill>
              <a:ln>
                <a:noFill/>
              </a:ln>
              <a:effectLst/>
            </c:spPr>
            <c:extLst>
              <c:ext xmlns:c16="http://schemas.microsoft.com/office/drawing/2014/chart" uri="{C3380CC4-5D6E-409C-BE32-E72D297353CC}">
                <c16:uniqueId val="{00000005-E709-47D6-B027-F1645E4E1AB6}"/>
              </c:ext>
            </c:extLst>
          </c:dPt>
          <c:dPt>
            <c:idx val="6"/>
            <c:invertIfNegative val="0"/>
            <c:bubble3D val="0"/>
            <c:spPr>
              <a:solidFill>
                <a:srgbClr val="990000"/>
              </a:solidFill>
              <a:ln>
                <a:noFill/>
              </a:ln>
              <a:effectLst/>
            </c:spPr>
            <c:extLst>
              <c:ext xmlns:c16="http://schemas.microsoft.com/office/drawing/2014/chart" uri="{C3380CC4-5D6E-409C-BE32-E72D297353CC}">
                <c16:uniqueId val="{00000006-E709-47D6-B027-F1645E4E1A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Data'!$O$2:$O$8</c:f>
              <c:numCache>
                <c:formatCode>0.00</c:formatCode>
                <c:ptCount val="7"/>
                <c:pt idx="0">
                  <c:v>3.4571428571428582</c:v>
                </c:pt>
                <c:pt idx="1">
                  <c:v>3.3999999999999995</c:v>
                </c:pt>
                <c:pt idx="2">
                  <c:v>4.9375</c:v>
                </c:pt>
                <c:pt idx="3">
                  <c:v>3.46</c:v>
                </c:pt>
                <c:pt idx="4">
                  <c:v>4.6111111111111107</c:v>
                </c:pt>
                <c:pt idx="5">
                  <c:v>4.0532936507936501</c:v>
                </c:pt>
                <c:pt idx="6">
                  <c:v>3.5098901098901099</c:v>
                </c:pt>
              </c:numCache>
            </c:numRef>
          </c:val>
          <c:extLst>
            <c:ext xmlns:c16="http://schemas.microsoft.com/office/drawing/2014/chart" uri="{C3380CC4-5D6E-409C-BE32-E72D297353CC}">
              <c16:uniqueId val="{00000000-1B1B-476F-8746-5B1BB527309C}"/>
            </c:ext>
          </c:extLst>
        </c:ser>
        <c:dLbls>
          <c:dLblPos val="outEnd"/>
          <c:showLegendKey val="0"/>
          <c:showVal val="1"/>
          <c:showCatName val="0"/>
          <c:showSerName val="0"/>
          <c:showPercent val="0"/>
          <c:showBubbleSize val="0"/>
        </c:dLbls>
        <c:gapWidth val="219"/>
        <c:overlap val="-27"/>
        <c:axId val="1027331839"/>
        <c:axId val="1027332255"/>
      </c:barChart>
      <c:catAx>
        <c:axId val="1027331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332255"/>
        <c:crosses val="autoZero"/>
        <c:auto val="1"/>
        <c:lblAlgn val="ctr"/>
        <c:lblOffset val="100"/>
        <c:noMultiLvlLbl val="0"/>
      </c:catAx>
      <c:valAx>
        <c:axId val="1027332255"/>
        <c:scaling>
          <c:orientation val="minMax"/>
          <c:max val="5"/>
        </c:scaling>
        <c:delete val="1"/>
        <c:axPos val="l"/>
        <c:numFmt formatCode="0.00" sourceLinked="1"/>
        <c:majorTickMark val="none"/>
        <c:minorTickMark val="none"/>
        <c:tickLblPos val="nextTo"/>
        <c:crossAx val="1027331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Data'!$Q$1</c:f>
              <c:strCache>
                <c:ptCount val="1"/>
                <c:pt idx="0">
                  <c:v>ECONOMIC ENVIRONMENT</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3BA8-4464-9688-FADC9F9577A5}"/>
              </c:ext>
            </c:extLst>
          </c:dPt>
          <c:dPt>
            <c:idx val="1"/>
            <c:invertIfNegative val="0"/>
            <c:bubble3D val="0"/>
            <c:spPr>
              <a:solidFill>
                <a:srgbClr val="DF3603"/>
              </a:solidFill>
              <a:ln>
                <a:noFill/>
              </a:ln>
              <a:effectLst/>
            </c:spPr>
            <c:extLst>
              <c:ext xmlns:c16="http://schemas.microsoft.com/office/drawing/2014/chart" uri="{C3380CC4-5D6E-409C-BE32-E72D297353CC}">
                <c16:uniqueId val="{00000001-3BA8-4464-9688-FADC9F9577A5}"/>
              </c:ext>
            </c:extLst>
          </c:dPt>
          <c:dPt>
            <c:idx val="2"/>
            <c:invertIfNegative val="0"/>
            <c:bubble3D val="0"/>
            <c:spPr>
              <a:solidFill>
                <a:srgbClr val="006298"/>
              </a:solidFill>
              <a:ln>
                <a:noFill/>
              </a:ln>
              <a:effectLst/>
            </c:spPr>
            <c:extLst>
              <c:ext xmlns:c16="http://schemas.microsoft.com/office/drawing/2014/chart" uri="{C3380CC4-5D6E-409C-BE32-E72D297353CC}">
                <c16:uniqueId val="{00000002-3BA8-4464-9688-FADC9F9577A5}"/>
              </c:ext>
            </c:extLst>
          </c:dPt>
          <c:dPt>
            <c:idx val="3"/>
            <c:invertIfNegative val="0"/>
            <c:bubble3D val="0"/>
            <c:spPr>
              <a:solidFill>
                <a:srgbClr val="59264D"/>
              </a:solidFill>
              <a:ln>
                <a:noFill/>
              </a:ln>
              <a:effectLst/>
            </c:spPr>
            <c:extLst>
              <c:ext xmlns:c16="http://schemas.microsoft.com/office/drawing/2014/chart" uri="{C3380CC4-5D6E-409C-BE32-E72D297353CC}">
                <c16:uniqueId val="{00000003-3BA8-4464-9688-FADC9F9577A5}"/>
              </c:ext>
            </c:extLst>
          </c:dPt>
          <c:dPt>
            <c:idx val="4"/>
            <c:invertIfNegative val="0"/>
            <c:bubble3D val="0"/>
            <c:spPr>
              <a:solidFill>
                <a:srgbClr val="056E41"/>
              </a:solidFill>
              <a:ln>
                <a:noFill/>
              </a:ln>
              <a:effectLst/>
            </c:spPr>
            <c:extLst>
              <c:ext xmlns:c16="http://schemas.microsoft.com/office/drawing/2014/chart" uri="{C3380CC4-5D6E-409C-BE32-E72D297353CC}">
                <c16:uniqueId val="{00000004-3BA8-4464-9688-FADC9F9577A5}"/>
              </c:ext>
            </c:extLst>
          </c:dPt>
          <c:dPt>
            <c:idx val="5"/>
            <c:invertIfNegative val="0"/>
            <c:bubble3D val="0"/>
            <c:spPr>
              <a:solidFill>
                <a:srgbClr val="243142"/>
              </a:solidFill>
              <a:ln>
                <a:noFill/>
              </a:ln>
              <a:effectLst/>
            </c:spPr>
            <c:extLst>
              <c:ext xmlns:c16="http://schemas.microsoft.com/office/drawing/2014/chart" uri="{C3380CC4-5D6E-409C-BE32-E72D297353CC}">
                <c16:uniqueId val="{00000005-3BA8-4464-9688-FADC9F9577A5}"/>
              </c:ext>
            </c:extLst>
          </c:dPt>
          <c:dPt>
            <c:idx val="6"/>
            <c:invertIfNegative val="0"/>
            <c:bubble3D val="0"/>
            <c:spPr>
              <a:solidFill>
                <a:srgbClr val="990000"/>
              </a:solidFill>
              <a:ln>
                <a:noFill/>
              </a:ln>
              <a:effectLst/>
            </c:spPr>
            <c:extLst>
              <c:ext xmlns:c16="http://schemas.microsoft.com/office/drawing/2014/chart" uri="{C3380CC4-5D6E-409C-BE32-E72D297353CC}">
                <c16:uniqueId val="{00000006-3BA8-4464-9688-FADC9F9577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Data'!$Q$2:$Q$8</c:f>
              <c:numCache>
                <c:formatCode>0.00</c:formatCode>
                <c:ptCount val="7"/>
                <c:pt idx="0">
                  <c:v>3.0857142857142859</c:v>
                </c:pt>
                <c:pt idx="1">
                  <c:v>3.3249999999999997</c:v>
                </c:pt>
                <c:pt idx="2">
                  <c:v>5</c:v>
                </c:pt>
                <c:pt idx="3">
                  <c:v>3.28</c:v>
                </c:pt>
                <c:pt idx="4">
                  <c:v>4.5333333333333332</c:v>
                </c:pt>
                <c:pt idx="5">
                  <c:v>3.8788095238095242</c:v>
                </c:pt>
                <c:pt idx="6">
                  <c:v>3.464835164835165</c:v>
                </c:pt>
              </c:numCache>
            </c:numRef>
          </c:val>
          <c:extLst>
            <c:ext xmlns:c16="http://schemas.microsoft.com/office/drawing/2014/chart" uri="{C3380CC4-5D6E-409C-BE32-E72D297353CC}">
              <c16:uniqueId val="{00000000-2F66-43E2-B73A-093B17127DB6}"/>
            </c:ext>
          </c:extLst>
        </c:ser>
        <c:dLbls>
          <c:dLblPos val="outEnd"/>
          <c:showLegendKey val="0"/>
          <c:showVal val="1"/>
          <c:showCatName val="0"/>
          <c:showSerName val="0"/>
          <c:showPercent val="0"/>
          <c:showBubbleSize val="0"/>
        </c:dLbls>
        <c:gapWidth val="182"/>
        <c:axId val="1053179375"/>
        <c:axId val="1053179791"/>
      </c:barChart>
      <c:catAx>
        <c:axId val="105317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179791"/>
        <c:crosses val="autoZero"/>
        <c:auto val="1"/>
        <c:lblAlgn val="ctr"/>
        <c:lblOffset val="100"/>
        <c:noMultiLvlLbl val="0"/>
      </c:catAx>
      <c:valAx>
        <c:axId val="1053179791"/>
        <c:scaling>
          <c:orientation val="minMax"/>
          <c:max val="5"/>
        </c:scaling>
        <c:delete val="1"/>
        <c:axPos val="l"/>
        <c:numFmt formatCode="0.00" sourceLinked="1"/>
        <c:majorTickMark val="none"/>
        <c:minorTickMark val="none"/>
        <c:tickLblPos val="nextTo"/>
        <c:crossAx val="10531793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'[GPEI_Europe_Data_Graphs(update_161122).xlsx]Regional Data'!$S$1</c:f>
              <c:strCache>
                <c:ptCount val="1"/>
                <c:pt idx="0">
                  <c:v>SOCIO-CULTURAL ENVIRONMENT</c:v>
                </c:pt>
              </c:strCache>
            </c:strRef>
          </c:tx>
          <c:spPr>
            <a:solidFill>
              <a:schemeClr val="accent1"/>
            </a:solidFill>
            <a:ln>
              <a:noFill/>
            </a:ln>
            <a:effectLst/>
          </c:spPr>
          <c:invertIfNegative val="0"/>
          <c:dPt>
            <c:idx val="0"/>
            <c:invertIfNegative val="0"/>
            <c:bubble3D val="0"/>
            <c:spPr>
              <a:solidFill>
                <a:srgbClr val="FFAA00"/>
              </a:solidFill>
              <a:ln>
                <a:noFill/>
              </a:ln>
              <a:effectLst/>
            </c:spPr>
            <c:extLst>
              <c:ext xmlns:c16="http://schemas.microsoft.com/office/drawing/2014/chart" uri="{C3380CC4-5D6E-409C-BE32-E72D297353CC}">
                <c16:uniqueId val="{00000000-6B1A-462C-B454-21C3353CAEAA}"/>
              </c:ext>
            </c:extLst>
          </c:dPt>
          <c:dPt>
            <c:idx val="1"/>
            <c:invertIfNegative val="0"/>
            <c:bubble3D val="0"/>
            <c:spPr>
              <a:solidFill>
                <a:srgbClr val="DF3603"/>
              </a:solidFill>
              <a:ln>
                <a:noFill/>
              </a:ln>
              <a:effectLst/>
            </c:spPr>
            <c:extLst>
              <c:ext xmlns:c16="http://schemas.microsoft.com/office/drawing/2014/chart" uri="{C3380CC4-5D6E-409C-BE32-E72D297353CC}">
                <c16:uniqueId val="{00000001-6B1A-462C-B454-21C3353CAEAA}"/>
              </c:ext>
            </c:extLst>
          </c:dPt>
          <c:dPt>
            <c:idx val="2"/>
            <c:invertIfNegative val="0"/>
            <c:bubble3D val="0"/>
            <c:spPr>
              <a:solidFill>
                <a:srgbClr val="006298"/>
              </a:solidFill>
              <a:ln>
                <a:noFill/>
              </a:ln>
              <a:effectLst/>
            </c:spPr>
            <c:extLst>
              <c:ext xmlns:c16="http://schemas.microsoft.com/office/drawing/2014/chart" uri="{C3380CC4-5D6E-409C-BE32-E72D297353CC}">
                <c16:uniqueId val="{00000002-6B1A-462C-B454-21C3353CAEAA}"/>
              </c:ext>
            </c:extLst>
          </c:dPt>
          <c:dPt>
            <c:idx val="3"/>
            <c:invertIfNegative val="0"/>
            <c:bubble3D val="0"/>
            <c:spPr>
              <a:solidFill>
                <a:srgbClr val="59264D"/>
              </a:solidFill>
              <a:ln>
                <a:noFill/>
              </a:ln>
              <a:effectLst/>
            </c:spPr>
            <c:extLst>
              <c:ext xmlns:c16="http://schemas.microsoft.com/office/drawing/2014/chart" uri="{C3380CC4-5D6E-409C-BE32-E72D297353CC}">
                <c16:uniqueId val="{00000003-6B1A-462C-B454-21C3353CAEAA}"/>
              </c:ext>
            </c:extLst>
          </c:dPt>
          <c:dPt>
            <c:idx val="4"/>
            <c:invertIfNegative val="0"/>
            <c:bubble3D val="0"/>
            <c:spPr>
              <a:solidFill>
                <a:srgbClr val="056E41"/>
              </a:solidFill>
              <a:ln>
                <a:noFill/>
              </a:ln>
              <a:effectLst/>
            </c:spPr>
            <c:extLst>
              <c:ext xmlns:c16="http://schemas.microsoft.com/office/drawing/2014/chart" uri="{C3380CC4-5D6E-409C-BE32-E72D297353CC}">
                <c16:uniqueId val="{00000004-6B1A-462C-B454-21C3353CAEAA}"/>
              </c:ext>
            </c:extLst>
          </c:dPt>
          <c:dPt>
            <c:idx val="5"/>
            <c:invertIfNegative val="0"/>
            <c:bubble3D val="0"/>
            <c:spPr>
              <a:solidFill>
                <a:srgbClr val="243142"/>
              </a:solidFill>
              <a:ln>
                <a:noFill/>
              </a:ln>
              <a:effectLst/>
            </c:spPr>
            <c:extLst>
              <c:ext xmlns:c16="http://schemas.microsoft.com/office/drawing/2014/chart" uri="{C3380CC4-5D6E-409C-BE32-E72D297353CC}">
                <c16:uniqueId val="{00000005-6B1A-462C-B454-21C3353CAEAA}"/>
              </c:ext>
            </c:extLst>
          </c:dPt>
          <c:dPt>
            <c:idx val="6"/>
            <c:invertIfNegative val="0"/>
            <c:bubble3D val="0"/>
            <c:spPr>
              <a:solidFill>
                <a:srgbClr val="990000"/>
              </a:solidFill>
              <a:ln>
                <a:noFill/>
              </a:ln>
              <a:effectLst/>
            </c:spPr>
            <c:extLst>
              <c:ext xmlns:c16="http://schemas.microsoft.com/office/drawing/2014/chart" uri="{C3380CC4-5D6E-409C-BE32-E72D297353CC}">
                <c16:uniqueId val="{00000006-6B1A-462C-B454-21C3353CAE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'[GPEI_Europe_Data_Graphs(update_161122).xlsx]Regional Data'!$A$2:$A$8</c:f>
              <c:strCache>
                <c:ptCount val="7"/>
                <c:pt idx="0">
                  <c:v>Balkan Countries</c:v>
                </c:pt>
                <c:pt idx="1">
                  <c:v>Central Europe</c:v>
                </c:pt>
                <c:pt idx="2">
                  <c:v>Northern Europe</c:v>
                </c:pt>
                <c:pt idx="3">
                  <c:v>Southern Europe</c:v>
                </c:pt>
                <c:pt idx="4">
                  <c:v>Western Europe</c:v>
                </c:pt>
                <c:pt idx="5">
                  <c:v>Europe Average</c:v>
                </c:pt>
                <c:pt idx="6">
                  <c:v>Global Average</c:v>
                </c:pt>
              </c:strCache>
            </c:strRef>
          </c:cat>
          <c:val>
            <c:numRef>
              <c:f>'[GPEI_Europe_Data_Graphs(update_161122).xlsx]Regional Data'!$S$2:$S$8</c:f>
              <c:numCache>
                <c:formatCode>0.00</c:formatCode>
                <c:ptCount val="7"/>
                <c:pt idx="0">
                  <c:v>3.371428571428571</c:v>
                </c:pt>
                <c:pt idx="1">
                  <c:v>3.3125</c:v>
                </c:pt>
                <c:pt idx="2">
                  <c:v>4.75</c:v>
                </c:pt>
                <c:pt idx="3">
                  <c:v>3.46</c:v>
                </c:pt>
                <c:pt idx="4">
                  <c:v>4.5888888888888886</c:v>
                </c:pt>
                <c:pt idx="5">
                  <c:v>3.864206349206349</c:v>
                </c:pt>
                <c:pt idx="6">
                  <c:v>3.8164835164835171</c:v>
                </c:pt>
              </c:numCache>
            </c:numRef>
          </c:val>
          <c:extLst>
            <c:ext xmlns:c16="http://schemas.microsoft.com/office/drawing/2014/chart" uri="{C3380CC4-5D6E-409C-BE32-E72D297353CC}">
              <c16:uniqueId val="{00000000-9FFF-47A7-AF8F-2C1362AC9514}"/>
            </c:ext>
          </c:extLst>
        </c:ser>
        <c:dLbls>
          <c:dLblPos val="outEnd"/>
          <c:showLegendKey val="0"/>
          <c:showVal val="1"/>
          <c:showCatName val="0"/>
          <c:showSerName val="0"/>
          <c:showPercent val="0"/>
          <c:showBubbleSize val="0"/>
        </c:dLbls>
        <c:gapWidth val="219"/>
        <c:overlap val="-27"/>
        <c:axId val="1042012575"/>
        <c:axId val="1042013407"/>
      </c:barChart>
      <c:catAx>
        <c:axId val="104201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013407"/>
        <c:crosses val="autoZero"/>
        <c:auto val="1"/>
        <c:lblAlgn val="ctr"/>
        <c:lblOffset val="100"/>
        <c:noMultiLvlLbl val="0"/>
      </c:catAx>
      <c:valAx>
        <c:axId val="1042013407"/>
        <c:scaling>
          <c:orientation val="minMax"/>
        </c:scaling>
        <c:delete val="1"/>
        <c:axPos val="l"/>
        <c:numFmt formatCode="0.00" sourceLinked="1"/>
        <c:majorTickMark val="none"/>
        <c:minorTickMark val="none"/>
        <c:tickLblPos val="nextTo"/>
        <c:crossAx val="10420125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'Over time'!$A$2</c:f>
              <c:strCache>
                <c:ptCount val="1"/>
                <c:pt idx="0">
                  <c:v>Europe Average 2018-2020</c:v>
                </c:pt>
              </c:strCache>
            </c:strRef>
          </c:tx>
          <c:spPr>
            <a:solidFill>
              <a:srgbClr val="2431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 time'!$B$1:$H$1</c:f>
              <c:strCache>
                <c:ptCount val="7"/>
                <c:pt idx="0">
                  <c:v>Ease of operating a PO</c:v>
                </c:pt>
                <c:pt idx="1">
                  <c:v>Tax incentives</c:v>
                </c:pt>
                <c:pt idx="2">
                  <c:v>Cross-border philanthropy</c:v>
                </c:pt>
                <c:pt idx="3">
                  <c:v>Political environment</c:v>
                </c:pt>
                <c:pt idx="4">
                  <c:v>Economic environment</c:v>
                </c:pt>
                <c:pt idx="5">
                  <c:v>Socio-cultural envioronment</c:v>
                </c:pt>
                <c:pt idx="6">
                  <c:v>Europe overall score</c:v>
                </c:pt>
              </c:strCache>
            </c:strRef>
          </c:cat>
          <c:val>
            <c:numRef>
              <c:f>'Over time'!$B$2:$H$2</c:f>
              <c:numCache>
                <c:formatCode>0.00</c:formatCode>
                <c:ptCount val="7"/>
                <c:pt idx="0">
                  <c:v>4.603915343915344</c:v>
                </c:pt>
                <c:pt idx="1">
                  <c:v>3.936349206349206</c:v>
                </c:pt>
                <c:pt idx="2">
                  <c:v>4.2053571428571432</c:v>
                </c:pt>
                <c:pt idx="3">
                  <c:v>4.0532936507936501</c:v>
                </c:pt>
                <c:pt idx="4">
                  <c:v>3.8788095238095242</c:v>
                </c:pt>
                <c:pt idx="5">
                  <c:v>3.864206349206349</c:v>
                </c:pt>
                <c:pt idx="6">
                  <c:v>4.0903218694885357</c:v>
                </c:pt>
              </c:numCache>
            </c:numRef>
          </c:val>
          <c:extLst>
            <c:ext xmlns:c16="http://schemas.microsoft.com/office/drawing/2014/chart" uri="{C3380CC4-5D6E-409C-BE32-E72D297353CC}">
              <c16:uniqueId val="{00000000-CB2B-4C1A-9102-69E30018F139}"/>
            </c:ext>
          </c:extLst>
        </c:ser>
        <c:ser>
          <c:idx val="1"/>
          <c:order val="1"/>
          <c:tx>
            <c:strRef>
              <c:f>'Over time'!$A$3</c:f>
              <c:strCache>
                <c:ptCount val="1"/>
                <c:pt idx="0">
                  <c:v>Europe Average 2014-2017</c:v>
                </c:pt>
              </c:strCache>
            </c:strRef>
          </c:tx>
          <c:spPr>
            <a:solidFill>
              <a:srgbClr val="969696"/>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3-CB2B-4C1A-9102-69E30018F1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 time'!$B$1:$H$1</c:f>
              <c:strCache>
                <c:ptCount val="7"/>
                <c:pt idx="0">
                  <c:v>Ease of operating a PO</c:v>
                </c:pt>
                <c:pt idx="1">
                  <c:v>Tax incentives</c:v>
                </c:pt>
                <c:pt idx="2">
                  <c:v>Cross-border philanthropy</c:v>
                </c:pt>
                <c:pt idx="3">
                  <c:v>Political environment</c:v>
                </c:pt>
                <c:pt idx="4">
                  <c:v>Economic environment</c:v>
                </c:pt>
                <c:pt idx="5">
                  <c:v>Socio-cultural envioronment</c:v>
                </c:pt>
                <c:pt idx="6">
                  <c:v>Europe overall score</c:v>
                </c:pt>
              </c:strCache>
            </c:strRef>
          </c:cat>
          <c:val>
            <c:numRef>
              <c:f>'Over time'!$B$3:$H$3</c:f>
              <c:numCache>
                <c:formatCode>General</c:formatCode>
                <c:ptCount val="7"/>
                <c:pt idx="0">
                  <c:v>4.45</c:v>
                </c:pt>
                <c:pt idx="1">
                  <c:v>3.77</c:v>
                </c:pt>
                <c:pt idx="2">
                  <c:v>4.07</c:v>
                </c:pt>
                <c:pt idx="3">
                  <c:v>3.79</c:v>
                </c:pt>
                <c:pt idx="4">
                  <c:v>0</c:v>
                </c:pt>
                <c:pt idx="5">
                  <c:v>3.87</c:v>
                </c:pt>
                <c:pt idx="6">
                  <c:v>3.99</c:v>
                </c:pt>
              </c:numCache>
            </c:numRef>
          </c:val>
          <c:extLst>
            <c:ext xmlns:c16="http://schemas.microsoft.com/office/drawing/2014/chart" uri="{C3380CC4-5D6E-409C-BE32-E72D297353CC}">
              <c16:uniqueId val="{00000001-CB2B-4C1A-9102-69E30018F139}"/>
            </c:ext>
          </c:extLst>
        </c:ser>
        <c:dLbls>
          <c:dLblPos val="outEnd"/>
          <c:showLegendKey val="0"/>
          <c:showVal val="1"/>
          <c:showCatName val="0"/>
          <c:showSerName val="0"/>
          <c:showPercent val="0"/>
          <c:showBubbleSize val="0"/>
        </c:dLbls>
        <c:gapWidth val="219"/>
        <c:overlap val="-27"/>
        <c:axId val="70890064"/>
        <c:axId val="70896784"/>
      </c:barChart>
      <c:catAx>
        <c:axId val="7089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896784"/>
        <c:crosses val="autoZero"/>
        <c:auto val="1"/>
        <c:lblAlgn val="ctr"/>
        <c:lblOffset val="100"/>
        <c:noMultiLvlLbl val="0"/>
      </c:catAx>
      <c:valAx>
        <c:axId val="70896784"/>
        <c:scaling>
          <c:orientation val="minMax"/>
        </c:scaling>
        <c:delete val="1"/>
        <c:axPos val="l"/>
        <c:numFmt formatCode="0.00" sourceLinked="1"/>
        <c:majorTickMark val="none"/>
        <c:minorTickMark val="none"/>
        <c:tickLblPos val="nextTo"/>
        <c:crossAx val="7089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634-4D38-AE2E-B0EA2EC08DAF}"/>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C634-4D38-AE2E-B0EA2EC08DAF}"/>
              </c:ext>
            </c:extLst>
          </c:dPt>
          <c:dLbls>
            <c:dLbl>
              <c:idx val="0"/>
              <c:layout>
                <c:manualLayout>
                  <c:x val="-0.10817913385826772"/>
                  <c:y val="5.9634368620589094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34-4D38-AE2E-B0EA2EC08DAF}"/>
                </c:ext>
              </c:extLst>
            </c:dLbl>
            <c:dLbl>
              <c:idx val="1"/>
              <c:layout>
                <c:manualLayout>
                  <c:x val="0.12436679790026246"/>
                  <c:y val="-8.1446850393700782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34-4D38-AE2E-B0EA2EC08D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'Appendix '!$J$36:$J$37</c:f>
              <c:strCache>
                <c:ptCount val="2"/>
                <c:pt idx="0">
                  <c:v>Increase</c:v>
                </c:pt>
                <c:pt idx="1">
                  <c:v>Decrease</c:v>
                </c:pt>
              </c:strCache>
            </c:strRef>
          </c:cat>
          <c:val>
            <c:numRef>
              <c:f>'Appendix '!$K$36:$K$37</c:f>
              <c:numCache>
                <c:formatCode>0</c:formatCode>
                <c:ptCount val="2"/>
                <c:pt idx="0">
                  <c:v>11</c:v>
                </c:pt>
                <c:pt idx="1">
                  <c:v>19</c:v>
                </c:pt>
              </c:numCache>
            </c:numRef>
          </c:val>
          <c:extLst>
            <c:ext xmlns:c16="http://schemas.microsoft.com/office/drawing/2014/chart" uri="{C3380CC4-5D6E-409C-BE32-E72D297353CC}">
              <c16:uniqueId val="{00000004-C634-4D38-AE2E-B0EA2EC08DA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29A7-065A-485F-8623-459F41A6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Edward Marlow</dc:creator>
  <cp:keywords/>
  <dc:description/>
  <cp:lastModifiedBy>Teunenbroek, Claire van (UT-BMS)</cp:lastModifiedBy>
  <cp:revision>2</cp:revision>
  <dcterms:created xsi:type="dcterms:W3CDTF">2023-09-18T12:59:00Z</dcterms:created>
  <dcterms:modified xsi:type="dcterms:W3CDTF">2023-09-18T12:59:00Z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1dea14c59c41e615c90a121c27e988abb05019e43ba52c538ddbe70b5b23f961</vt:lpwstr>
  </property>
</Properties>
</file>